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882C">
      <w:pPr>
        <w:pStyle w:val="17"/>
        <w:snapToGrid w:val="0"/>
        <w:spacing w:before="120" w:after="120" w:line="360" w:lineRule="auto"/>
        <w:jc w:val="center"/>
        <w:rPr>
          <w:rFonts w:hint="eastAsia"/>
          <w:b/>
          <w:color w:val="auto"/>
          <w:sz w:val="32"/>
          <w:szCs w:val="32"/>
          <w:highlight w:val="none"/>
        </w:rPr>
      </w:pPr>
      <w:r>
        <w:rPr>
          <w:rFonts w:hint="eastAsia" w:hAnsi="宋体" w:cs="宋体"/>
          <w:b/>
          <w:bCs/>
          <w:color w:val="auto"/>
          <w:sz w:val="52"/>
          <w:szCs w:val="52"/>
          <w:highlight w:val="none"/>
          <w:lang w:val="en-US" w:eastAsia="zh-CN"/>
        </w:rPr>
        <w:t>义乌市物资再生利用有限公司塔山填埋场飞灰一期飞灰转移服务</w:t>
      </w:r>
      <w:r>
        <w:rPr>
          <w:rFonts w:hint="eastAsia" w:ascii="宋体" w:hAnsi="宋体" w:cs="宋体"/>
          <w:b/>
          <w:bCs/>
          <w:color w:val="auto"/>
          <w:sz w:val="52"/>
          <w:szCs w:val="52"/>
          <w:highlight w:val="none"/>
          <w:lang w:val="en-US" w:eastAsia="zh-CN"/>
        </w:rPr>
        <w:t>采购项目</w:t>
      </w:r>
    </w:p>
    <w:p w14:paraId="3E58CCE7">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3C15067D">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450D5A61">
      <w:pPr>
        <w:pStyle w:val="17"/>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33BEFD69">
      <w:pPr>
        <w:pStyle w:val="17"/>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3A189FE3">
      <w:pPr>
        <w:pStyle w:val="17"/>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 xml:space="preserve">YCQ-2025-CG288 </w:t>
      </w:r>
    </w:p>
    <w:p w14:paraId="2C5E8F99">
      <w:pPr>
        <w:pStyle w:val="17"/>
        <w:snapToGrid w:val="0"/>
        <w:spacing w:before="120" w:after="120" w:line="360" w:lineRule="auto"/>
        <w:ind w:left="2137" w:hanging="2137" w:hangingChars="700"/>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color w:val="auto"/>
          <w:sz w:val="32"/>
          <w:szCs w:val="32"/>
          <w:highlight w:val="none"/>
          <w:u w:val="single"/>
          <w:lang w:val="en-US" w:eastAsia="zh-CN"/>
        </w:rPr>
        <w:t>义乌市物资再生利用有限公司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4F09953E">
      <w:pPr>
        <w:pStyle w:val="17"/>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21BBE01D">
      <w:pPr>
        <w:pStyle w:val="17"/>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b/>
          <w:color w:val="auto"/>
          <w:sz w:val="32"/>
          <w:szCs w:val="32"/>
          <w:highlight w:val="none"/>
          <w:u w:val="single"/>
          <w:lang w:val="en-US"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十二</w:t>
      </w:r>
      <w:r>
        <w:rPr>
          <w:rFonts w:hint="eastAsia" w:hAnsi="宋体"/>
          <w:b/>
          <w:color w:val="auto"/>
          <w:sz w:val="32"/>
          <w:szCs w:val="32"/>
          <w:highlight w:val="none"/>
          <w:u w:val="single"/>
        </w:rPr>
        <w:t>月</w:t>
      </w:r>
    </w:p>
    <w:p w14:paraId="0F2640B4">
      <w:pPr>
        <w:pStyle w:val="17"/>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7D5F4388">
      <w:pPr>
        <w:pStyle w:val="17"/>
        <w:snapToGrid w:val="0"/>
        <w:spacing w:before="120" w:after="120" w:line="360" w:lineRule="auto"/>
        <w:rPr>
          <w:rFonts w:hAnsi="宋体"/>
          <w:b/>
          <w:color w:val="auto"/>
          <w:sz w:val="32"/>
          <w:szCs w:val="32"/>
          <w:highlight w:val="none"/>
          <w:u w:val="single"/>
        </w:rPr>
      </w:pPr>
    </w:p>
    <w:p w14:paraId="7B5AAD4F">
      <w:pPr>
        <w:pStyle w:val="23"/>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_Toc14151 </w:instrText>
      </w:r>
      <w:r>
        <w:rPr>
          <w:highlight w:val="none"/>
        </w:rPr>
        <w:fldChar w:fldCharType="separate"/>
      </w:r>
      <w:r>
        <w:rPr>
          <w:rFonts w:ascii="Times New Roman" w:hAnsi="Times New Roman" w:eastAsia="宋体" w:cs="Times New Roman"/>
          <w:bCs/>
          <w:kern w:val="44"/>
          <w:szCs w:val="44"/>
          <w:highlight w:val="none"/>
          <w:lang w:val="en-US" w:eastAsia="zh-CN" w:bidi="ar-SA"/>
        </w:rPr>
        <w:t>第一章</w:t>
      </w:r>
      <w:r>
        <w:rPr>
          <w:rFonts w:hint="eastAsia"/>
          <w:highlight w:val="none"/>
        </w:rPr>
        <w:t>　招标公告</w:t>
      </w:r>
      <w:r>
        <w:tab/>
      </w:r>
      <w:r>
        <w:fldChar w:fldCharType="begin"/>
      </w:r>
      <w:r>
        <w:instrText xml:space="preserve"> PAGEREF _Toc14151 \h </w:instrText>
      </w:r>
      <w:r>
        <w:fldChar w:fldCharType="separate"/>
      </w:r>
      <w:r>
        <w:t>3</w:t>
      </w:r>
      <w:r>
        <w:fldChar w:fldCharType="end"/>
      </w:r>
      <w:r>
        <w:rPr>
          <w:color w:val="auto"/>
          <w:highlight w:val="none"/>
        </w:rPr>
        <w:fldChar w:fldCharType="end"/>
      </w:r>
    </w:p>
    <w:p w14:paraId="12573120">
      <w:pPr>
        <w:pStyle w:val="23"/>
        <w:tabs>
          <w:tab w:val="right" w:leader="dot" w:pos="8306"/>
        </w:tabs>
      </w:pPr>
      <w:r>
        <w:rPr>
          <w:color w:val="auto"/>
          <w:szCs w:val="30"/>
          <w:highlight w:val="none"/>
        </w:rPr>
        <w:fldChar w:fldCharType="begin"/>
      </w:r>
      <w:r>
        <w:rPr>
          <w:szCs w:val="30"/>
          <w:highlight w:val="none"/>
        </w:rPr>
        <w:instrText xml:space="preserve"> HYPERLINK \l _Toc28535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第二章　投标须知和投标须知前附表</w:t>
      </w:r>
      <w:r>
        <w:tab/>
      </w:r>
      <w:r>
        <w:fldChar w:fldCharType="begin"/>
      </w:r>
      <w:r>
        <w:instrText xml:space="preserve"> PAGEREF _Toc28535 \h </w:instrText>
      </w:r>
      <w:r>
        <w:fldChar w:fldCharType="separate"/>
      </w:r>
      <w:r>
        <w:t>6</w:t>
      </w:r>
      <w:r>
        <w:fldChar w:fldCharType="end"/>
      </w:r>
      <w:r>
        <w:rPr>
          <w:color w:val="auto"/>
          <w:szCs w:val="30"/>
          <w:highlight w:val="none"/>
        </w:rPr>
        <w:fldChar w:fldCharType="end"/>
      </w:r>
    </w:p>
    <w:p w14:paraId="77F9B42A">
      <w:pPr>
        <w:pStyle w:val="23"/>
        <w:tabs>
          <w:tab w:val="right" w:leader="dot" w:pos="8306"/>
        </w:tabs>
      </w:pPr>
      <w:r>
        <w:rPr>
          <w:color w:val="auto"/>
          <w:szCs w:val="30"/>
          <w:highlight w:val="none"/>
        </w:rPr>
        <w:fldChar w:fldCharType="begin"/>
      </w:r>
      <w:r>
        <w:rPr>
          <w:szCs w:val="30"/>
          <w:highlight w:val="none"/>
        </w:rPr>
        <w:instrText xml:space="preserve"> HYPERLINK \l _Toc10435 </w:instrText>
      </w:r>
      <w:r>
        <w:rPr>
          <w:szCs w:val="30"/>
          <w:highlight w:val="none"/>
        </w:rPr>
        <w:fldChar w:fldCharType="separate"/>
      </w:r>
      <w:r>
        <w:rPr>
          <w:rFonts w:hint="eastAsia"/>
          <w:szCs w:val="32"/>
          <w:highlight w:val="none"/>
        </w:rPr>
        <w:t>投标须知</w:t>
      </w:r>
      <w:r>
        <w:tab/>
      </w:r>
      <w:r>
        <w:fldChar w:fldCharType="begin"/>
      </w:r>
      <w:r>
        <w:instrText xml:space="preserve"> PAGEREF _Toc10435 \h </w:instrText>
      </w:r>
      <w:r>
        <w:fldChar w:fldCharType="separate"/>
      </w:r>
      <w:r>
        <w:t>8</w:t>
      </w:r>
      <w:r>
        <w:fldChar w:fldCharType="end"/>
      </w:r>
      <w:r>
        <w:rPr>
          <w:color w:val="auto"/>
          <w:szCs w:val="30"/>
          <w:highlight w:val="none"/>
        </w:rPr>
        <w:fldChar w:fldCharType="end"/>
      </w:r>
    </w:p>
    <w:p w14:paraId="265BD045">
      <w:pPr>
        <w:pStyle w:val="28"/>
        <w:tabs>
          <w:tab w:val="right" w:leader="dot" w:pos="8306"/>
        </w:tabs>
      </w:pPr>
      <w:r>
        <w:rPr>
          <w:color w:val="auto"/>
          <w:szCs w:val="30"/>
          <w:highlight w:val="none"/>
        </w:rPr>
        <w:fldChar w:fldCharType="begin"/>
      </w:r>
      <w:r>
        <w:rPr>
          <w:szCs w:val="30"/>
          <w:highlight w:val="none"/>
        </w:rPr>
        <w:instrText xml:space="preserve"> HYPERLINK \l _Toc24953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_Toc24953 \h </w:instrText>
      </w:r>
      <w:r>
        <w:fldChar w:fldCharType="separate"/>
      </w:r>
      <w:r>
        <w:t>8</w:t>
      </w:r>
      <w:r>
        <w:fldChar w:fldCharType="end"/>
      </w:r>
      <w:r>
        <w:rPr>
          <w:color w:val="auto"/>
          <w:szCs w:val="30"/>
          <w:highlight w:val="none"/>
        </w:rPr>
        <w:fldChar w:fldCharType="end"/>
      </w:r>
    </w:p>
    <w:p w14:paraId="3A6DAA11">
      <w:pPr>
        <w:pStyle w:val="28"/>
        <w:tabs>
          <w:tab w:val="right" w:leader="dot" w:pos="8306"/>
        </w:tabs>
      </w:pPr>
      <w:r>
        <w:rPr>
          <w:color w:val="auto"/>
          <w:szCs w:val="30"/>
          <w:highlight w:val="none"/>
        </w:rPr>
        <w:fldChar w:fldCharType="begin"/>
      </w:r>
      <w:r>
        <w:rPr>
          <w:szCs w:val="30"/>
          <w:highlight w:val="none"/>
        </w:rPr>
        <w:instrText xml:space="preserve"> HYPERLINK \l _Toc11001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_Toc11001 \h </w:instrText>
      </w:r>
      <w:r>
        <w:fldChar w:fldCharType="separate"/>
      </w:r>
      <w:r>
        <w:t>9</w:t>
      </w:r>
      <w:r>
        <w:fldChar w:fldCharType="end"/>
      </w:r>
      <w:r>
        <w:rPr>
          <w:color w:val="auto"/>
          <w:szCs w:val="30"/>
          <w:highlight w:val="none"/>
        </w:rPr>
        <w:fldChar w:fldCharType="end"/>
      </w:r>
    </w:p>
    <w:p w14:paraId="60B37527">
      <w:pPr>
        <w:pStyle w:val="28"/>
        <w:tabs>
          <w:tab w:val="right" w:leader="dot" w:pos="8306"/>
        </w:tabs>
      </w:pPr>
      <w:r>
        <w:rPr>
          <w:color w:val="auto"/>
          <w:szCs w:val="30"/>
          <w:highlight w:val="none"/>
        </w:rPr>
        <w:fldChar w:fldCharType="begin"/>
      </w:r>
      <w:r>
        <w:rPr>
          <w:szCs w:val="30"/>
          <w:highlight w:val="none"/>
        </w:rPr>
        <w:instrText xml:space="preserve"> HYPERLINK \l _Toc20287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_Toc20287 \h </w:instrText>
      </w:r>
      <w:r>
        <w:fldChar w:fldCharType="separate"/>
      </w:r>
      <w:r>
        <w:t>10</w:t>
      </w:r>
      <w:r>
        <w:fldChar w:fldCharType="end"/>
      </w:r>
      <w:r>
        <w:rPr>
          <w:color w:val="auto"/>
          <w:szCs w:val="30"/>
          <w:highlight w:val="none"/>
        </w:rPr>
        <w:fldChar w:fldCharType="end"/>
      </w:r>
    </w:p>
    <w:p w14:paraId="10F3339C">
      <w:pPr>
        <w:pStyle w:val="28"/>
        <w:tabs>
          <w:tab w:val="right" w:leader="dot" w:pos="8306"/>
        </w:tabs>
      </w:pPr>
      <w:r>
        <w:rPr>
          <w:color w:val="auto"/>
          <w:szCs w:val="30"/>
          <w:highlight w:val="none"/>
        </w:rPr>
        <w:fldChar w:fldCharType="begin"/>
      </w:r>
      <w:r>
        <w:rPr>
          <w:szCs w:val="30"/>
          <w:highlight w:val="none"/>
        </w:rPr>
        <w:instrText xml:space="preserve"> HYPERLINK \l _Toc3338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_Toc3338 \h </w:instrText>
      </w:r>
      <w:r>
        <w:fldChar w:fldCharType="separate"/>
      </w:r>
      <w:r>
        <w:t>12</w:t>
      </w:r>
      <w:r>
        <w:fldChar w:fldCharType="end"/>
      </w:r>
      <w:r>
        <w:rPr>
          <w:color w:val="auto"/>
          <w:szCs w:val="30"/>
          <w:highlight w:val="none"/>
        </w:rPr>
        <w:fldChar w:fldCharType="end"/>
      </w:r>
    </w:p>
    <w:p w14:paraId="62AD648C">
      <w:pPr>
        <w:pStyle w:val="28"/>
        <w:tabs>
          <w:tab w:val="right" w:leader="dot" w:pos="8306"/>
        </w:tabs>
      </w:pPr>
      <w:r>
        <w:rPr>
          <w:color w:val="auto"/>
          <w:szCs w:val="30"/>
          <w:highlight w:val="none"/>
        </w:rPr>
        <w:fldChar w:fldCharType="begin"/>
      </w:r>
      <w:r>
        <w:rPr>
          <w:szCs w:val="30"/>
          <w:highlight w:val="none"/>
        </w:rPr>
        <w:instrText xml:space="preserve"> HYPERLINK \l _Toc3333 </w:instrText>
      </w:r>
      <w:r>
        <w:rPr>
          <w:szCs w:val="30"/>
          <w:highlight w:val="none"/>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val="en-US" w:eastAsia="zh-CN"/>
        </w:rPr>
        <w:t>费用缴纳</w:t>
      </w:r>
      <w:r>
        <w:tab/>
      </w:r>
      <w:r>
        <w:fldChar w:fldCharType="begin"/>
      </w:r>
      <w:r>
        <w:instrText xml:space="preserve"> PAGEREF _Toc3333 \h </w:instrText>
      </w:r>
      <w:r>
        <w:fldChar w:fldCharType="separate"/>
      </w:r>
      <w:r>
        <w:t>13</w:t>
      </w:r>
      <w:r>
        <w:fldChar w:fldCharType="end"/>
      </w:r>
      <w:r>
        <w:rPr>
          <w:color w:val="auto"/>
          <w:szCs w:val="30"/>
          <w:highlight w:val="none"/>
        </w:rPr>
        <w:fldChar w:fldCharType="end"/>
      </w:r>
    </w:p>
    <w:p w14:paraId="7DE6DD85">
      <w:pPr>
        <w:pStyle w:val="28"/>
        <w:tabs>
          <w:tab w:val="right" w:leader="dot" w:pos="8306"/>
        </w:tabs>
      </w:pPr>
      <w:r>
        <w:rPr>
          <w:color w:val="auto"/>
          <w:szCs w:val="30"/>
          <w:highlight w:val="none"/>
        </w:rPr>
        <w:fldChar w:fldCharType="begin"/>
      </w:r>
      <w:r>
        <w:rPr>
          <w:szCs w:val="30"/>
          <w:highlight w:val="none"/>
        </w:rPr>
        <w:instrText xml:space="preserve"> HYPERLINK \l _Toc30069 </w:instrText>
      </w:r>
      <w:r>
        <w:rPr>
          <w:szCs w:val="30"/>
          <w:highlight w:val="none"/>
        </w:rPr>
        <w:fldChar w:fldCharType="separate"/>
      </w:r>
      <w:r>
        <w:rPr>
          <w:rFonts w:hint="eastAsia" w:ascii="宋体" w:hAnsi="宋体" w:eastAsia="宋体" w:cs="宋体"/>
          <w:szCs w:val="21"/>
          <w:highlight w:val="none"/>
        </w:rPr>
        <w:t>六、其它</w:t>
      </w:r>
      <w:r>
        <w:tab/>
      </w:r>
      <w:r>
        <w:fldChar w:fldCharType="begin"/>
      </w:r>
      <w:r>
        <w:instrText xml:space="preserve"> PAGEREF _Toc30069 \h </w:instrText>
      </w:r>
      <w:r>
        <w:fldChar w:fldCharType="separate"/>
      </w:r>
      <w:r>
        <w:t>14</w:t>
      </w:r>
      <w:r>
        <w:fldChar w:fldCharType="end"/>
      </w:r>
      <w:r>
        <w:rPr>
          <w:color w:val="auto"/>
          <w:szCs w:val="30"/>
          <w:highlight w:val="none"/>
        </w:rPr>
        <w:fldChar w:fldCharType="end"/>
      </w:r>
    </w:p>
    <w:p w14:paraId="37D37280">
      <w:pPr>
        <w:pStyle w:val="23"/>
        <w:tabs>
          <w:tab w:val="right" w:leader="dot" w:pos="8306"/>
        </w:tabs>
      </w:pPr>
      <w:r>
        <w:rPr>
          <w:color w:val="auto"/>
          <w:szCs w:val="30"/>
          <w:highlight w:val="none"/>
        </w:rPr>
        <w:fldChar w:fldCharType="begin"/>
      </w:r>
      <w:r>
        <w:rPr>
          <w:szCs w:val="30"/>
          <w:highlight w:val="none"/>
        </w:rPr>
        <w:instrText xml:space="preserve"> HYPERLINK \l _Toc1457 </w:instrText>
      </w:r>
      <w:r>
        <w:rPr>
          <w:szCs w:val="30"/>
          <w:highlight w:val="none"/>
        </w:rPr>
        <w:fldChar w:fldCharType="separate"/>
      </w:r>
      <w:r>
        <w:rPr>
          <w:rFonts w:hint="eastAsia" w:ascii="Times New Roman" w:hAnsi="Times New Roman" w:eastAsia="宋体" w:cs="Times New Roman"/>
          <w:highlight w:val="none"/>
          <w:lang w:val="en-US" w:eastAsia="zh-CN"/>
        </w:rPr>
        <w:t>第三章  招标项目要求</w:t>
      </w:r>
      <w:r>
        <w:tab/>
      </w:r>
      <w:r>
        <w:fldChar w:fldCharType="begin"/>
      </w:r>
      <w:r>
        <w:instrText xml:space="preserve"> PAGEREF _Toc1457 \h </w:instrText>
      </w:r>
      <w:r>
        <w:fldChar w:fldCharType="separate"/>
      </w:r>
      <w:r>
        <w:t>15</w:t>
      </w:r>
      <w:r>
        <w:fldChar w:fldCharType="end"/>
      </w:r>
      <w:r>
        <w:rPr>
          <w:color w:val="auto"/>
          <w:szCs w:val="30"/>
          <w:highlight w:val="none"/>
        </w:rPr>
        <w:fldChar w:fldCharType="end"/>
      </w:r>
    </w:p>
    <w:p w14:paraId="51C7E2AE">
      <w:pPr>
        <w:pStyle w:val="28"/>
        <w:tabs>
          <w:tab w:val="right" w:leader="dot" w:pos="8306"/>
        </w:tabs>
      </w:pPr>
      <w:r>
        <w:rPr>
          <w:color w:val="auto"/>
          <w:szCs w:val="30"/>
          <w:highlight w:val="none"/>
        </w:rPr>
        <w:fldChar w:fldCharType="begin"/>
      </w:r>
      <w:r>
        <w:rPr>
          <w:szCs w:val="30"/>
          <w:highlight w:val="none"/>
        </w:rPr>
        <w:instrText xml:space="preserve"> HYPERLINK \l _Toc12356 </w:instrText>
      </w:r>
      <w:r>
        <w:rPr>
          <w:szCs w:val="30"/>
          <w:highlight w:val="none"/>
        </w:rPr>
        <w:fldChar w:fldCharType="separate"/>
      </w:r>
      <w:r>
        <w:rPr>
          <w:rFonts w:hint="eastAsia" w:ascii="宋体" w:hAnsi="宋体" w:eastAsia="宋体" w:cs="宋体"/>
          <w:szCs w:val="21"/>
          <w:lang w:val="en-US" w:eastAsia="zh-CN"/>
        </w:rPr>
        <w:t>一、</w:t>
      </w:r>
      <w:r>
        <w:rPr>
          <w:rFonts w:hint="eastAsia" w:ascii="宋体" w:hAnsi="宋体" w:eastAsia="宋体" w:cs="宋体"/>
          <w:szCs w:val="21"/>
        </w:rPr>
        <w:t>项目</w:t>
      </w:r>
      <w:r>
        <w:rPr>
          <w:rFonts w:hint="eastAsia" w:ascii="宋体" w:hAnsi="宋体" w:eastAsia="宋体" w:cs="宋体"/>
          <w:szCs w:val="21"/>
          <w:lang w:val="en-US" w:eastAsia="zh-CN"/>
        </w:rPr>
        <w:t>情况</w:t>
      </w:r>
      <w:r>
        <w:tab/>
      </w:r>
      <w:r>
        <w:fldChar w:fldCharType="begin"/>
      </w:r>
      <w:r>
        <w:instrText xml:space="preserve"> PAGEREF _Toc12356 \h </w:instrText>
      </w:r>
      <w:r>
        <w:fldChar w:fldCharType="separate"/>
      </w:r>
      <w:r>
        <w:t>15</w:t>
      </w:r>
      <w:r>
        <w:fldChar w:fldCharType="end"/>
      </w:r>
      <w:r>
        <w:rPr>
          <w:color w:val="auto"/>
          <w:szCs w:val="30"/>
          <w:highlight w:val="none"/>
        </w:rPr>
        <w:fldChar w:fldCharType="end"/>
      </w:r>
    </w:p>
    <w:p w14:paraId="0B9E4E74">
      <w:pPr>
        <w:pStyle w:val="28"/>
        <w:tabs>
          <w:tab w:val="right" w:leader="dot" w:pos="8306"/>
        </w:tabs>
      </w:pPr>
      <w:r>
        <w:rPr>
          <w:color w:val="auto"/>
          <w:szCs w:val="30"/>
          <w:highlight w:val="none"/>
        </w:rPr>
        <w:fldChar w:fldCharType="begin"/>
      </w:r>
      <w:r>
        <w:rPr>
          <w:szCs w:val="30"/>
          <w:highlight w:val="none"/>
        </w:rPr>
        <w:instrText xml:space="preserve"> HYPERLINK \l _Toc14052 </w:instrText>
      </w:r>
      <w:r>
        <w:rPr>
          <w:szCs w:val="30"/>
          <w:highlight w:val="none"/>
        </w:rPr>
        <w:fldChar w:fldCharType="separate"/>
      </w:r>
      <w:r>
        <w:rPr>
          <w:rFonts w:hint="eastAsia" w:ascii="宋体" w:hAnsi="宋体" w:eastAsia="宋体" w:cs="宋体"/>
          <w:szCs w:val="21"/>
          <w:lang w:val="en-US" w:eastAsia="zh-CN"/>
        </w:rPr>
        <w:t>二、 项目要求</w:t>
      </w:r>
      <w:r>
        <w:tab/>
      </w:r>
      <w:r>
        <w:fldChar w:fldCharType="begin"/>
      </w:r>
      <w:r>
        <w:instrText xml:space="preserve"> PAGEREF _Toc14052 \h </w:instrText>
      </w:r>
      <w:r>
        <w:fldChar w:fldCharType="separate"/>
      </w:r>
      <w:r>
        <w:t>15</w:t>
      </w:r>
      <w:r>
        <w:fldChar w:fldCharType="end"/>
      </w:r>
      <w:r>
        <w:rPr>
          <w:color w:val="auto"/>
          <w:szCs w:val="30"/>
          <w:highlight w:val="none"/>
        </w:rPr>
        <w:fldChar w:fldCharType="end"/>
      </w:r>
    </w:p>
    <w:p w14:paraId="6030128A">
      <w:pPr>
        <w:pStyle w:val="28"/>
        <w:tabs>
          <w:tab w:val="right" w:leader="dot" w:pos="8306"/>
        </w:tabs>
      </w:pPr>
      <w:r>
        <w:rPr>
          <w:color w:val="auto"/>
          <w:szCs w:val="30"/>
          <w:highlight w:val="none"/>
        </w:rPr>
        <w:fldChar w:fldCharType="begin"/>
      </w:r>
      <w:r>
        <w:rPr>
          <w:szCs w:val="30"/>
          <w:highlight w:val="none"/>
        </w:rPr>
        <w:instrText xml:space="preserve"> HYPERLINK \l _Toc1900 </w:instrText>
      </w:r>
      <w:r>
        <w:rPr>
          <w:szCs w:val="30"/>
          <w:highlight w:val="none"/>
        </w:rPr>
        <w:fldChar w:fldCharType="separate"/>
      </w:r>
      <w:r>
        <w:rPr>
          <w:rFonts w:hint="eastAsia" w:ascii="宋体" w:hAnsi="宋体" w:eastAsia="宋体" w:cs="宋体"/>
          <w:szCs w:val="21"/>
          <w:lang w:val="en-US" w:eastAsia="zh-CN"/>
        </w:rPr>
        <w:t>三、商务要求</w:t>
      </w:r>
      <w:r>
        <w:tab/>
      </w:r>
      <w:r>
        <w:fldChar w:fldCharType="begin"/>
      </w:r>
      <w:r>
        <w:instrText xml:space="preserve"> PAGEREF _Toc1900 \h </w:instrText>
      </w:r>
      <w:r>
        <w:fldChar w:fldCharType="separate"/>
      </w:r>
      <w:r>
        <w:t>15</w:t>
      </w:r>
      <w:r>
        <w:fldChar w:fldCharType="end"/>
      </w:r>
      <w:r>
        <w:rPr>
          <w:color w:val="auto"/>
          <w:szCs w:val="30"/>
          <w:highlight w:val="none"/>
        </w:rPr>
        <w:fldChar w:fldCharType="end"/>
      </w:r>
    </w:p>
    <w:p w14:paraId="32F8F81F">
      <w:pPr>
        <w:pStyle w:val="28"/>
        <w:tabs>
          <w:tab w:val="right" w:leader="dot" w:pos="8306"/>
        </w:tabs>
      </w:pPr>
      <w:r>
        <w:rPr>
          <w:color w:val="auto"/>
          <w:szCs w:val="30"/>
          <w:highlight w:val="none"/>
        </w:rPr>
        <w:fldChar w:fldCharType="begin"/>
      </w:r>
      <w:r>
        <w:rPr>
          <w:szCs w:val="30"/>
          <w:highlight w:val="none"/>
        </w:rPr>
        <w:instrText xml:space="preserve"> HYPERLINK \l _Toc16964 </w:instrText>
      </w:r>
      <w:r>
        <w:rPr>
          <w:szCs w:val="30"/>
          <w:highlight w:val="none"/>
        </w:rPr>
        <w:fldChar w:fldCharType="separate"/>
      </w:r>
      <w:r>
        <w:rPr>
          <w:rFonts w:hint="eastAsia" w:ascii="宋体" w:hAnsi="宋体" w:eastAsia="宋体" w:cs="宋体"/>
          <w:szCs w:val="21"/>
          <w:lang w:val="en-US" w:eastAsia="zh-CN"/>
        </w:rPr>
        <w:t>四、其他说明</w:t>
      </w:r>
      <w:r>
        <w:tab/>
      </w:r>
      <w:r>
        <w:fldChar w:fldCharType="begin"/>
      </w:r>
      <w:r>
        <w:instrText xml:space="preserve"> PAGEREF _Toc16964 \h </w:instrText>
      </w:r>
      <w:r>
        <w:fldChar w:fldCharType="separate"/>
      </w:r>
      <w:r>
        <w:t>16</w:t>
      </w:r>
      <w:r>
        <w:fldChar w:fldCharType="end"/>
      </w:r>
      <w:r>
        <w:rPr>
          <w:color w:val="auto"/>
          <w:szCs w:val="30"/>
          <w:highlight w:val="none"/>
        </w:rPr>
        <w:fldChar w:fldCharType="end"/>
      </w:r>
    </w:p>
    <w:p w14:paraId="296591D1">
      <w:pPr>
        <w:pStyle w:val="23"/>
        <w:tabs>
          <w:tab w:val="right" w:leader="dot" w:pos="8306"/>
        </w:tabs>
      </w:pPr>
      <w:r>
        <w:rPr>
          <w:color w:val="auto"/>
          <w:szCs w:val="30"/>
          <w:highlight w:val="none"/>
        </w:rPr>
        <w:fldChar w:fldCharType="begin"/>
      </w:r>
      <w:r>
        <w:rPr>
          <w:szCs w:val="30"/>
          <w:highlight w:val="none"/>
        </w:rPr>
        <w:instrText xml:space="preserve"> HYPERLINK \l _Toc16221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第四章</w:t>
      </w:r>
      <w:r>
        <w:rPr>
          <w:rFonts w:ascii="Times New Roman" w:hAnsi="Times New Roman" w:eastAsia="宋体" w:cs="Times New Roman"/>
          <w:bCs/>
          <w:kern w:val="44"/>
          <w:szCs w:val="44"/>
          <w:highlight w:val="none"/>
          <w:lang w:val="en-US" w:eastAsia="zh-CN" w:bidi="ar-SA"/>
        </w:rPr>
        <w:t xml:space="preserve">  </w:t>
      </w:r>
      <w:r>
        <w:rPr>
          <w:rFonts w:hint="eastAsia" w:ascii="Times New Roman" w:hAnsi="Times New Roman" w:eastAsia="宋体" w:cs="Times New Roman"/>
          <w:bCs/>
          <w:kern w:val="44"/>
          <w:szCs w:val="44"/>
          <w:highlight w:val="none"/>
          <w:lang w:val="en-US" w:eastAsia="zh-CN" w:bidi="ar-SA"/>
        </w:rPr>
        <w:t>开标、评标和定标须知</w:t>
      </w:r>
      <w:r>
        <w:tab/>
      </w:r>
      <w:r>
        <w:fldChar w:fldCharType="begin"/>
      </w:r>
      <w:r>
        <w:instrText xml:space="preserve"> PAGEREF _Toc16221 \h </w:instrText>
      </w:r>
      <w:r>
        <w:fldChar w:fldCharType="separate"/>
      </w:r>
      <w:r>
        <w:t>17</w:t>
      </w:r>
      <w:r>
        <w:fldChar w:fldCharType="end"/>
      </w:r>
      <w:r>
        <w:rPr>
          <w:color w:val="auto"/>
          <w:szCs w:val="30"/>
          <w:highlight w:val="none"/>
        </w:rPr>
        <w:fldChar w:fldCharType="end"/>
      </w:r>
    </w:p>
    <w:p w14:paraId="345AFF95">
      <w:pPr>
        <w:pStyle w:val="28"/>
        <w:tabs>
          <w:tab w:val="right" w:leader="dot" w:pos="8306"/>
        </w:tabs>
      </w:pPr>
      <w:r>
        <w:rPr>
          <w:color w:val="auto"/>
          <w:szCs w:val="30"/>
          <w:highlight w:val="none"/>
        </w:rPr>
        <w:fldChar w:fldCharType="begin"/>
      </w:r>
      <w:r>
        <w:rPr>
          <w:szCs w:val="30"/>
          <w:highlight w:val="none"/>
        </w:rPr>
        <w:instrText xml:space="preserve"> HYPERLINK \l _Toc26212 </w:instrText>
      </w:r>
      <w:r>
        <w:rPr>
          <w:szCs w:val="30"/>
          <w:highlight w:val="none"/>
        </w:rPr>
        <w:fldChar w:fldCharType="separate"/>
      </w:r>
      <w:r>
        <w:rPr>
          <w:rFonts w:hint="eastAsia" w:ascii="宋体" w:hAnsi="宋体" w:eastAsia="宋体"/>
          <w:szCs w:val="21"/>
          <w:highlight w:val="none"/>
        </w:rPr>
        <w:t>一、开标</w:t>
      </w:r>
      <w:r>
        <w:tab/>
      </w:r>
      <w:r>
        <w:fldChar w:fldCharType="begin"/>
      </w:r>
      <w:r>
        <w:instrText xml:space="preserve"> PAGEREF _Toc26212 \h </w:instrText>
      </w:r>
      <w:r>
        <w:fldChar w:fldCharType="separate"/>
      </w:r>
      <w:r>
        <w:t>17</w:t>
      </w:r>
      <w:r>
        <w:fldChar w:fldCharType="end"/>
      </w:r>
      <w:r>
        <w:rPr>
          <w:color w:val="auto"/>
          <w:szCs w:val="30"/>
          <w:highlight w:val="none"/>
        </w:rPr>
        <w:fldChar w:fldCharType="end"/>
      </w:r>
    </w:p>
    <w:p w14:paraId="524C9D3E">
      <w:pPr>
        <w:pStyle w:val="28"/>
        <w:tabs>
          <w:tab w:val="right" w:leader="dot" w:pos="8306"/>
        </w:tabs>
      </w:pPr>
      <w:r>
        <w:rPr>
          <w:color w:val="auto"/>
          <w:szCs w:val="30"/>
          <w:highlight w:val="none"/>
        </w:rPr>
        <w:fldChar w:fldCharType="begin"/>
      </w:r>
      <w:r>
        <w:rPr>
          <w:szCs w:val="30"/>
          <w:highlight w:val="none"/>
        </w:rPr>
        <w:instrText xml:space="preserve"> HYPERLINK \l _Toc24783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_Toc24783 \h </w:instrText>
      </w:r>
      <w:r>
        <w:fldChar w:fldCharType="separate"/>
      </w:r>
      <w:r>
        <w:t>17</w:t>
      </w:r>
      <w:r>
        <w:fldChar w:fldCharType="end"/>
      </w:r>
      <w:r>
        <w:rPr>
          <w:color w:val="auto"/>
          <w:szCs w:val="30"/>
          <w:highlight w:val="none"/>
        </w:rPr>
        <w:fldChar w:fldCharType="end"/>
      </w:r>
    </w:p>
    <w:p w14:paraId="1A681BEE">
      <w:pPr>
        <w:pStyle w:val="28"/>
        <w:tabs>
          <w:tab w:val="right" w:leader="dot" w:pos="8306"/>
        </w:tabs>
      </w:pPr>
      <w:r>
        <w:rPr>
          <w:color w:val="auto"/>
          <w:szCs w:val="30"/>
          <w:highlight w:val="none"/>
        </w:rPr>
        <w:fldChar w:fldCharType="begin"/>
      </w:r>
      <w:r>
        <w:rPr>
          <w:szCs w:val="30"/>
          <w:highlight w:val="none"/>
        </w:rPr>
        <w:instrText xml:space="preserve"> HYPERLINK \l _Toc957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_Toc957 \h </w:instrText>
      </w:r>
      <w:r>
        <w:fldChar w:fldCharType="separate"/>
      </w:r>
      <w:r>
        <w:t>20</w:t>
      </w:r>
      <w:r>
        <w:fldChar w:fldCharType="end"/>
      </w:r>
      <w:r>
        <w:rPr>
          <w:color w:val="auto"/>
          <w:szCs w:val="30"/>
          <w:highlight w:val="none"/>
        </w:rPr>
        <w:fldChar w:fldCharType="end"/>
      </w:r>
    </w:p>
    <w:p w14:paraId="67C15E3E">
      <w:pPr>
        <w:pStyle w:val="23"/>
        <w:tabs>
          <w:tab w:val="right" w:leader="dot" w:pos="8306"/>
        </w:tabs>
      </w:pPr>
      <w:r>
        <w:rPr>
          <w:color w:val="auto"/>
          <w:szCs w:val="30"/>
          <w:highlight w:val="none"/>
        </w:rPr>
        <w:fldChar w:fldCharType="begin"/>
      </w:r>
      <w:r>
        <w:rPr>
          <w:szCs w:val="30"/>
          <w:highlight w:val="none"/>
        </w:rPr>
        <w:instrText xml:space="preserve"> HYPERLINK \l _Toc598 </w:instrText>
      </w:r>
      <w:r>
        <w:rPr>
          <w:szCs w:val="30"/>
          <w:highlight w:val="none"/>
        </w:rPr>
        <w:fldChar w:fldCharType="separate"/>
      </w:r>
      <w:r>
        <w:rPr>
          <w:rFonts w:hint="eastAsia" w:hAnsi="宋体"/>
          <w:highlight w:val="none"/>
        </w:rPr>
        <w:t>第五章</w:t>
      </w:r>
      <w:r>
        <w:rPr>
          <w:rFonts w:hAnsi="宋体"/>
          <w:highlight w:val="none"/>
        </w:rPr>
        <w:t xml:space="preserve">  </w:t>
      </w:r>
      <w:r>
        <w:rPr>
          <w:rFonts w:hint="eastAsia" w:hAnsi="宋体"/>
          <w:highlight w:val="none"/>
        </w:rPr>
        <w:t>投标文件的有效性</w:t>
      </w:r>
      <w:r>
        <w:tab/>
      </w:r>
      <w:r>
        <w:fldChar w:fldCharType="begin"/>
      </w:r>
      <w:r>
        <w:instrText xml:space="preserve"> PAGEREF _Toc598 \h </w:instrText>
      </w:r>
      <w:r>
        <w:fldChar w:fldCharType="separate"/>
      </w:r>
      <w:r>
        <w:t>22</w:t>
      </w:r>
      <w:r>
        <w:fldChar w:fldCharType="end"/>
      </w:r>
      <w:r>
        <w:rPr>
          <w:color w:val="auto"/>
          <w:szCs w:val="30"/>
          <w:highlight w:val="none"/>
        </w:rPr>
        <w:fldChar w:fldCharType="end"/>
      </w:r>
    </w:p>
    <w:p w14:paraId="26865783">
      <w:pPr>
        <w:pStyle w:val="23"/>
        <w:tabs>
          <w:tab w:val="right" w:leader="dot" w:pos="8306"/>
        </w:tabs>
      </w:pPr>
      <w:r>
        <w:rPr>
          <w:color w:val="auto"/>
          <w:szCs w:val="30"/>
          <w:highlight w:val="none"/>
        </w:rPr>
        <w:fldChar w:fldCharType="begin"/>
      </w:r>
      <w:r>
        <w:rPr>
          <w:szCs w:val="30"/>
          <w:highlight w:val="none"/>
        </w:rPr>
        <w:instrText xml:space="preserve"> HYPERLINK \l _Toc13966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_Toc13966 \h </w:instrText>
      </w:r>
      <w:r>
        <w:fldChar w:fldCharType="separate"/>
      </w:r>
      <w:r>
        <w:t>24</w:t>
      </w:r>
      <w:r>
        <w:fldChar w:fldCharType="end"/>
      </w:r>
      <w:r>
        <w:rPr>
          <w:color w:val="auto"/>
          <w:szCs w:val="30"/>
          <w:highlight w:val="none"/>
        </w:rPr>
        <w:fldChar w:fldCharType="end"/>
      </w:r>
    </w:p>
    <w:p w14:paraId="42610D40">
      <w:pPr>
        <w:pStyle w:val="28"/>
        <w:tabs>
          <w:tab w:val="right" w:leader="dot" w:pos="8306"/>
        </w:tabs>
      </w:pPr>
      <w:r>
        <w:rPr>
          <w:color w:val="auto"/>
          <w:szCs w:val="30"/>
          <w:highlight w:val="none"/>
        </w:rPr>
        <w:fldChar w:fldCharType="begin"/>
      </w:r>
      <w:r>
        <w:rPr>
          <w:szCs w:val="30"/>
          <w:highlight w:val="none"/>
        </w:rPr>
        <w:instrText xml:space="preserve"> HYPERLINK \l _Toc5961 </w:instrText>
      </w:r>
      <w:r>
        <w:rPr>
          <w:szCs w:val="30"/>
          <w:highlight w:val="none"/>
        </w:rPr>
        <w:fldChar w:fldCharType="separate"/>
      </w:r>
      <w:r>
        <w:rPr>
          <w:rFonts w:hint="eastAsia" w:ascii="宋体" w:hAnsi="宋体" w:eastAsia="宋体" w:cs="宋体"/>
          <w:bCs/>
          <w:szCs w:val="21"/>
          <w:highlight w:val="none"/>
        </w:rPr>
        <w:t>一、评审程序</w:t>
      </w:r>
      <w:r>
        <w:tab/>
      </w:r>
      <w:r>
        <w:fldChar w:fldCharType="begin"/>
      </w:r>
      <w:r>
        <w:instrText xml:space="preserve"> PAGEREF _Toc5961 \h </w:instrText>
      </w:r>
      <w:r>
        <w:fldChar w:fldCharType="separate"/>
      </w:r>
      <w:r>
        <w:t>24</w:t>
      </w:r>
      <w:r>
        <w:fldChar w:fldCharType="end"/>
      </w:r>
      <w:r>
        <w:rPr>
          <w:color w:val="auto"/>
          <w:szCs w:val="30"/>
          <w:highlight w:val="none"/>
        </w:rPr>
        <w:fldChar w:fldCharType="end"/>
      </w:r>
    </w:p>
    <w:p w14:paraId="08B3C1D4">
      <w:pPr>
        <w:pStyle w:val="28"/>
        <w:tabs>
          <w:tab w:val="right" w:leader="dot" w:pos="8306"/>
        </w:tabs>
      </w:pPr>
      <w:r>
        <w:rPr>
          <w:color w:val="auto"/>
          <w:szCs w:val="30"/>
          <w:highlight w:val="none"/>
        </w:rPr>
        <w:fldChar w:fldCharType="begin"/>
      </w:r>
      <w:r>
        <w:rPr>
          <w:szCs w:val="30"/>
          <w:highlight w:val="none"/>
        </w:rPr>
        <w:instrText xml:space="preserve"> HYPERLINK \l _Toc5282 </w:instrText>
      </w:r>
      <w:r>
        <w:rPr>
          <w:szCs w:val="30"/>
          <w:highlight w:val="none"/>
        </w:rPr>
        <w:fldChar w:fldCharType="separate"/>
      </w:r>
      <w:r>
        <w:rPr>
          <w:rFonts w:hint="eastAsia" w:ascii="宋体" w:hAnsi="宋体" w:eastAsia="宋体" w:cs="宋体"/>
          <w:bCs/>
          <w:szCs w:val="21"/>
          <w:highlight w:val="none"/>
        </w:rPr>
        <w:t>二、确定的中标人放弃中标等情况的处理</w:t>
      </w:r>
      <w:r>
        <w:tab/>
      </w:r>
      <w:r>
        <w:fldChar w:fldCharType="begin"/>
      </w:r>
      <w:r>
        <w:instrText xml:space="preserve"> PAGEREF _Toc5282 \h </w:instrText>
      </w:r>
      <w:r>
        <w:fldChar w:fldCharType="separate"/>
      </w:r>
      <w:r>
        <w:t>24</w:t>
      </w:r>
      <w:r>
        <w:fldChar w:fldCharType="end"/>
      </w:r>
      <w:r>
        <w:rPr>
          <w:color w:val="auto"/>
          <w:szCs w:val="30"/>
          <w:highlight w:val="none"/>
        </w:rPr>
        <w:fldChar w:fldCharType="end"/>
      </w:r>
    </w:p>
    <w:p w14:paraId="620F56DE">
      <w:pPr>
        <w:pStyle w:val="28"/>
        <w:tabs>
          <w:tab w:val="right" w:leader="dot" w:pos="8306"/>
        </w:tabs>
      </w:pPr>
      <w:r>
        <w:rPr>
          <w:color w:val="auto"/>
          <w:szCs w:val="30"/>
          <w:highlight w:val="none"/>
        </w:rPr>
        <w:fldChar w:fldCharType="begin"/>
      </w:r>
      <w:r>
        <w:rPr>
          <w:szCs w:val="30"/>
          <w:highlight w:val="none"/>
        </w:rPr>
        <w:instrText xml:space="preserve"> HYPERLINK \l _Toc14060 </w:instrText>
      </w:r>
      <w:r>
        <w:rPr>
          <w:szCs w:val="30"/>
          <w:highlight w:val="none"/>
        </w:rPr>
        <w:fldChar w:fldCharType="separate"/>
      </w:r>
      <w:r>
        <w:rPr>
          <w:rFonts w:hint="eastAsia" w:ascii="宋体" w:hAnsi="宋体" w:eastAsia="宋体" w:cs="宋体"/>
          <w:szCs w:val="21"/>
        </w:rPr>
        <w:t xml:space="preserve">三、 </w:t>
      </w:r>
      <w:r>
        <w:rPr>
          <w:rFonts w:hint="eastAsia" w:ascii="宋体" w:hAnsi="宋体" w:eastAsia="宋体" w:cs="宋体"/>
          <w:szCs w:val="21"/>
          <w:highlight w:val="none"/>
        </w:rPr>
        <w:t>评分细则</w:t>
      </w:r>
      <w:r>
        <w:tab/>
      </w:r>
      <w:r>
        <w:fldChar w:fldCharType="begin"/>
      </w:r>
      <w:r>
        <w:instrText xml:space="preserve"> PAGEREF _Toc14060 \h </w:instrText>
      </w:r>
      <w:r>
        <w:fldChar w:fldCharType="separate"/>
      </w:r>
      <w:r>
        <w:t>25</w:t>
      </w:r>
      <w:r>
        <w:fldChar w:fldCharType="end"/>
      </w:r>
      <w:r>
        <w:rPr>
          <w:color w:val="auto"/>
          <w:szCs w:val="30"/>
          <w:highlight w:val="none"/>
        </w:rPr>
        <w:fldChar w:fldCharType="end"/>
      </w:r>
    </w:p>
    <w:p w14:paraId="0E567568">
      <w:pPr>
        <w:pStyle w:val="28"/>
        <w:tabs>
          <w:tab w:val="right" w:leader="dot" w:pos="8306"/>
        </w:tabs>
      </w:pPr>
      <w:r>
        <w:rPr>
          <w:color w:val="auto"/>
          <w:szCs w:val="30"/>
          <w:highlight w:val="none"/>
        </w:rPr>
        <w:fldChar w:fldCharType="begin"/>
      </w:r>
      <w:r>
        <w:rPr>
          <w:szCs w:val="30"/>
          <w:highlight w:val="none"/>
        </w:rPr>
        <w:instrText xml:space="preserve"> HYPERLINK \l _Toc22083 </w:instrText>
      </w:r>
      <w:r>
        <w:rPr>
          <w:szCs w:val="30"/>
          <w:highlight w:val="none"/>
        </w:rPr>
        <w:fldChar w:fldCharType="separate"/>
      </w:r>
      <w:r>
        <w:rPr>
          <w:rFonts w:hint="eastAsia" w:hAnsi="宋体" w:cs="宋体"/>
          <w:szCs w:val="21"/>
          <w:highlight w:val="none"/>
        </w:rPr>
        <w:t>四、评标小组不向落标方解释落标原因</w:t>
      </w:r>
      <w:r>
        <w:rPr>
          <w:rFonts w:hint="eastAsia" w:hAnsi="宋体"/>
          <w:bCs/>
          <w:szCs w:val="21"/>
          <w:highlight w:val="none"/>
        </w:rPr>
        <w:t>。</w:t>
      </w:r>
      <w:r>
        <w:tab/>
      </w:r>
      <w:r>
        <w:fldChar w:fldCharType="begin"/>
      </w:r>
      <w:r>
        <w:instrText xml:space="preserve"> PAGEREF _Toc22083 \h </w:instrText>
      </w:r>
      <w:r>
        <w:fldChar w:fldCharType="separate"/>
      </w:r>
      <w:r>
        <w:t>26</w:t>
      </w:r>
      <w:r>
        <w:fldChar w:fldCharType="end"/>
      </w:r>
      <w:r>
        <w:rPr>
          <w:color w:val="auto"/>
          <w:szCs w:val="30"/>
          <w:highlight w:val="none"/>
        </w:rPr>
        <w:fldChar w:fldCharType="end"/>
      </w:r>
    </w:p>
    <w:p w14:paraId="765FC19A">
      <w:pPr>
        <w:pStyle w:val="23"/>
        <w:tabs>
          <w:tab w:val="right" w:leader="dot" w:pos="8306"/>
        </w:tabs>
      </w:pPr>
      <w:r>
        <w:rPr>
          <w:color w:val="auto"/>
          <w:szCs w:val="30"/>
          <w:highlight w:val="none"/>
        </w:rPr>
        <w:fldChar w:fldCharType="begin"/>
      </w:r>
      <w:r>
        <w:rPr>
          <w:szCs w:val="30"/>
          <w:highlight w:val="none"/>
        </w:rPr>
        <w:instrText xml:space="preserve"> HYPERLINK \l _Toc9741 </w:instrText>
      </w:r>
      <w:r>
        <w:rPr>
          <w:szCs w:val="30"/>
          <w:highlight w:val="none"/>
        </w:rPr>
        <w:fldChar w:fldCharType="separate"/>
      </w:r>
      <w:r>
        <w:rPr>
          <w:rFonts w:hint="eastAsia" w:ascii="宋体" w:hAnsi="宋体"/>
          <w:szCs w:val="36"/>
          <w:highlight w:val="none"/>
        </w:rPr>
        <w:t>第</w:t>
      </w:r>
      <w:r>
        <w:rPr>
          <w:rFonts w:hint="eastAsia" w:ascii="宋体" w:hAnsi="宋体"/>
          <w:szCs w:val="36"/>
          <w:highlight w:val="none"/>
          <w:lang w:val="en-US" w:eastAsia="zh-CN"/>
        </w:rPr>
        <w:t>七</w:t>
      </w:r>
      <w:r>
        <w:rPr>
          <w:rFonts w:hint="eastAsia" w:ascii="宋体" w:hAnsi="宋体"/>
          <w:szCs w:val="36"/>
          <w:highlight w:val="none"/>
        </w:rPr>
        <w:t>章  飞灰转移服务项目合同</w:t>
      </w:r>
      <w:r>
        <w:tab/>
      </w:r>
      <w:r>
        <w:fldChar w:fldCharType="begin"/>
      </w:r>
      <w:r>
        <w:instrText xml:space="preserve"> PAGEREF _Toc9741 \h </w:instrText>
      </w:r>
      <w:r>
        <w:fldChar w:fldCharType="separate"/>
      </w:r>
      <w:r>
        <w:t>27</w:t>
      </w:r>
      <w:r>
        <w:fldChar w:fldCharType="end"/>
      </w:r>
      <w:r>
        <w:rPr>
          <w:color w:val="auto"/>
          <w:szCs w:val="30"/>
          <w:highlight w:val="none"/>
        </w:rPr>
        <w:fldChar w:fldCharType="end"/>
      </w:r>
    </w:p>
    <w:p w14:paraId="73CB4061">
      <w:pPr>
        <w:pStyle w:val="23"/>
        <w:tabs>
          <w:tab w:val="right" w:leader="dot" w:pos="8306"/>
        </w:tabs>
      </w:pPr>
      <w:r>
        <w:rPr>
          <w:color w:val="auto"/>
          <w:szCs w:val="30"/>
          <w:highlight w:val="none"/>
        </w:rPr>
        <w:fldChar w:fldCharType="begin"/>
      </w:r>
      <w:r>
        <w:rPr>
          <w:szCs w:val="30"/>
          <w:highlight w:val="none"/>
        </w:rPr>
        <w:instrText xml:space="preserve"> HYPERLINK \l _Toc11248 </w:instrText>
      </w:r>
      <w:r>
        <w:rPr>
          <w:szCs w:val="30"/>
          <w:highlight w:val="none"/>
        </w:rPr>
        <w:fldChar w:fldCharType="separate"/>
      </w:r>
      <w:r>
        <w:rPr>
          <w:rFonts w:hint="eastAsia" w:ascii="宋体" w:hAnsi="宋体" w:eastAsia="宋体" w:cs="Times New Roman"/>
          <w:szCs w:val="36"/>
          <w:highlight w:val="none"/>
        </w:rPr>
        <w:t>第</w:t>
      </w:r>
      <w:r>
        <w:rPr>
          <w:rFonts w:hint="eastAsia" w:ascii="宋体" w:hAnsi="宋体" w:cs="Times New Roman"/>
          <w:szCs w:val="36"/>
          <w:highlight w:val="none"/>
          <w:lang w:val="en-US" w:eastAsia="zh-CN"/>
        </w:rPr>
        <w:t>八</w:t>
      </w:r>
      <w:r>
        <w:rPr>
          <w:rFonts w:hint="eastAsia" w:ascii="宋体" w:hAnsi="宋体" w:eastAsia="宋体" w:cs="Times New Roman"/>
          <w:szCs w:val="36"/>
          <w:highlight w:val="none"/>
        </w:rPr>
        <w:t>章  投标文件部分格式</w:t>
      </w:r>
      <w:r>
        <w:tab/>
      </w:r>
      <w:r>
        <w:fldChar w:fldCharType="begin"/>
      </w:r>
      <w:r>
        <w:instrText xml:space="preserve"> PAGEREF _Toc11248 \h </w:instrText>
      </w:r>
      <w:r>
        <w:fldChar w:fldCharType="separate"/>
      </w:r>
      <w:r>
        <w:t>38</w:t>
      </w:r>
      <w:r>
        <w:fldChar w:fldCharType="end"/>
      </w:r>
      <w:r>
        <w:rPr>
          <w:color w:val="auto"/>
          <w:szCs w:val="30"/>
          <w:highlight w:val="none"/>
        </w:rPr>
        <w:fldChar w:fldCharType="end"/>
      </w:r>
    </w:p>
    <w:p w14:paraId="42E4B685">
      <w:pPr>
        <w:pStyle w:val="28"/>
        <w:tabs>
          <w:tab w:val="right" w:leader="dot" w:pos="8306"/>
        </w:tabs>
      </w:pPr>
      <w:r>
        <w:rPr>
          <w:color w:val="auto"/>
          <w:szCs w:val="30"/>
          <w:highlight w:val="none"/>
        </w:rPr>
        <w:fldChar w:fldCharType="begin"/>
      </w:r>
      <w:r>
        <w:rPr>
          <w:szCs w:val="30"/>
          <w:highlight w:val="none"/>
        </w:rPr>
        <w:instrText xml:space="preserve"> HYPERLINK \l _Toc32372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_Toc32372 \h </w:instrText>
      </w:r>
      <w:r>
        <w:fldChar w:fldCharType="separate"/>
      </w:r>
      <w:r>
        <w:t>38</w:t>
      </w:r>
      <w:r>
        <w:fldChar w:fldCharType="end"/>
      </w:r>
      <w:r>
        <w:rPr>
          <w:color w:val="auto"/>
          <w:szCs w:val="30"/>
          <w:highlight w:val="none"/>
        </w:rPr>
        <w:fldChar w:fldCharType="end"/>
      </w:r>
    </w:p>
    <w:p w14:paraId="10B6F89A">
      <w:pPr>
        <w:pStyle w:val="28"/>
        <w:tabs>
          <w:tab w:val="right" w:leader="dot" w:pos="8306"/>
        </w:tabs>
      </w:pPr>
      <w:r>
        <w:rPr>
          <w:color w:val="auto"/>
          <w:szCs w:val="30"/>
          <w:highlight w:val="none"/>
        </w:rPr>
        <w:fldChar w:fldCharType="begin"/>
      </w:r>
      <w:r>
        <w:rPr>
          <w:szCs w:val="30"/>
          <w:highlight w:val="none"/>
        </w:rPr>
        <w:instrText xml:space="preserve"> HYPERLINK \l _Toc20107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_Toc20107 \h </w:instrText>
      </w:r>
      <w:r>
        <w:fldChar w:fldCharType="separate"/>
      </w:r>
      <w:r>
        <w:t>38</w:t>
      </w:r>
      <w:r>
        <w:fldChar w:fldCharType="end"/>
      </w:r>
      <w:r>
        <w:rPr>
          <w:color w:val="auto"/>
          <w:szCs w:val="30"/>
          <w:highlight w:val="none"/>
        </w:rPr>
        <w:fldChar w:fldCharType="end"/>
      </w:r>
    </w:p>
    <w:p w14:paraId="480A033E">
      <w:pPr>
        <w:pStyle w:val="28"/>
        <w:tabs>
          <w:tab w:val="right" w:leader="dot" w:pos="8306"/>
        </w:tabs>
      </w:pPr>
      <w:r>
        <w:rPr>
          <w:color w:val="auto"/>
          <w:szCs w:val="30"/>
          <w:highlight w:val="none"/>
        </w:rPr>
        <w:fldChar w:fldCharType="begin"/>
      </w:r>
      <w:r>
        <w:rPr>
          <w:szCs w:val="30"/>
          <w:highlight w:val="none"/>
        </w:rPr>
        <w:instrText xml:space="preserve"> HYPERLINK \l _Toc27345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_Toc27345 \h </w:instrText>
      </w:r>
      <w:r>
        <w:fldChar w:fldCharType="separate"/>
      </w:r>
      <w:r>
        <w:t>38</w:t>
      </w:r>
      <w:r>
        <w:fldChar w:fldCharType="end"/>
      </w:r>
      <w:r>
        <w:rPr>
          <w:color w:val="auto"/>
          <w:szCs w:val="30"/>
          <w:highlight w:val="none"/>
        </w:rPr>
        <w:fldChar w:fldCharType="end"/>
      </w:r>
    </w:p>
    <w:p w14:paraId="53167D96">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4A626AD2">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13402"/>
      <w:bookmarkStart w:id="1" w:name="_Toc14151"/>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2B3C8F67">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16B2FC59">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Style w:val="107"/>
          <w:rFonts w:hint="eastAsia" w:ascii="宋体" w:hAnsi="宋体" w:eastAsia="宋体" w:cs="宋体"/>
          <w:b/>
          <w:bCs/>
          <w:color w:val="3D4B64"/>
          <w:sz w:val="21"/>
          <w:szCs w:val="21"/>
          <w:shd w:val="clear" w:fill="FFFFFF"/>
        </w:rPr>
        <w:t>YWYGZC202512CG0082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YCQ-202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-CG</w:t>
      </w:r>
      <w:r>
        <w:rPr>
          <w:rFonts w:hint="eastAsia" w:ascii="宋体" w:hAnsi="宋体" w:eastAsia="宋体" w:cs="宋体"/>
          <w:b/>
          <w:bCs/>
          <w:color w:val="auto"/>
          <w:sz w:val="21"/>
          <w:szCs w:val="21"/>
          <w:highlight w:val="none"/>
          <w:lang w:val="en-US" w:eastAsia="zh-CN"/>
        </w:rPr>
        <w:t>288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p>
    <w:p w14:paraId="6B9EFD22">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cs="宋体"/>
          <w:b w:val="0"/>
          <w:bCs/>
          <w:color w:val="auto"/>
          <w:highlight w:val="none"/>
          <w:lang w:val="en-US" w:eastAsia="zh-CN"/>
        </w:rPr>
        <w:t>塔山填埋场飞灰一期飞灰转移服务</w:t>
      </w:r>
      <w:r>
        <w:rPr>
          <w:rFonts w:hint="eastAsia" w:ascii="宋体" w:hAnsi="宋体"/>
          <w:color w:val="auto"/>
          <w:highlight w:val="none"/>
          <w:lang w:eastAsia="zh-CN"/>
        </w:rPr>
        <w:t>采购，具体</w:t>
      </w:r>
      <w:r>
        <w:rPr>
          <w:rFonts w:hint="eastAsia" w:ascii="宋体" w:hAnsi="宋体"/>
          <w:color w:val="auto"/>
          <w:highlight w:val="none"/>
          <w:lang w:val="en-US" w:eastAsia="zh-CN"/>
        </w:rPr>
        <w:t>内容</w:t>
      </w:r>
      <w:r>
        <w:rPr>
          <w:rFonts w:hint="eastAsia" w:ascii="宋体" w:hAnsi="宋体"/>
          <w:color w:val="auto"/>
          <w:highlight w:val="none"/>
          <w:lang w:eastAsia="zh-CN"/>
        </w:rPr>
        <w:t>详见第三章招标项目要求。</w:t>
      </w:r>
    </w:p>
    <w:p w14:paraId="0588638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color w:val="auto"/>
          <w:highlight w:val="none"/>
        </w:rPr>
        <w:t>：</w:t>
      </w:r>
      <w:r>
        <w:rPr>
          <w:rFonts w:hint="eastAsia" w:ascii="宋体" w:hAnsi="宋体" w:cs="宋体"/>
          <w:color w:val="auto"/>
          <w:highlight w:val="none"/>
          <w:lang w:val="en-US" w:eastAsia="zh-CN"/>
        </w:rPr>
        <w:t>248.49</w:t>
      </w:r>
      <w:r>
        <w:rPr>
          <w:rFonts w:hint="eastAsia" w:ascii="宋体" w:hAnsi="宋体" w:cs="宋体"/>
          <w:b w:val="0"/>
          <w:bCs w:val="0"/>
          <w:color w:val="auto"/>
          <w:highlight w:val="none"/>
          <w:lang w:val="en-US" w:eastAsia="zh-CN"/>
        </w:rPr>
        <w:t>万元</w:t>
      </w:r>
      <w:r>
        <w:rPr>
          <w:rFonts w:hint="eastAsia" w:ascii="宋体" w:hAnsi="宋体" w:cs="宋体"/>
          <w:color w:val="auto"/>
          <w:highlight w:val="none"/>
        </w:rPr>
        <w:t>，</w:t>
      </w:r>
      <w:r>
        <w:rPr>
          <w:rFonts w:hint="eastAsia" w:ascii="宋体" w:hAnsi="宋体" w:cs="宋体"/>
          <w:color w:val="auto"/>
          <w:highlight w:val="none"/>
          <w:lang w:val="en-US" w:eastAsia="zh-CN"/>
        </w:rPr>
        <w:t>投标人的投标报价超过</w:t>
      </w: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b/>
          <w:bCs/>
          <w:color w:val="auto"/>
          <w:highlight w:val="none"/>
          <w:lang w:val="en-US" w:eastAsia="zh-CN"/>
        </w:rPr>
        <w:t>的作</w:t>
      </w:r>
      <w:r>
        <w:rPr>
          <w:rFonts w:hint="eastAsia" w:ascii="宋体" w:hAnsi="宋体" w:cs="宋体"/>
          <w:color w:val="auto"/>
          <w:highlight w:val="none"/>
          <w:lang w:val="en-US" w:eastAsia="zh-CN"/>
        </w:rPr>
        <w:t>无效标处理。</w:t>
      </w:r>
    </w:p>
    <w:p w14:paraId="40C4593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2B3653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1）须具有环保工程专业承包二级及以上资质（资质到期续办的提供续办证明）</w:t>
      </w:r>
      <w:r>
        <w:rPr>
          <w:rFonts w:hint="eastAsia" w:hAnsi="宋体" w:cs="Times New Roman"/>
          <w:b w:val="0"/>
          <w:bCs/>
          <w:color w:val="auto"/>
          <w:highlight w:val="none"/>
          <w:lang w:val="en-US" w:eastAsia="zh-CN"/>
        </w:rPr>
        <w:t>。</w:t>
      </w:r>
    </w:p>
    <w:p w14:paraId="26195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2B9D23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en-US" w:eastAsia="zh-CN"/>
        </w:rPr>
        <w:t>）</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）列入严重失信主体名单；②投标人或法定代表人自2022年1月1日以来在中国裁判文书网（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p>
    <w:p w14:paraId="4B3F6D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en-US" w:eastAsia="zh-CN"/>
        </w:rPr>
        <w:t>）</w:t>
      </w:r>
      <w:r>
        <w:rPr>
          <w:rFonts w:hint="eastAsia" w:ascii="Times New Roman" w:hAnsi="宋体" w:eastAsia="宋体" w:cs="Times New Roman"/>
          <w:b w:val="0"/>
          <w:bCs/>
          <w:color w:val="auto"/>
          <w:highlight w:val="none"/>
          <w:lang w:val="zh-CN"/>
        </w:rPr>
        <w:t>本项目不得转包（如有转包，</w:t>
      </w:r>
      <w:r>
        <w:rPr>
          <w:rFonts w:hint="eastAsia" w:ascii="Times New Roman" w:hAnsi="宋体" w:eastAsia="宋体" w:cs="Times New Roman"/>
          <w:b w:val="0"/>
          <w:bCs/>
          <w:color w:val="auto"/>
          <w:highlight w:val="none"/>
          <w:lang w:val="en-US" w:eastAsia="zh-CN"/>
        </w:rPr>
        <w:t>解除</w:t>
      </w:r>
      <w:r>
        <w:rPr>
          <w:rFonts w:hint="eastAsia" w:ascii="Times New Roman" w:hAnsi="宋体" w:eastAsia="宋体" w:cs="Times New Roman"/>
          <w:b w:val="0"/>
          <w:bCs/>
          <w:color w:val="auto"/>
          <w:highlight w:val="none"/>
          <w:lang w:val="zh-CN"/>
        </w:rPr>
        <w:t>合同），不接受联合体投标。</w:t>
      </w:r>
    </w:p>
    <w:p w14:paraId="219FB9A9">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5D4E9361">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005DBB51">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208389A9">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03F02801">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70BCB4A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义乌市物资再生利用有限公司：陈先生（0579-85414320）</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p>
    <w:p w14:paraId="7637BF3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7E030362">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1月4日09:00</w:t>
      </w:r>
      <w:r>
        <w:rPr>
          <w:rFonts w:hint="eastAsia" w:ascii="宋体" w:hAnsi="宋体" w:eastAsia="宋体" w:cs="宋体"/>
          <w:color w:val="auto"/>
          <w:highlight w:val="none"/>
        </w:rPr>
        <w:t>（北京时间）</w:t>
      </w:r>
    </w:p>
    <w:p w14:paraId="28E77590">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61B135B3">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1月4日09:00</w:t>
      </w:r>
    </w:p>
    <w:p w14:paraId="440DD1E9">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391FEC7F">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1F29C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目前“义乌市阳光招标采购平台”仅支持天谷CA锁）】。因未注册入库、未办理CA数字证书等原因造成无法投标或投标失败等后果由供应商自行承担。</w:t>
      </w:r>
    </w:p>
    <w:p w14:paraId="09916C4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3C2D2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③投标文件上传：投标人应在投标截止时间（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1月4日09:00</w:t>
      </w:r>
      <w:r>
        <w:rPr>
          <w:rFonts w:hint="eastAsia" w:ascii="Times New Roman" w:hAnsi="宋体" w:eastAsia="宋体" w:cs="Times New Roman"/>
          <w:b w:val="0"/>
          <w:bCs/>
          <w:color w:val="auto"/>
          <w:highlight w:val="none"/>
          <w:lang w:val="zh-CN"/>
        </w:rPr>
        <w:t>）之前上传投标文件。</w:t>
      </w:r>
    </w:p>
    <w:p w14:paraId="283F76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F720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67846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（1）该电脑未安装CA驱动，无法读取CA锁——重新下载安装驱动</w:t>
      </w:r>
      <w:r>
        <w:rPr>
          <w:rFonts w:hint="eastAsia" w:hAnsi="宋体" w:cs="Times New Roman"/>
          <w:b w:val="0"/>
          <w:bCs/>
          <w:color w:val="auto"/>
          <w:highlight w:val="none"/>
          <w:lang w:val="en-US" w:eastAsia="zh-CN"/>
        </w:rPr>
        <w:t>；</w:t>
      </w:r>
    </w:p>
    <w:p w14:paraId="0E6B93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（2）电脑长时间未关机应用程序未响应，导致无法读取CA锁——重启电脑或重新安装驱动</w:t>
      </w:r>
      <w:r>
        <w:rPr>
          <w:rFonts w:hint="eastAsia" w:hAnsi="宋体" w:cs="Times New Roman"/>
          <w:b w:val="0"/>
          <w:bCs/>
          <w:color w:val="auto"/>
          <w:highlight w:val="none"/>
          <w:lang w:val="en-US" w:eastAsia="zh-CN"/>
        </w:rPr>
        <w:t>；</w:t>
      </w:r>
    </w:p>
    <w:p w14:paraId="166F98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（3）浏览器版本过低导致无法识别——更换Egde、谷歌浏览器</w:t>
      </w:r>
      <w:r>
        <w:rPr>
          <w:rFonts w:hint="eastAsia" w:hAnsi="宋体" w:cs="Times New Roman"/>
          <w:b w:val="0"/>
          <w:bCs/>
          <w:color w:val="auto"/>
          <w:highlight w:val="none"/>
          <w:lang w:val="en-US" w:eastAsia="zh-CN"/>
        </w:rPr>
        <w:t>；</w:t>
      </w:r>
    </w:p>
    <w:p w14:paraId="6A9A00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（4）密码多次输入错误导致无法解密——打开CA工具进行检测密码是否正确</w:t>
      </w:r>
      <w:r>
        <w:rPr>
          <w:rFonts w:hint="eastAsia" w:hAnsi="宋体" w:cs="Times New Roman"/>
          <w:b w:val="0"/>
          <w:bCs/>
          <w:color w:val="auto"/>
          <w:highlight w:val="none"/>
          <w:lang w:val="en-US" w:eastAsia="zh-CN"/>
        </w:rPr>
        <w:t>；</w:t>
      </w:r>
    </w:p>
    <w:p w14:paraId="5CFBE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（5）因杀毒软件检测导致无法识别CA锁——关闭杀毒软件</w:t>
      </w:r>
      <w:r>
        <w:rPr>
          <w:rFonts w:hint="eastAsia" w:hAnsi="宋体" w:cs="Times New Roman"/>
          <w:b w:val="0"/>
          <w:bCs/>
          <w:color w:val="auto"/>
          <w:highlight w:val="none"/>
          <w:lang w:val="en-US" w:eastAsia="zh-CN"/>
        </w:rPr>
        <w:t>；</w:t>
      </w:r>
    </w:p>
    <w:p w14:paraId="7461D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（6）因系统安装多版本驱动导致无法识别CA锁——卸载其他驱动或更换其他电脑安装驱动。</w:t>
      </w:r>
    </w:p>
    <w:p w14:paraId="0209A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⑤参与在线投标时如遇平台技术问题详询：0579-89920081，电子投标制作问题详询：</w:t>
      </w:r>
      <w:r>
        <w:rPr>
          <w:rFonts w:hint="eastAsia" w:hAnsi="宋体" w:cs="Times New Roman"/>
          <w:b w:val="0"/>
          <w:bCs/>
          <w:color w:val="auto"/>
          <w:highlight w:val="none"/>
          <w:lang w:val="en-US" w:eastAsia="zh-CN"/>
        </w:rPr>
        <w:t>吴先生</w:t>
      </w:r>
      <w:r>
        <w:rPr>
          <w:rFonts w:hint="eastAsia" w:ascii="Times New Roman" w:hAnsi="宋体" w:eastAsia="宋体" w:cs="Times New Roman"/>
          <w:b w:val="0"/>
          <w:bCs/>
          <w:color w:val="auto"/>
          <w:highlight w:val="none"/>
          <w:lang w:val="zh-CN"/>
        </w:rPr>
        <w:t>0579－899</w:t>
      </w:r>
      <w:r>
        <w:rPr>
          <w:rFonts w:hint="eastAsia" w:hAnsi="宋体" w:cs="Times New Roman"/>
          <w:b w:val="0"/>
          <w:bCs/>
          <w:color w:val="auto"/>
          <w:highlight w:val="none"/>
          <w:lang w:val="en-US" w:eastAsia="zh-CN"/>
        </w:rPr>
        <w:t>06383</w:t>
      </w:r>
      <w:r>
        <w:rPr>
          <w:rFonts w:hint="eastAsia" w:ascii="Times New Roman" w:hAnsi="宋体" w:eastAsia="宋体" w:cs="Times New Roman"/>
          <w:b w:val="0"/>
          <w:bCs/>
          <w:color w:val="auto"/>
          <w:highlight w:val="none"/>
          <w:lang w:val="zh-CN"/>
        </w:rPr>
        <w:t>。</w:t>
      </w:r>
    </w:p>
    <w:p w14:paraId="5C3D2254">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4791DB79">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7CCC65E9">
      <w:pPr>
        <w:pStyle w:val="17"/>
        <w:spacing w:line="360" w:lineRule="auto"/>
        <w:ind w:firstLine="440" w:firstLineChars="200"/>
        <w:jc w:val="lef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义乌市物资再生利用有限公司</w:t>
      </w:r>
      <w:r>
        <w:rPr>
          <w:rFonts w:hint="eastAsia" w:hAnsi="宋体" w:cs="宋体"/>
          <w:color w:val="auto"/>
          <w:sz w:val="22"/>
          <w:szCs w:val="22"/>
          <w:highlight w:val="none"/>
          <w:shd w:val="clear" w:color="auto" w:fill="FFFFFF"/>
        </w:rPr>
        <w:t>：</w:t>
      </w:r>
      <w:r>
        <w:rPr>
          <w:rFonts w:hint="eastAsia" w:hAnsi="宋体" w:cs="宋体"/>
          <w:color w:val="auto"/>
          <w:sz w:val="22"/>
          <w:szCs w:val="22"/>
          <w:highlight w:val="none"/>
          <w:shd w:val="clear" w:color="auto" w:fill="FFFFFF"/>
          <w:lang w:eastAsia="zh-CN"/>
        </w:rPr>
        <w:t>陈先生</w:t>
      </w:r>
      <w:r>
        <w:rPr>
          <w:rFonts w:hint="eastAsia" w:hAnsi="宋体" w:cs="宋体"/>
          <w:color w:val="auto"/>
          <w:sz w:val="22"/>
          <w:szCs w:val="22"/>
          <w:highlight w:val="none"/>
          <w:shd w:val="clear" w:color="auto" w:fill="FFFFFF"/>
        </w:rPr>
        <w:t xml:space="preserve"> </w:t>
      </w:r>
      <w:r>
        <w:rPr>
          <w:rFonts w:hint="eastAsia" w:hAnsi="宋体" w:cs="宋体"/>
          <w:color w:val="auto"/>
          <w:sz w:val="22"/>
          <w:szCs w:val="22"/>
          <w:highlight w:val="none"/>
          <w:shd w:val="clear" w:color="auto" w:fill="FFFFFF"/>
          <w:lang w:eastAsia="zh-CN"/>
        </w:rPr>
        <w:t>0579-85414320</w:t>
      </w:r>
    </w:p>
    <w:p w14:paraId="166C4E35">
      <w:pPr>
        <w:snapToGrid w:val="0"/>
        <w:spacing w:line="360" w:lineRule="auto"/>
        <w:ind w:firstLine="411" w:firstLineChars="196"/>
        <w:rPr>
          <w:rFonts w:hint="default" w:ascii="宋体" w:hAnsi="宋体" w:eastAsia="宋体" w:cs="宋体"/>
          <w:color w:val="auto"/>
          <w:szCs w:val="21"/>
          <w:highlight w:val="none"/>
          <w:lang w:val="en-US" w:eastAsia="zh-CN"/>
        </w:rPr>
      </w:pPr>
      <w:r>
        <w:rPr>
          <w:rFonts w:hint="eastAsia" w:ascii="宋体" w:hAnsi="宋体" w:cs="宋体"/>
          <w:color w:val="auto"/>
          <w:highlight w:val="none"/>
        </w:rPr>
        <w:t>义乌产权交易所有限公司：</w:t>
      </w:r>
      <w:r>
        <w:rPr>
          <w:rFonts w:hint="eastAsia" w:ascii="宋体" w:hAnsi="宋体" w:cs="宋体"/>
          <w:color w:val="auto"/>
          <w:highlight w:val="none"/>
          <w:lang w:val="en-US" w:eastAsia="zh-CN"/>
        </w:rPr>
        <w:t xml:space="preserve">吴先生 </w:t>
      </w:r>
      <w:r>
        <w:rPr>
          <w:rFonts w:hint="eastAsia" w:ascii="宋体" w:hAnsi="宋体" w:cs="宋体"/>
          <w:color w:val="auto"/>
          <w:szCs w:val="21"/>
          <w:highlight w:val="none"/>
        </w:rPr>
        <w:t>0579－899</w:t>
      </w:r>
      <w:r>
        <w:rPr>
          <w:rFonts w:hint="eastAsia" w:ascii="宋体" w:hAnsi="宋体" w:cs="宋体"/>
          <w:color w:val="auto"/>
          <w:szCs w:val="21"/>
          <w:highlight w:val="none"/>
          <w:lang w:val="en-US" w:eastAsia="zh-CN"/>
        </w:rPr>
        <w:t>06383</w:t>
      </w:r>
    </w:p>
    <w:p w14:paraId="4DF05B7B">
      <w:pPr>
        <w:pStyle w:val="17"/>
        <w:spacing w:line="360" w:lineRule="auto"/>
        <w:ind w:left="420"/>
        <w:jc w:val="left"/>
        <w:rPr>
          <w:rFonts w:hint="eastAsia" w:hAnsi="宋体" w:cs="宋体"/>
          <w:color w:val="auto"/>
          <w:highlight w:val="none"/>
        </w:rPr>
      </w:pPr>
    </w:p>
    <w:p w14:paraId="2A3533BF">
      <w:pPr>
        <w:pStyle w:val="17"/>
        <w:adjustRightInd w:val="0"/>
        <w:snapToGrid w:val="0"/>
        <w:spacing w:line="360" w:lineRule="auto"/>
        <w:rPr>
          <w:rFonts w:hint="eastAsia" w:hAnsi="宋体" w:cs="宋体"/>
          <w:color w:val="auto"/>
          <w:highlight w:val="none"/>
          <w:lang w:val="zh-CN"/>
        </w:rPr>
      </w:pPr>
    </w:p>
    <w:p w14:paraId="2B43B503">
      <w:pPr>
        <w:pStyle w:val="17"/>
        <w:adjustRightInd w:val="0"/>
        <w:snapToGrid w:val="0"/>
        <w:spacing w:line="360" w:lineRule="auto"/>
        <w:ind w:firstLine="420" w:firstLineChars="200"/>
        <w:rPr>
          <w:rFonts w:hint="eastAsia" w:hAnsi="宋体" w:cs="宋体"/>
          <w:color w:val="auto"/>
          <w:highlight w:val="none"/>
        </w:rPr>
      </w:pPr>
    </w:p>
    <w:p w14:paraId="6FF62C9F">
      <w:pPr>
        <w:pStyle w:val="17"/>
        <w:adjustRightInd w:val="0"/>
        <w:snapToGrid w:val="0"/>
        <w:spacing w:line="360" w:lineRule="auto"/>
        <w:jc w:val="righ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义乌市物资再生利用有限公司</w:t>
      </w:r>
    </w:p>
    <w:p w14:paraId="1FA1C444">
      <w:pPr>
        <w:pStyle w:val="17"/>
        <w:adjustRightInd w:val="0"/>
        <w:snapToGrid w:val="0"/>
        <w:spacing w:line="360" w:lineRule="auto"/>
        <w:jc w:val="right"/>
        <w:rPr>
          <w:rFonts w:hint="eastAsia" w:hAnsi="宋体" w:cs="宋体"/>
          <w:color w:val="auto"/>
          <w:highlight w:val="none"/>
        </w:rPr>
      </w:pPr>
      <w:r>
        <w:rPr>
          <w:rFonts w:hint="eastAsia" w:hAnsi="宋体" w:cs="宋体"/>
          <w:color w:val="auto"/>
          <w:highlight w:val="none"/>
        </w:rPr>
        <w:t>义乌产权交易所有限公司</w:t>
      </w:r>
    </w:p>
    <w:p w14:paraId="034FEEA4">
      <w:pPr>
        <w:pStyle w:val="17"/>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12</w:t>
      </w:r>
      <w:r>
        <w:rPr>
          <w:rFonts w:hint="eastAsia" w:hAnsi="宋体"/>
          <w:color w:val="auto"/>
          <w:highlight w:val="none"/>
        </w:rPr>
        <w:t>月</w:t>
      </w:r>
      <w:r>
        <w:rPr>
          <w:rFonts w:hint="eastAsia" w:hAnsi="宋体"/>
          <w:color w:val="auto"/>
          <w:highlight w:val="none"/>
          <w:lang w:val="en-US" w:eastAsia="zh-CN"/>
        </w:rPr>
        <w:t>24</w:t>
      </w:r>
      <w:r>
        <w:rPr>
          <w:rFonts w:hint="eastAsia" w:hAnsi="宋体"/>
          <w:color w:val="auto"/>
          <w:highlight w:val="none"/>
        </w:rPr>
        <w:t>日</w:t>
      </w:r>
    </w:p>
    <w:p w14:paraId="6EAC5B5E">
      <w:pPr>
        <w:pStyle w:val="17"/>
        <w:adjustRightInd w:val="0"/>
        <w:snapToGrid w:val="0"/>
        <w:spacing w:line="360" w:lineRule="auto"/>
        <w:jc w:val="right"/>
        <w:rPr>
          <w:rFonts w:hint="eastAsia" w:hAnsi="宋体"/>
          <w:color w:val="auto"/>
          <w:sz w:val="24"/>
          <w:highlight w:val="none"/>
        </w:rPr>
      </w:pPr>
    </w:p>
    <w:p w14:paraId="76F597D9">
      <w:pPr>
        <w:pStyle w:val="17"/>
        <w:adjustRightInd w:val="0"/>
        <w:snapToGrid w:val="0"/>
        <w:spacing w:line="360" w:lineRule="auto"/>
        <w:jc w:val="right"/>
        <w:rPr>
          <w:rFonts w:hint="eastAsia" w:hAnsi="宋体"/>
          <w:color w:val="auto"/>
          <w:sz w:val="24"/>
          <w:highlight w:val="none"/>
        </w:rPr>
      </w:pPr>
    </w:p>
    <w:p w14:paraId="6AAA374B">
      <w:pPr>
        <w:pStyle w:val="17"/>
        <w:adjustRightInd w:val="0"/>
        <w:snapToGrid w:val="0"/>
        <w:spacing w:line="400" w:lineRule="exact"/>
        <w:jc w:val="right"/>
        <w:rPr>
          <w:rFonts w:hint="eastAsia" w:hAnsi="宋体"/>
          <w:color w:val="auto"/>
          <w:sz w:val="24"/>
          <w:highlight w:val="none"/>
        </w:rPr>
      </w:pPr>
    </w:p>
    <w:p w14:paraId="6D99AB45">
      <w:pPr>
        <w:pStyle w:val="17"/>
        <w:adjustRightInd w:val="0"/>
        <w:snapToGrid w:val="0"/>
        <w:spacing w:line="400" w:lineRule="exact"/>
        <w:jc w:val="right"/>
        <w:rPr>
          <w:rFonts w:hint="eastAsia" w:hAnsi="宋体"/>
          <w:color w:val="auto"/>
          <w:sz w:val="24"/>
          <w:highlight w:val="none"/>
        </w:rPr>
      </w:pPr>
    </w:p>
    <w:p w14:paraId="331872D9">
      <w:pPr>
        <w:pStyle w:val="17"/>
        <w:adjustRightInd w:val="0"/>
        <w:snapToGrid w:val="0"/>
        <w:spacing w:line="400" w:lineRule="exact"/>
        <w:jc w:val="right"/>
        <w:rPr>
          <w:rFonts w:hint="eastAsia" w:hAnsi="宋体"/>
          <w:color w:val="auto"/>
          <w:sz w:val="24"/>
          <w:highlight w:val="none"/>
        </w:rPr>
      </w:pPr>
    </w:p>
    <w:p w14:paraId="5305FEBB">
      <w:pPr>
        <w:pStyle w:val="17"/>
        <w:adjustRightInd w:val="0"/>
        <w:snapToGrid w:val="0"/>
        <w:spacing w:line="400" w:lineRule="exact"/>
        <w:jc w:val="right"/>
        <w:rPr>
          <w:rFonts w:hint="eastAsia" w:hAnsi="宋体"/>
          <w:color w:val="auto"/>
          <w:sz w:val="24"/>
          <w:highlight w:val="none"/>
        </w:rPr>
      </w:pPr>
    </w:p>
    <w:p w14:paraId="7BB3652D">
      <w:pPr>
        <w:pStyle w:val="17"/>
        <w:adjustRightInd w:val="0"/>
        <w:snapToGrid w:val="0"/>
        <w:spacing w:line="400" w:lineRule="exact"/>
        <w:jc w:val="right"/>
        <w:rPr>
          <w:rFonts w:hint="eastAsia" w:hAnsi="宋体"/>
          <w:color w:val="auto"/>
          <w:sz w:val="24"/>
          <w:highlight w:val="none"/>
        </w:rPr>
      </w:pPr>
    </w:p>
    <w:p w14:paraId="23541B94">
      <w:pPr>
        <w:pStyle w:val="17"/>
        <w:adjustRightInd w:val="0"/>
        <w:snapToGrid w:val="0"/>
        <w:spacing w:line="400" w:lineRule="exact"/>
        <w:jc w:val="right"/>
        <w:rPr>
          <w:rFonts w:hAnsi="宋体"/>
          <w:color w:val="auto"/>
          <w:highlight w:val="none"/>
        </w:rPr>
      </w:pPr>
    </w:p>
    <w:p w14:paraId="6319F40A">
      <w:pPr>
        <w:pStyle w:val="17"/>
        <w:adjustRightInd w:val="0"/>
        <w:snapToGrid w:val="0"/>
        <w:spacing w:line="400" w:lineRule="exact"/>
        <w:jc w:val="right"/>
        <w:rPr>
          <w:rFonts w:hAnsi="宋体"/>
          <w:color w:val="auto"/>
          <w:highlight w:val="none"/>
        </w:rPr>
      </w:pPr>
    </w:p>
    <w:p w14:paraId="42F6727C">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28535"/>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2206E639">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7B30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0296EC6">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27C5B01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35A0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D69253">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EADB0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0D235D9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C4F76CE">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cs="Times New Roman"/>
                <w:color w:val="auto"/>
                <w:highlight w:val="none"/>
                <w:lang w:eastAsia="zh-CN"/>
              </w:rPr>
              <w:t>义乌市物资再生利用有限公司塔山填埋场飞灰一期飞灰转移服务采购项目</w:t>
            </w:r>
          </w:p>
          <w:p w14:paraId="62F076E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cs="Times New Roman"/>
                <w:color w:val="auto"/>
                <w:highlight w:val="none"/>
                <w:lang w:eastAsia="zh-CN"/>
              </w:rPr>
              <w:t>塔山填埋场飞灰一期飞灰转移服务</w:t>
            </w:r>
            <w:r>
              <w:rPr>
                <w:rFonts w:hint="eastAsia" w:ascii="宋体" w:hAnsi="宋体" w:eastAsia="宋体" w:cs="Times New Roman"/>
                <w:color w:val="auto"/>
                <w:highlight w:val="none"/>
                <w:lang w:eastAsia="zh-CN"/>
              </w:rPr>
              <w:t>，具体</w:t>
            </w:r>
            <w:r>
              <w:rPr>
                <w:rFonts w:hint="eastAsia" w:ascii="宋体" w:hAnsi="宋体" w:cs="Times New Roman"/>
                <w:color w:val="auto"/>
                <w:highlight w:val="none"/>
                <w:lang w:val="en-US" w:eastAsia="zh-CN"/>
              </w:rPr>
              <w:t>内容</w:t>
            </w:r>
            <w:r>
              <w:rPr>
                <w:rFonts w:hint="eastAsia" w:ascii="宋体" w:hAnsi="宋体" w:eastAsia="宋体" w:cs="Times New Roman"/>
                <w:color w:val="auto"/>
                <w:highlight w:val="none"/>
                <w:lang w:eastAsia="zh-CN"/>
              </w:rPr>
              <w:t>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42C3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DF65F0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5FA3F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62D16B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66AA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AB7D0A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992B05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0FC748E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B4C096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6992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14E65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D4506A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083EA2C">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综合评分法</w:t>
            </w:r>
          </w:p>
        </w:tc>
      </w:tr>
      <w:tr w14:paraId="0A74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06E48A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529AFA1">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905419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5C2D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31EC69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E12F8C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EE444B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9C4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A55D84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41C271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028030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4DF9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97D218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C740BA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F6F249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szCs w:val="21"/>
                <w:highlight w:val="none"/>
                <w:lang w:eastAsia="zh-CN"/>
              </w:rPr>
              <w:t>义乌市物资再生利用有限公司</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陈先生</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0579-85414320</w:t>
            </w:r>
            <w:r>
              <w:rPr>
                <w:rFonts w:hint="eastAsia" w:ascii="宋体" w:hAnsi="宋体" w:eastAsia="宋体" w:cs="宋体"/>
                <w:color w:val="auto"/>
                <w:szCs w:val="21"/>
                <w:highlight w:val="none"/>
              </w:rPr>
              <w:t>）</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tc>
      </w:tr>
      <w:tr w14:paraId="3933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D7BC64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43FE14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A327C9D">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1C44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3C007D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CDAF67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511D2C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1月4日09:00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150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BDD31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753B46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93F294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1月4日09:00</w:t>
            </w:r>
          </w:p>
          <w:p w14:paraId="033707A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48CCCBB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08703B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2DD6581B">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6BC74F71">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264CF966">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7ED6CABA">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6FCE5667">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67B432BB">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37E5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11335C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5C56BA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822B074">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15BB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71B167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661C8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999F6">
            <w:pP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合同签订前向采购人递交20万元履约保证金，以银行保函、保险担保、银行转账、或现金等形式递交。</w:t>
            </w:r>
          </w:p>
        </w:tc>
      </w:tr>
      <w:tr w14:paraId="659B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79A0E5">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4B0C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履约保证金退还</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FDC2C1">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履约保证金在履约责任期满后，向采购人书面申请退还履约保证金余额（不计息）；但如果此时存在合同争端且未能解决，则履约责任期应延长到上述争端最终解决且赔偿完成后终止。</w:t>
            </w:r>
          </w:p>
        </w:tc>
      </w:tr>
      <w:tr w14:paraId="4ADF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ADE727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6676B8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FF81DF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3351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13C44E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9B5741C">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EC17A4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19397F03">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577A2E77">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0457FE2A">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565F357A">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6803EF6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2EB387B6">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5A615AAF">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7C30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E64F0CC">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961F3A7">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BD2FD45">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45A5D4BC">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5B3EBEBC">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01C4DC14">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32581"/>
      <w:bookmarkStart w:id="6" w:name="_Toc8496"/>
      <w:bookmarkStart w:id="7" w:name="_Toc10435"/>
      <w:r>
        <w:rPr>
          <w:rFonts w:hint="eastAsia"/>
          <w:color w:val="auto"/>
          <w:sz w:val="32"/>
          <w:szCs w:val="32"/>
          <w:highlight w:val="none"/>
        </w:rPr>
        <w:t>投标须知</w:t>
      </w:r>
      <w:bookmarkEnd w:id="5"/>
      <w:bookmarkEnd w:id="6"/>
      <w:bookmarkEnd w:id="7"/>
    </w:p>
    <w:p w14:paraId="1476A63B">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362250687"/>
      <w:bookmarkStart w:id="9" w:name="_Toc24953"/>
      <w:bookmarkStart w:id="10" w:name="_Toc20416"/>
      <w:bookmarkStart w:id="11" w:name="_Toc27843"/>
      <w:bookmarkStart w:id="12" w:name="_Toc274303229"/>
      <w:r>
        <w:rPr>
          <w:rFonts w:hint="eastAsia" w:ascii="宋体" w:hAnsi="宋体" w:eastAsia="宋体" w:cs="宋体"/>
          <w:color w:val="auto"/>
          <w:sz w:val="21"/>
          <w:szCs w:val="21"/>
          <w:highlight w:val="none"/>
        </w:rPr>
        <w:t>一、说明</w:t>
      </w:r>
      <w:bookmarkEnd w:id="8"/>
      <w:bookmarkEnd w:id="9"/>
      <w:bookmarkEnd w:id="10"/>
      <w:bookmarkEnd w:id="11"/>
      <w:bookmarkEnd w:id="12"/>
    </w:p>
    <w:p w14:paraId="5AC947ED">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15F4979">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4CCB2C49">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710570E4">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ascii="宋体" w:hAnsi="宋体" w:cs="宋体"/>
          <w:color w:val="auto"/>
          <w:szCs w:val="21"/>
          <w:highlight w:val="none"/>
          <w:lang w:eastAsia="zh-CN"/>
        </w:rPr>
        <w:t>义乌市物资再生利用有限公司</w:t>
      </w:r>
      <w:r>
        <w:rPr>
          <w:rFonts w:hint="eastAsia" w:ascii="宋体" w:hAnsi="宋体" w:eastAsia="宋体" w:cs="宋体"/>
          <w:color w:val="auto"/>
          <w:sz w:val="21"/>
          <w:szCs w:val="21"/>
          <w:highlight w:val="none"/>
        </w:rPr>
        <w:t>。</w:t>
      </w:r>
    </w:p>
    <w:p w14:paraId="64B87C4C">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49775824">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38349192">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17C3215D">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314F105D">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360F05D4">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46C0A263">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27D5E26D">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2D27CF80">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3BE619F4">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46ECEF55">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05A88A8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276BD373">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227AEF15">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570A93E0">
      <w:pPr>
        <w:pStyle w:val="17"/>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0F253CDA">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7A335AD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15F7A3C4">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5EE4888E">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608052A7">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47BC40A">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5BD8A90E">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2D50F77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1D5D6617">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362250688"/>
      <w:bookmarkStart w:id="14" w:name="_Toc29212"/>
      <w:bookmarkStart w:id="15" w:name="_Toc11001"/>
      <w:bookmarkStart w:id="16" w:name="_Toc12737"/>
      <w:bookmarkStart w:id="17" w:name="_Toc274303230"/>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744BFA5D">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2CE0C1C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16FF80D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723838AB">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521C1FA8">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08DED7B0">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12A98C8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63FC397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6AF724E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15F4752A">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5B414254">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305085A2">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4091D4A3">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6E47DDC5">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16D365FB">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2F7A7CFC">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5096E656">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BF9F1EE">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782903FE">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290B645E">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72BA3020">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303C0D37">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31250"/>
      <w:bookmarkStart w:id="19" w:name="_Toc362250689"/>
      <w:bookmarkStart w:id="20" w:name="_Toc20287"/>
      <w:bookmarkStart w:id="21" w:name="_Toc274303231"/>
      <w:bookmarkStart w:id="22" w:name="_Toc16783"/>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48B7171B">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2B97BABB">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133511B7">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54473258">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360621CF">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5E894783">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51653303">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5D6CF65B">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2B0095A7">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70C3AEB7">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67CA3C50">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1193075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30C2835A">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5322D81D">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0E7D8228">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65B8662E">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2A1036A8">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7A2AFA5B">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29DEC07E">
      <w:pPr>
        <w:pStyle w:val="56"/>
        <w:rPr>
          <w:rFonts w:hint="default"/>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Times New Roman" w:hAnsi="宋体" w:eastAsia="宋体" w:cs="Times New Roman"/>
          <w:b w:val="0"/>
          <w:bCs/>
          <w:color w:val="auto"/>
          <w:highlight w:val="none"/>
          <w:lang w:val="en-US" w:eastAsia="zh-CN"/>
        </w:rPr>
        <w:t>环保工程专业承包二级及以上资质（资质到期续办的提供续办证明）</w:t>
      </w:r>
      <w:r>
        <w:rPr>
          <w:rFonts w:hint="eastAsia" w:hAnsi="宋体" w:cs="Times New Roman"/>
          <w:b w:val="0"/>
          <w:bCs/>
          <w:color w:val="auto"/>
          <w:highlight w:val="none"/>
          <w:lang w:val="en-US" w:eastAsia="zh-CN"/>
        </w:rPr>
        <w:t>复印件</w:t>
      </w:r>
    </w:p>
    <w:p w14:paraId="586A8D8A">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1E5E5A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服务质量承诺书</w:t>
      </w:r>
      <w:r>
        <w:rPr>
          <w:rFonts w:hint="eastAsia" w:ascii="宋体" w:hAnsi="宋体" w:cs="宋体"/>
          <w:color w:val="auto"/>
          <w:szCs w:val="21"/>
          <w:highlight w:val="none"/>
        </w:rPr>
        <w:t>；</w:t>
      </w:r>
    </w:p>
    <w:p w14:paraId="23582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★（2）规范偏离表；</w:t>
      </w:r>
    </w:p>
    <w:p w14:paraId="3FDA80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★（3）设备及工具材料简要说明一览表</w:t>
      </w:r>
      <w:r>
        <w:rPr>
          <w:rFonts w:hint="eastAsia" w:ascii="宋体" w:hAnsi="宋体" w:cs="宋体"/>
          <w:color w:val="auto"/>
          <w:szCs w:val="21"/>
          <w:highlight w:val="none"/>
          <w:lang w:val="en-US" w:eastAsia="zh-CN"/>
        </w:rPr>
        <w:t>；</w:t>
      </w:r>
    </w:p>
    <w:p w14:paraId="75863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eastAsia="zh-CN"/>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000000"/>
          <w:sz w:val="21"/>
          <w:szCs w:val="21"/>
          <w:highlight w:val="none"/>
        </w:rPr>
        <w:t>拟投入本项目</w:t>
      </w:r>
      <w:r>
        <w:rPr>
          <w:rFonts w:hint="eastAsia" w:ascii="宋体" w:hAnsi="宋体" w:cs="宋体"/>
          <w:b w:val="0"/>
          <w:bCs w:val="0"/>
          <w:color w:val="000000"/>
          <w:sz w:val="21"/>
          <w:szCs w:val="21"/>
          <w:highlight w:val="none"/>
          <w:lang w:val="en-US" w:eastAsia="zh-CN"/>
        </w:rPr>
        <w:t>工作</w:t>
      </w:r>
      <w:r>
        <w:rPr>
          <w:rFonts w:hint="eastAsia" w:ascii="宋体" w:hAnsi="宋体" w:cs="宋体"/>
          <w:b w:val="0"/>
          <w:bCs w:val="0"/>
          <w:color w:val="000000"/>
          <w:sz w:val="21"/>
          <w:szCs w:val="21"/>
          <w:highlight w:val="none"/>
        </w:rPr>
        <w:t>人员</w:t>
      </w:r>
      <w:r>
        <w:rPr>
          <w:rFonts w:hint="eastAsia" w:ascii="宋体" w:hAnsi="宋体" w:cs="宋体"/>
          <w:b w:val="0"/>
          <w:bCs w:val="0"/>
          <w:color w:val="000000"/>
          <w:sz w:val="21"/>
          <w:szCs w:val="21"/>
          <w:highlight w:val="none"/>
          <w:lang w:val="en-US" w:eastAsia="zh-CN"/>
        </w:rPr>
        <w:t>一览表</w:t>
      </w:r>
      <w:r>
        <w:rPr>
          <w:rFonts w:hint="eastAsia" w:ascii="宋体" w:hAnsi="宋体" w:cs="宋体"/>
          <w:b w:val="0"/>
          <w:bCs w:val="0"/>
          <w:color w:val="auto"/>
          <w:sz w:val="21"/>
          <w:szCs w:val="21"/>
          <w:highlight w:val="none"/>
          <w:lang w:val="en-US" w:eastAsia="zh-CN"/>
        </w:rPr>
        <w:t>；</w:t>
      </w:r>
    </w:p>
    <w:p w14:paraId="416199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）根据评审需要、招标文件要求等，投标人自行考虑需提供的资料。</w:t>
      </w:r>
    </w:p>
    <w:p w14:paraId="1E900BBC">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324C4D9E">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F077A3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64BDBC6F">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7B12696C">
      <w:pPr>
        <w:pStyle w:val="16"/>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6583F5D7">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72EF22BF">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2C0B1324">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74FF9A78">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0F0388D3">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7D02F5E7">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727387DD">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3D954DA9">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6BFBF52F">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5D795503">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7D07C14B">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23B7B9EB">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239E3A51">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2275DA99">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0F257C69">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58A1EF32">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27009"/>
      <w:bookmarkStart w:id="24" w:name="_Toc274303232"/>
      <w:bookmarkStart w:id="25" w:name="_Toc362250690"/>
      <w:bookmarkStart w:id="26" w:name="_Toc8254"/>
    </w:p>
    <w:p w14:paraId="29D68299">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3338"/>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643D6976">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0493BEE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1月4日09:00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6DE3A407">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78C53F47">
      <w:pPr>
        <w:pStyle w:val="17"/>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6E54EA62">
      <w:pPr>
        <w:pStyle w:val="16"/>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57F7569B">
      <w:pPr>
        <w:pStyle w:val="17"/>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0DA35669">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53ACCD30">
      <w:pPr>
        <w:pStyle w:val="17"/>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EC3A0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B6E90C6">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643FC742">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4408221D">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27A64B88">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113ADE25">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0D767BCE">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55C0F8EE">
      <w:pPr>
        <w:pStyle w:val="2"/>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3333"/>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51A16B4A">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1EA7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E701D51">
            <w:pPr>
              <w:pStyle w:val="17"/>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C7557D5">
            <w:pPr>
              <w:pStyle w:val="17"/>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7A9C6970">
            <w:pPr>
              <w:pStyle w:val="17"/>
              <w:shd w:val="clear"/>
              <w:spacing w:line="360" w:lineRule="auto"/>
              <w:ind w:firstLine="48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4E86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4E01F9C">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576C7D1">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67" w:type="dxa"/>
            <w:vMerge w:val="restart"/>
            <w:tcBorders>
              <w:top w:val="single" w:color="auto" w:sz="4" w:space="0"/>
              <w:left w:val="single" w:color="auto" w:sz="4" w:space="0"/>
              <w:right w:val="single" w:color="auto" w:sz="4" w:space="0"/>
            </w:tcBorders>
            <w:noWrap w:val="0"/>
            <w:vAlign w:val="center"/>
          </w:tcPr>
          <w:p w14:paraId="56F006AB">
            <w:pPr>
              <w:pStyle w:val="17"/>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招标服务采用差额定率累进法计算，向中标方单向收取。</w:t>
            </w:r>
          </w:p>
          <w:p w14:paraId="35E84DAE">
            <w:pPr>
              <w:pStyle w:val="17"/>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例：中标金额为1000万。服务费=100万×1.5%+40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万×0.8%+500万×0.45%=6.95万</w:t>
            </w:r>
          </w:p>
          <w:p w14:paraId="63143A15">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服务招标服务费最高300万元。</w:t>
            </w:r>
          </w:p>
        </w:tc>
      </w:tr>
      <w:tr w14:paraId="400D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507B5D7">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100-500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E3294E6">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67" w:type="dxa"/>
            <w:vMerge w:val="continue"/>
            <w:tcBorders>
              <w:left w:val="single" w:color="auto" w:sz="4" w:space="0"/>
              <w:right w:val="single" w:color="auto" w:sz="4" w:space="0"/>
            </w:tcBorders>
            <w:noWrap w:val="0"/>
            <w:vAlign w:val="center"/>
          </w:tcPr>
          <w:p w14:paraId="04555726">
            <w:pPr>
              <w:pStyle w:val="17"/>
              <w:shd w:val="clear"/>
              <w:spacing w:line="360" w:lineRule="auto"/>
              <w:ind w:firstLine="480"/>
              <w:jc w:val="center"/>
              <w:rPr>
                <w:rFonts w:hint="eastAsia" w:ascii="宋体" w:hAnsi="宋体" w:eastAsia="宋体" w:cs="宋体"/>
                <w:color w:val="auto"/>
                <w:highlight w:val="none"/>
              </w:rPr>
            </w:pPr>
          </w:p>
        </w:tc>
      </w:tr>
      <w:tr w14:paraId="62F0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E954E6E">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FD95707">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3967" w:type="dxa"/>
            <w:vMerge w:val="continue"/>
            <w:tcBorders>
              <w:left w:val="single" w:color="auto" w:sz="4" w:space="0"/>
              <w:right w:val="single" w:color="auto" w:sz="4" w:space="0"/>
            </w:tcBorders>
            <w:noWrap w:val="0"/>
            <w:vAlign w:val="center"/>
          </w:tcPr>
          <w:p w14:paraId="159B9BE4">
            <w:pPr>
              <w:pStyle w:val="17"/>
              <w:shd w:val="clear"/>
              <w:spacing w:line="360" w:lineRule="auto"/>
              <w:ind w:firstLine="480"/>
              <w:jc w:val="center"/>
              <w:rPr>
                <w:rFonts w:hint="eastAsia" w:ascii="宋体" w:hAnsi="宋体" w:eastAsia="宋体" w:cs="宋体"/>
                <w:color w:val="auto"/>
                <w:highlight w:val="none"/>
              </w:rPr>
            </w:pPr>
          </w:p>
        </w:tc>
      </w:tr>
      <w:tr w14:paraId="7BDD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DDA5810">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DB1E395">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3967" w:type="dxa"/>
            <w:vMerge w:val="continue"/>
            <w:tcBorders>
              <w:left w:val="single" w:color="auto" w:sz="4" w:space="0"/>
              <w:right w:val="single" w:color="auto" w:sz="4" w:space="0"/>
            </w:tcBorders>
            <w:noWrap w:val="0"/>
            <w:vAlign w:val="center"/>
          </w:tcPr>
          <w:p w14:paraId="76B9EC34">
            <w:pPr>
              <w:pStyle w:val="17"/>
              <w:shd w:val="clear"/>
              <w:spacing w:line="360" w:lineRule="auto"/>
              <w:ind w:firstLine="480"/>
              <w:jc w:val="center"/>
              <w:rPr>
                <w:rFonts w:hint="eastAsia" w:ascii="宋体" w:hAnsi="宋体" w:eastAsia="宋体" w:cs="宋体"/>
                <w:color w:val="auto"/>
                <w:highlight w:val="none"/>
              </w:rPr>
            </w:pPr>
          </w:p>
        </w:tc>
      </w:tr>
      <w:tr w14:paraId="5345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8B4763E">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822111C">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3967" w:type="dxa"/>
            <w:vMerge w:val="continue"/>
            <w:tcBorders>
              <w:left w:val="single" w:color="auto" w:sz="4" w:space="0"/>
              <w:right w:val="single" w:color="auto" w:sz="4" w:space="0"/>
            </w:tcBorders>
            <w:noWrap w:val="0"/>
            <w:vAlign w:val="center"/>
          </w:tcPr>
          <w:p w14:paraId="2F3B4FF5">
            <w:pPr>
              <w:pStyle w:val="17"/>
              <w:shd w:val="clear"/>
              <w:spacing w:line="360" w:lineRule="auto"/>
              <w:ind w:firstLine="480"/>
              <w:jc w:val="center"/>
              <w:rPr>
                <w:rFonts w:hint="eastAsia" w:ascii="宋体" w:hAnsi="宋体" w:eastAsia="宋体" w:cs="宋体"/>
                <w:color w:val="auto"/>
                <w:highlight w:val="none"/>
              </w:rPr>
            </w:pPr>
          </w:p>
        </w:tc>
      </w:tr>
      <w:tr w14:paraId="6CDF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1D053C7">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9807956">
            <w:pPr>
              <w:pStyle w:val="17"/>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3967" w:type="dxa"/>
            <w:vMerge w:val="continue"/>
            <w:tcBorders>
              <w:left w:val="single" w:color="auto" w:sz="4" w:space="0"/>
              <w:right w:val="single" w:color="auto" w:sz="4" w:space="0"/>
            </w:tcBorders>
            <w:noWrap w:val="0"/>
            <w:vAlign w:val="center"/>
          </w:tcPr>
          <w:p w14:paraId="6F81CDF8">
            <w:pPr>
              <w:pStyle w:val="17"/>
              <w:shd w:val="clear"/>
              <w:spacing w:line="360" w:lineRule="auto"/>
              <w:ind w:firstLine="480"/>
              <w:jc w:val="center"/>
              <w:rPr>
                <w:rFonts w:hint="eastAsia" w:ascii="宋体" w:hAnsi="宋体" w:eastAsia="宋体" w:cs="宋体"/>
                <w:color w:val="auto"/>
                <w:highlight w:val="none"/>
              </w:rPr>
            </w:pPr>
          </w:p>
        </w:tc>
      </w:tr>
      <w:tr w14:paraId="13FB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D4AD0D8">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52C1119">
            <w:pPr>
              <w:pStyle w:val="17"/>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0.035%</w:t>
            </w:r>
          </w:p>
        </w:tc>
        <w:tc>
          <w:tcPr>
            <w:tcW w:w="3967" w:type="dxa"/>
            <w:vMerge w:val="continue"/>
            <w:tcBorders>
              <w:left w:val="single" w:color="auto" w:sz="4" w:space="0"/>
              <w:right w:val="single" w:color="auto" w:sz="4" w:space="0"/>
            </w:tcBorders>
            <w:noWrap w:val="0"/>
            <w:vAlign w:val="center"/>
          </w:tcPr>
          <w:p w14:paraId="58F15F0D">
            <w:pPr>
              <w:pStyle w:val="17"/>
              <w:shd w:val="clear"/>
              <w:spacing w:line="360" w:lineRule="auto"/>
              <w:ind w:firstLine="480"/>
              <w:jc w:val="center"/>
              <w:rPr>
                <w:rFonts w:hint="eastAsia" w:ascii="宋体" w:hAnsi="宋体" w:eastAsia="宋体" w:cs="宋体"/>
                <w:color w:val="auto"/>
                <w:highlight w:val="none"/>
              </w:rPr>
            </w:pPr>
          </w:p>
        </w:tc>
      </w:tr>
      <w:tr w14:paraId="5ED9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3C8F2A9">
            <w:pPr>
              <w:pStyle w:val="17"/>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CCB3C26">
            <w:pPr>
              <w:pStyle w:val="17"/>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0.008%</w:t>
            </w:r>
          </w:p>
        </w:tc>
        <w:tc>
          <w:tcPr>
            <w:tcW w:w="3967" w:type="dxa"/>
            <w:vMerge w:val="continue"/>
            <w:tcBorders>
              <w:left w:val="single" w:color="auto" w:sz="4" w:space="0"/>
              <w:right w:val="single" w:color="auto" w:sz="4" w:space="0"/>
            </w:tcBorders>
            <w:noWrap w:val="0"/>
            <w:vAlign w:val="center"/>
          </w:tcPr>
          <w:p w14:paraId="73A6EBB3">
            <w:pPr>
              <w:pStyle w:val="17"/>
              <w:shd w:val="clear"/>
              <w:spacing w:line="360" w:lineRule="auto"/>
              <w:ind w:firstLine="480"/>
              <w:jc w:val="center"/>
              <w:rPr>
                <w:rFonts w:hint="eastAsia" w:ascii="宋体" w:hAnsi="宋体" w:eastAsia="宋体" w:cs="宋体"/>
                <w:color w:val="auto"/>
                <w:highlight w:val="none"/>
              </w:rPr>
            </w:pPr>
          </w:p>
        </w:tc>
      </w:tr>
      <w:tr w14:paraId="6568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A20E6C7">
            <w:pPr>
              <w:pStyle w:val="17"/>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540E968">
            <w:pPr>
              <w:pStyle w:val="17"/>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0.006%</w:t>
            </w:r>
          </w:p>
        </w:tc>
        <w:tc>
          <w:tcPr>
            <w:tcW w:w="3967" w:type="dxa"/>
            <w:vMerge w:val="continue"/>
            <w:tcBorders>
              <w:left w:val="single" w:color="auto" w:sz="4" w:space="0"/>
              <w:right w:val="single" w:color="auto" w:sz="4" w:space="0"/>
            </w:tcBorders>
            <w:noWrap w:val="0"/>
            <w:vAlign w:val="center"/>
          </w:tcPr>
          <w:p w14:paraId="5DB14E4D">
            <w:pPr>
              <w:pStyle w:val="17"/>
              <w:shd w:val="clear"/>
              <w:spacing w:line="360" w:lineRule="auto"/>
              <w:ind w:firstLine="480"/>
              <w:jc w:val="center"/>
              <w:rPr>
                <w:rFonts w:hint="eastAsia" w:ascii="宋体" w:hAnsi="宋体" w:eastAsia="宋体" w:cs="宋体"/>
                <w:color w:val="auto"/>
                <w:highlight w:val="none"/>
              </w:rPr>
            </w:pPr>
          </w:p>
        </w:tc>
      </w:tr>
      <w:tr w14:paraId="1771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1631C61">
            <w:pPr>
              <w:pStyle w:val="17"/>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473616D">
            <w:pPr>
              <w:pStyle w:val="17"/>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14:paraId="664A060B">
            <w:pPr>
              <w:pStyle w:val="17"/>
              <w:shd w:val="clear"/>
              <w:spacing w:line="360" w:lineRule="auto"/>
              <w:ind w:firstLine="480"/>
              <w:jc w:val="center"/>
              <w:rPr>
                <w:rFonts w:hint="eastAsia" w:ascii="宋体" w:hAnsi="宋体" w:eastAsia="宋体" w:cs="宋体"/>
                <w:color w:val="auto"/>
                <w:highlight w:val="none"/>
              </w:rPr>
            </w:pPr>
          </w:p>
        </w:tc>
      </w:tr>
    </w:tbl>
    <w:p w14:paraId="22E7E7C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755CBB3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3ADE53A0">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3C5CC7D1">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55BE27C2">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2977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FE689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0A1A568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33D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05981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5E55CF3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0F04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AEE7E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6F08A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411B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82A01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1028F8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663F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ADF50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4D7DB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7D28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ECC56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15C72F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570F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0FF9F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6C806B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0939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1E5E0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07F198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4B75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425E26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65E68F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28E862D6">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注：1）不涉及具体金额的采购项目，中标单位收取交易服务费1000元/次；2）以上收费不包含作为投标单位</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58B29C0">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30069"/>
      <w:r>
        <w:rPr>
          <w:rFonts w:hint="eastAsia" w:ascii="宋体" w:hAnsi="宋体" w:eastAsia="宋体" w:cs="宋体"/>
          <w:color w:val="auto"/>
          <w:sz w:val="21"/>
          <w:szCs w:val="21"/>
          <w:highlight w:val="none"/>
        </w:rPr>
        <w:t>六、其它</w:t>
      </w:r>
      <w:bookmarkEnd w:id="31"/>
    </w:p>
    <w:p w14:paraId="14B99CB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3ADFA186">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2" w:name="_Toc1457"/>
      <w:r>
        <w:rPr>
          <w:rFonts w:hint="eastAsia" w:ascii="Times New Roman" w:hAnsi="Times New Roman" w:eastAsia="宋体" w:cs="Times New Roman"/>
          <w:color w:val="auto"/>
          <w:sz w:val="36"/>
          <w:highlight w:val="none"/>
          <w:lang w:val="en-US" w:eastAsia="zh-CN"/>
        </w:rPr>
        <w:t>第三章  招标项目要求</w:t>
      </w:r>
      <w:bookmarkEnd w:id="32"/>
    </w:p>
    <w:p w14:paraId="630043A0">
      <w:pPr>
        <w:pStyle w:val="2"/>
        <w:bidi w:val="0"/>
        <w:rPr>
          <w:rFonts w:hint="eastAsia" w:ascii="宋体" w:hAnsi="宋体" w:eastAsia="宋体" w:cs="宋体"/>
          <w:sz w:val="21"/>
          <w:szCs w:val="21"/>
          <w:lang w:eastAsia="zh-CN"/>
        </w:rPr>
      </w:pPr>
      <w:bookmarkStart w:id="33" w:name="_Toc12356"/>
      <w:bookmarkStart w:id="34" w:name="_Toc12048"/>
      <w:bookmarkStart w:id="35" w:name="_Toc1386328264"/>
      <w:bookmarkStart w:id="36" w:name="_Toc13462"/>
      <w:bookmarkStart w:id="37" w:name="_Toc7717"/>
      <w:r>
        <w:rPr>
          <w:rFonts w:hint="eastAsia" w:ascii="宋体" w:hAnsi="宋体" w:eastAsia="宋体" w:cs="宋体"/>
          <w:sz w:val="21"/>
          <w:szCs w:val="21"/>
          <w:lang w:val="en-US" w:eastAsia="zh-CN"/>
        </w:rPr>
        <w:t>一、</w:t>
      </w:r>
      <w:r>
        <w:rPr>
          <w:rFonts w:hint="eastAsia" w:ascii="宋体" w:hAnsi="宋体" w:eastAsia="宋体" w:cs="宋体"/>
          <w:sz w:val="21"/>
          <w:szCs w:val="21"/>
        </w:rPr>
        <w:t>项目</w:t>
      </w:r>
      <w:r>
        <w:rPr>
          <w:rFonts w:hint="eastAsia" w:ascii="宋体" w:hAnsi="宋体" w:eastAsia="宋体" w:cs="宋体"/>
          <w:sz w:val="21"/>
          <w:szCs w:val="21"/>
          <w:lang w:val="en-US" w:eastAsia="zh-CN"/>
        </w:rPr>
        <w:t>情况</w:t>
      </w:r>
      <w:bookmarkEnd w:id="33"/>
    </w:p>
    <w:p w14:paraId="7F39E57A">
      <w:pPr>
        <w:keepNext w:val="0"/>
        <w:keepLines w:val="0"/>
        <w:pageBreakBefore w:val="0"/>
        <w:widowControl w:val="0"/>
        <w:kinsoku/>
        <w:wordWrap/>
        <w:overflowPunct/>
        <w:topLinePunct w:val="0"/>
        <w:autoSpaceDE/>
        <w:autoSpaceDN/>
        <w:bidi w:val="0"/>
        <w:adjustRightInd/>
        <w:snapToGrid/>
        <w:spacing w:line="560" w:lineRule="exact"/>
        <w:ind w:firstLine="420" w:firstLineChars="200"/>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由于塔山填埋场飞灰一期填埋库区堆体较高，我公司决定在保证填埋堆体稳定且控制环境污染的前提下实施飞灰一期库区</w:t>
      </w:r>
      <w:r>
        <w:rPr>
          <w:rFonts w:hint="eastAsia" w:ascii="宋体" w:hAnsi="宋体" w:eastAsia="宋体" w:cs="宋体"/>
          <w:sz w:val="21"/>
          <w:szCs w:val="21"/>
          <w:highlight w:val="none"/>
          <w:lang w:val="en-US" w:eastAsia="zh-CN"/>
        </w:rPr>
        <w:t>超填的</w:t>
      </w:r>
      <w:r>
        <w:rPr>
          <w:rFonts w:hint="eastAsia" w:ascii="宋体" w:hAnsi="宋体" w:cs="宋体"/>
          <w:sz w:val="21"/>
          <w:szCs w:val="21"/>
          <w:highlight w:val="none"/>
          <w:lang w:val="en-US" w:eastAsia="zh-CN"/>
        </w:rPr>
        <w:t>2.4万吨（约</w:t>
      </w:r>
      <w:r>
        <w:rPr>
          <w:rFonts w:hint="eastAsia" w:ascii="宋体" w:hAnsi="宋体" w:eastAsia="宋体" w:cs="宋体"/>
          <w:sz w:val="21"/>
          <w:szCs w:val="21"/>
          <w:highlight w:val="none"/>
          <w:lang w:val="en-US" w:eastAsia="zh-CN"/>
        </w:rPr>
        <w:t>1.85万m³</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飞灰转移至飞灰二期填埋库区。</w:t>
      </w:r>
    </w:p>
    <w:p w14:paraId="30D71805">
      <w:pPr>
        <w:pStyle w:val="2"/>
        <w:numPr>
          <w:ilvl w:val="0"/>
          <w:numId w:val="4"/>
        </w:numPr>
        <w:bidi w:val="0"/>
        <w:rPr>
          <w:rFonts w:hint="eastAsia" w:ascii="宋体" w:hAnsi="宋体" w:eastAsia="宋体" w:cs="宋体"/>
          <w:sz w:val="21"/>
          <w:szCs w:val="21"/>
          <w:lang w:val="en-US" w:eastAsia="zh-CN"/>
        </w:rPr>
      </w:pPr>
      <w:bookmarkStart w:id="38" w:name="_Toc14052"/>
      <w:r>
        <w:rPr>
          <w:rFonts w:hint="eastAsia" w:ascii="宋体" w:hAnsi="宋体" w:eastAsia="宋体" w:cs="宋体"/>
          <w:sz w:val="21"/>
          <w:szCs w:val="21"/>
          <w:lang w:val="en-US" w:eastAsia="zh-CN"/>
        </w:rPr>
        <w:t>项目要求</w:t>
      </w:r>
      <w:bookmarkEnd w:id="38"/>
    </w:p>
    <w:p w14:paraId="345C93B1">
      <w:pPr>
        <w:pStyle w:val="16"/>
        <w:bidi w:val="0"/>
        <w:rPr>
          <w:rFonts w:hint="eastAsia"/>
        </w:rPr>
      </w:pPr>
      <w:r>
        <w:rPr>
          <w:rFonts w:hint="eastAsia"/>
          <w:lang w:val="en-US" w:eastAsia="zh-CN"/>
        </w:rPr>
        <w:t>将塔山填埋场飞灰一期填埋库区2.4万吨（约1.85万m³）超填的飞灰转移至飞灰二期填埋库区进行填埋，中标方应确保飞灰转移过程满足安全、环保及消防等主管部门的相关规定。</w:t>
      </w:r>
      <w:r>
        <w:rPr>
          <w:rFonts w:hint="eastAsia"/>
        </w:rPr>
        <w:t>包括但不限于</w:t>
      </w:r>
      <w:r>
        <w:rPr>
          <w:rFonts w:hint="eastAsia"/>
          <w:lang w:val="en-US" w:eastAsia="zh-CN"/>
        </w:rPr>
        <w:t>永久填埋作业所需的1.0毫米HDPE膜的焊接、雨污分流、现场临时防护等</w:t>
      </w:r>
      <w:r>
        <w:rPr>
          <w:rFonts w:hint="eastAsia"/>
        </w:rPr>
        <w:t>规范填埋</w:t>
      </w:r>
      <w:r>
        <w:rPr>
          <w:rFonts w:hint="eastAsia"/>
          <w:lang w:val="en-US" w:eastAsia="zh-CN"/>
        </w:rPr>
        <w:t>相关措施</w:t>
      </w:r>
      <w:r>
        <w:rPr>
          <w:rFonts w:hint="eastAsia"/>
        </w:rPr>
        <w:t>。</w:t>
      </w:r>
    </w:p>
    <w:p w14:paraId="14929C97">
      <w:pPr>
        <w:pStyle w:val="16"/>
        <w:bidi w:val="0"/>
        <w:rPr>
          <w:rFonts w:hint="eastAsia"/>
          <w:lang w:val="en-US" w:eastAsia="zh-CN"/>
        </w:rPr>
      </w:pPr>
      <w:r>
        <w:rPr>
          <w:rFonts w:hint="eastAsia"/>
        </w:rPr>
        <w:t>服务期：</w:t>
      </w:r>
      <w:r>
        <w:rPr>
          <w:rFonts w:hint="eastAsia"/>
          <w:lang w:val="en-US" w:eastAsia="zh-CN"/>
        </w:rPr>
        <w:t>140天。验收后一年内若出现覆膜泄漏、破裂等问题需24小时内到场修复。</w:t>
      </w:r>
      <w:r>
        <w:rPr>
          <w:rFonts w:hint="eastAsia"/>
        </w:rPr>
        <w:t>若</w:t>
      </w:r>
      <w:r>
        <w:rPr>
          <w:rFonts w:hint="eastAsia"/>
          <w:lang w:val="en-US" w:eastAsia="zh-CN"/>
        </w:rPr>
        <w:t>中标方不能在服务期内完成转移填埋任务，则每延期10个自然日考核0.5万元，不满10个自然日的按10个自然日处理，具体考核款从服务总价里扣除，扣完为止。</w:t>
      </w:r>
    </w:p>
    <w:p w14:paraId="19B48AF0">
      <w:pPr>
        <w:pStyle w:val="2"/>
        <w:bidi w:val="0"/>
        <w:rPr>
          <w:rFonts w:hint="eastAsia" w:ascii="宋体" w:hAnsi="宋体" w:eastAsia="宋体" w:cs="宋体"/>
          <w:sz w:val="21"/>
          <w:szCs w:val="21"/>
          <w:lang w:val="en-US" w:eastAsia="zh-CN"/>
        </w:rPr>
      </w:pPr>
      <w:bookmarkStart w:id="39" w:name="_Toc1900"/>
      <w:r>
        <w:rPr>
          <w:rFonts w:hint="eastAsia" w:ascii="宋体" w:hAnsi="宋体" w:eastAsia="宋体" w:cs="宋体"/>
          <w:sz w:val="21"/>
          <w:szCs w:val="21"/>
          <w:lang w:val="en-US" w:eastAsia="zh-CN"/>
        </w:rPr>
        <w:t>三、商务要求</w:t>
      </w:r>
      <w:bookmarkEnd w:id="34"/>
      <w:bookmarkEnd w:id="39"/>
    </w:p>
    <w:p w14:paraId="559670A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（一）项目投标报价要求</w:t>
      </w:r>
    </w:p>
    <w:p w14:paraId="1C5999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1.投标报价包括</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人工费；运输费；机械工具的燃油费、维保费、修理费；各项保险费；作业人员劳动保护费；安全、环保等措施费；各种加班费；作业人员体检费；教育培训费；管理费；各项税金及利润等</w:t>
      </w:r>
      <w:r>
        <w:rPr>
          <w:rFonts w:hint="eastAsia" w:ascii="宋体" w:hAnsi="宋体" w:cs="宋体"/>
          <w:color w:val="auto"/>
          <w:sz w:val="21"/>
          <w:szCs w:val="21"/>
          <w:highlight w:val="none"/>
          <w:lang w:val="en-US" w:eastAsia="zh-CN"/>
        </w:rPr>
        <w:t>费用</w:t>
      </w:r>
      <w:r>
        <w:rPr>
          <w:rFonts w:hint="eastAsia" w:ascii="宋体" w:hAnsi="宋体" w:eastAsia="宋体" w:cs="宋体"/>
          <w:color w:val="auto"/>
          <w:sz w:val="21"/>
          <w:szCs w:val="21"/>
          <w:highlight w:val="none"/>
          <w:lang w:val="en-US" w:eastAsia="zh-CN"/>
        </w:rPr>
        <w:t>，应是招标文件确定的招标范围内的全部工作内容的价格表现，完成该项目的所有费用及各环节所必需的连带工作或服务、成果验收、以及政策性文件规定、合同包含的所有风险责任等所有费用。如有漏项，视同已包含在其总项目中，合同总价不予调整。</w:t>
      </w:r>
    </w:p>
    <w:p w14:paraId="3852E8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2.投标方须在《开标一览表》上写明投标</w:t>
      </w: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 xml:space="preserve">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2C2F03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3.中标后，中标人所填写的单价在合同实施期间不因市场变化因素而变动；投标人在计算报价时应考虑一定的风险系数。</w:t>
      </w:r>
    </w:p>
    <w:p w14:paraId="7D8F07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4.投标人应按招标文件规定的报价格式进行投标报价。投标人</w:t>
      </w:r>
      <w:r>
        <w:rPr>
          <w:rFonts w:hint="eastAsia" w:ascii="宋体" w:hAnsi="宋体" w:cs="宋体"/>
          <w:color w:val="auto"/>
          <w:sz w:val="21"/>
          <w:szCs w:val="21"/>
          <w:highlight w:val="none"/>
          <w:lang w:val="en-US" w:eastAsia="zh-CN"/>
        </w:rPr>
        <w:t>对每项服务</w:t>
      </w:r>
      <w:r>
        <w:rPr>
          <w:rFonts w:hint="eastAsia" w:ascii="宋体" w:hAnsi="宋体" w:eastAsia="宋体" w:cs="宋体"/>
          <w:color w:val="auto"/>
          <w:sz w:val="21"/>
          <w:szCs w:val="21"/>
          <w:highlight w:val="none"/>
          <w:lang w:val="en-US" w:eastAsia="zh-CN"/>
        </w:rPr>
        <w:t>只允许有一个报价，采购人不接受任何有选择性的报价。</w:t>
      </w:r>
    </w:p>
    <w:p w14:paraId="50341E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5.投标人按照上述要求编制投标报价。一旦确认某一投标人中标，除合同规定的可调整内容外，中标人不得要求追加任何费用。</w:t>
      </w:r>
    </w:p>
    <w:p w14:paraId="6AA78A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6.须由中标单位开具正式发票。</w:t>
      </w:r>
    </w:p>
    <w:p w14:paraId="391DB0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7.招标文件中规定由投标单位承担并支付的相关费用在投标报价时应一并考虑。</w:t>
      </w:r>
    </w:p>
    <w:p w14:paraId="55104DF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cs="宋体"/>
          <w:b/>
          <w:bCs/>
          <w:color w:val="auto"/>
          <w:sz w:val="21"/>
          <w:szCs w:val="21"/>
          <w:highlight w:val="none"/>
          <w:lang w:val="en-US" w:eastAsia="zh-CN"/>
        </w:rPr>
        <w:t>服务期限及地点</w:t>
      </w:r>
    </w:p>
    <w:p w14:paraId="217805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1.服务期限：合同签订之日起140天。</w:t>
      </w:r>
    </w:p>
    <w:p w14:paraId="27A6EE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2.服务地点：采购人指定地点。</w:t>
      </w:r>
    </w:p>
    <w:p w14:paraId="28CC835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cs="宋体"/>
          <w:b/>
          <w:bCs/>
          <w:color w:val="auto"/>
          <w:sz w:val="21"/>
          <w:szCs w:val="21"/>
          <w:highlight w:val="none"/>
          <w:lang w:val="en-US" w:eastAsia="zh-CN"/>
        </w:rPr>
        <w:t>履约验收</w:t>
      </w:r>
    </w:p>
    <w:p w14:paraId="1918EA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根据中华人民共和国现行技术标准，按招标文件以及合同规定的验收评定标准等规范，由采购人组织验收。</w:t>
      </w:r>
    </w:p>
    <w:p w14:paraId="35A3EF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验收产生的费用由中标方承担。同时，</w:t>
      </w:r>
      <w:r>
        <w:rPr>
          <w:rFonts w:hint="eastAsia" w:ascii="宋体" w:hAnsi="宋体" w:cs="宋体"/>
          <w:bCs/>
          <w:color w:val="auto"/>
          <w:sz w:val="21"/>
          <w:szCs w:val="21"/>
          <w:highlight w:val="none"/>
          <w:lang w:eastAsia="zh-CN"/>
        </w:rPr>
        <w:t>投标人</w:t>
      </w:r>
      <w:r>
        <w:rPr>
          <w:rFonts w:hint="eastAsia" w:ascii="宋体" w:hAnsi="宋体" w:eastAsia="宋体" w:cs="宋体"/>
          <w:bCs/>
          <w:color w:val="auto"/>
          <w:sz w:val="21"/>
          <w:szCs w:val="21"/>
          <w:highlight w:val="none"/>
        </w:rPr>
        <w:t>应在投标文件中提供设备的验收标准、检测方法，验收标准应符合国家有关相应的规定和标准。</w:t>
      </w:r>
    </w:p>
    <w:p w14:paraId="71ABC4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（四）付款方式</w:t>
      </w:r>
    </w:p>
    <w:p w14:paraId="40FEC4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飞灰固化物转移至飞灰二期库区内填埋工作完成并通过验收（以甲方委托第三方出具的结算审计报告为准）后30个工作日内支付至合同总金额的95%，余款在质保期（一年）满后一次性无息付清。</w:t>
      </w:r>
    </w:p>
    <w:p w14:paraId="6E300B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验收后一年内若出现覆膜泄漏、破裂等问题需24小时内到场修复。若中标方不能在服务期内完成转移填埋任务，则每延期10个自然日考核0.5万元，不满10个自然日的按10个自然日处理，具体考核款从服务总价里扣除，扣完为止。</w:t>
      </w:r>
    </w:p>
    <w:p w14:paraId="1C08B076">
      <w:pPr>
        <w:pStyle w:val="2"/>
        <w:bidi w:val="0"/>
        <w:rPr>
          <w:rFonts w:hint="eastAsia" w:ascii="宋体" w:hAnsi="宋体" w:eastAsia="宋体" w:cs="宋体"/>
          <w:sz w:val="21"/>
          <w:szCs w:val="21"/>
          <w:lang w:val="en-US" w:eastAsia="zh-CN"/>
        </w:rPr>
      </w:pPr>
      <w:bookmarkStart w:id="40" w:name="_Toc16964"/>
      <w:r>
        <w:rPr>
          <w:rFonts w:hint="eastAsia" w:ascii="宋体" w:hAnsi="宋体" w:eastAsia="宋体" w:cs="宋体"/>
          <w:sz w:val="21"/>
          <w:szCs w:val="21"/>
          <w:lang w:val="en-US" w:eastAsia="zh-CN"/>
        </w:rPr>
        <w:t>四、其他说明</w:t>
      </w:r>
      <w:bookmarkEnd w:id="35"/>
      <w:bookmarkEnd w:id="36"/>
      <w:bookmarkEnd w:id="40"/>
    </w:p>
    <w:p w14:paraId="71B1FF4F">
      <w:pPr>
        <w:pStyle w:val="17"/>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b w:val="0"/>
          <w:bCs w:val="0"/>
          <w:color w:val="auto"/>
          <w:sz w:val="21"/>
          <w:szCs w:val="21"/>
          <w:highlight w:val="none"/>
          <w:lang w:eastAsia="zh-CN"/>
        </w:rPr>
      </w:pPr>
      <w:r>
        <w:rPr>
          <w:rFonts w:hint="eastAsia" w:hAnsi="宋体"/>
          <w:b w:val="0"/>
          <w:bCs w:val="0"/>
          <w:color w:val="auto"/>
          <w:sz w:val="21"/>
          <w:szCs w:val="21"/>
          <w:highlight w:val="none"/>
          <w:lang w:val="en-US" w:eastAsia="zh-CN"/>
        </w:rPr>
        <w:t>1</w:t>
      </w:r>
      <w:r>
        <w:rPr>
          <w:rFonts w:hint="eastAsia" w:ascii="宋体" w:hAnsi="宋体"/>
          <w:b w:val="0"/>
          <w:bCs w:val="0"/>
          <w:color w:val="auto"/>
          <w:sz w:val="21"/>
          <w:szCs w:val="21"/>
          <w:highlight w:val="none"/>
          <w:lang w:val="en-US" w:eastAsia="zh-CN"/>
        </w:rPr>
        <w:t>.</w:t>
      </w:r>
      <w:r>
        <w:rPr>
          <w:rFonts w:hint="eastAsia" w:ascii="宋体" w:hAnsi="宋体"/>
          <w:b w:val="0"/>
          <w:bCs w:val="0"/>
          <w:color w:val="auto"/>
          <w:sz w:val="21"/>
          <w:szCs w:val="21"/>
          <w:highlight w:val="none"/>
        </w:rPr>
        <w:t>中标单位在签订合同时，若坚持提出附加条件或不合理要求，中标资格将被取消</w:t>
      </w:r>
      <w:r>
        <w:rPr>
          <w:rFonts w:hint="eastAsia" w:ascii="宋体" w:hAnsi="宋体"/>
          <w:b w:val="0"/>
          <w:bCs w:val="0"/>
          <w:color w:val="auto"/>
          <w:sz w:val="21"/>
          <w:szCs w:val="21"/>
          <w:highlight w:val="none"/>
          <w:lang w:eastAsia="zh-CN"/>
        </w:rPr>
        <w:t>。</w:t>
      </w:r>
    </w:p>
    <w:p w14:paraId="4FD878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b w:val="0"/>
          <w:bCs w:val="0"/>
          <w:color w:val="auto"/>
          <w:sz w:val="21"/>
          <w:szCs w:val="21"/>
          <w:highlight w:val="none"/>
          <w:lang w:eastAsia="zh-CN"/>
        </w:rPr>
      </w:pPr>
      <w:r>
        <w:rPr>
          <w:rFonts w:hint="eastAsia" w:hAnsi="宋体"/>
          <w:b w:val="0"/>
          <w:bCs w:val="0"/>
          <w:color w:val="auto"/>
          <w:sz w:val="21"/>
          <w:szCs w:val="21"/>
          <w:highlight w:val="none"/>
          <w:lang w:val="en-US" w:eastAsia="zh-CN"/>
        </w:rPr>
        <w:t>2</w:t>
      </w:r>
      <w:r>
        <w:rPr>
          <w:rFonts w:hint="eastAsia" w:ascii="宋体" w:hAnsi="宋体"/>
          <w:b w:val="0"/>
          <w:bCs w:val="0"/>
          <w:color w:val="auto"/>
          <w:sz w:val="21"/>
          <w:szCs w:val="21"/>
          <w:highlight w:val="none"/>
          <w:lang w:val="en-US" w:eastAsia="zh-CN"/>
        </w:rPr>
        <w:t>.</w:t>
      </w:r>
      <w:r>
        <w:rPr>
          <w:rFonts w:hint="eastAsia" w:hAnsi="宋体" w:cs="宋体"/>
          <w:b w:val="0"/>
          <w:bCs w:val="0"/>
          <w:color w:val="auto"/>
          <w:sz w:val="21"/>
          <w:szCs w:val="21"/>
          <w:highlight w:val="none"/>
        </w:rPr>
        <w:t>如中标单位的投标文件与招标文件要求不一致的，履约时应以有利于采购人的条款执行</w:t>
      </w:r>
      <w:r>
        <w:rPr>
          <w:rFonts w:hint="eastAsia" w:hAnsi="宋体" w:cs="宋体"/>
          <w:b w:val="0"/>
          <w:bCs w:val="0"/>
          <w:color w:val="auto"/>
          <w:sz w:val="21"/>
          <w:szCs w:val="21"/>
          <w:highlight w:val="none"/>
          <w:lang w:eastAsia="zh-CN"/>
        </w:rPr>
        <w:t>。</w:t>
      </w:r>
    </w:p>
    <w:p w14:paraId="6853A274">
      <w:pPr>
        <w:rPr>
          <w:rFonts w:hint="eastAsia" w:hAnsi="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br w:type="page"/>
      </w:r>
    </w:p>
    <w:p w14:paraId="0D4B1ACC">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41" w:name="_Toc16221"/>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7"/>
      <w:bookmarkEnd w:id="41"/>
    </w:p>
    <w:p w14:paraId="3E9E131C">
      <w:pPr>
        <w:pStyle w:val="2"/>
        <w:spacing w:before="0" w:after="0" w:line="460" w:lineRule="exact"/>
        <w:rPr>
          <w:rFonts w:ascii="宋体" w:hAnsi="宋体" w:eastAsia="宋体"/>
          <w:color w:val="auto"/>
          <w:sz w:val="21"/>
          <w:szCs w:val="21"/>
          <w:highlight w:val="none"/>
        </w:rPr>
      </w:pPr>
      <w:bookmarkStart w:id="42" w:name="_Toc26212"/>
      <w:bookmarkStart w:id="43" w:name="_Toc406413937"/>
      <w:bookmarkStart w:id="44" w:name="_Toc22509"/>
      <w:bookmarkStart w:id="45" w:name="_Toc362250705"/>
      <w:bookmarkStart w:id="46" w:name="_Toc27000"/>
      <w:bookmarkStart w:id="47" w:name="_Toc226973002"/>
      <w:bookmarkStart w:id="48" w:name="_Toc261519847"/>
      <w:bookmarkStart w:id="49" w:name="_Toc263090375"/>
      <w:bookmarkStart w:id="50" w:name="_Toc274303253"/>
      <w:bookmarkStart w:id="51" w:name="_Toc20175"/>
      <w:r>
        <w:rPr>
          <w:rFonts w:hint="eastAsia" w:ascii="宋体" w:hAnsi="宋体" w:eastAsia="宋体"/>
          <w:color w:val="auto"/>
          <w:sz w:val="21"/>
          <w:szCs w:val="21"/>
          <w:highlight w:val="none"/>
        </w:rPr>
        <w:t>一、开标</w:t>
      </w:r>
      <w:bookmarkEnd w:id="42"/>
      <w:bookmarkEnd w:id="43"/>
      <w:bookmarkEnd w:id="44"/>
    </w:p>
    <w:p w14:paraId="0526FF68">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5A41F3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161703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4A6606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FEF80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445C8F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6DC64530">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043C1903">
      <w:pPr>
        <w:pStyle w:val="2"/>
        <w:spacing w:before="120" w:after="120" w:line="460" w:lineRule="exact"/>
        <w:rPr>
          <w:rFonts w:ascii="宋体" w:hAnsi="宋体" w:eastAsia="宋体" w:cs="宋体"/>
          <w:color w:val="auto"/>
          <w:sz w:val="21"/>
          <w:szCs w:val="21"/>
          <w:highlight w:val="none"/>
        </w:rPr>
      </w:pPr>
      <w:bookmarkStart w:id="52" w:name="_Toc24783"/>
      <w:r>
        <w:rPr>
          <w:rFonts w:hint="eastAsia" w:ascii="宋体" w:hAnsi="宋体" w:eastAsia="宋体" w:cs="宋体"/>
          <w:color w:val="auto"/>
          <w:sz w:val="21"/>
          <w:szCs w:val="21"/>
          <w:highlight w:val="none"/>
        </w:rPr>
        <w:t>二、评标</w:t>
      </w:r>
      <w:bookmarkEnd w:id="45"/>
      <w:bookmarkEnd w:id="46"/>
      <w:bookmarkEnd w:id="47"/>
      <w:bookmarkEnd w:id="48"/>
      <w:bookmarkEnd w:id="49"/>
      <w:bookmarkEnd w:id="50"/>
      <w:bookmarkEnd w:id="51"/>
      <w:bookmarkEnd w:id="52"/>
    </w:p>
    <w:p w14:paraId="6AD9E09D">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772742F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75D5A1FD">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701609AA">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1FB95B46">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6130CF12">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1E858513">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0C0DEAF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00C5D66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6DEF257F">
      <w:pPr>
        <w:pStyle w:val="17"/>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64BC15F6">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6FC72BA9">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059F82FF">
      <w:pPr>
        <w:pStyle w:val="17"/>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0EB7C34E">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4ACA366C">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6A238EBA">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3237882A">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74D628B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307D3917">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302D8E75">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2A6D1DF7">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23006D4A">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3E096B84">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3A7100E7">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4A00787B">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20595734">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5AB22B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3CCE638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3A47BEF7">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1B00BCCB">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67509C5D">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6ADFE3EE">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54B3EF60">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4143D404">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34AB67F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25B66F1C">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3D08D0EA">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4A157D85">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7403D4E0">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4775E1CD">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7F6BDF6E">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3BA9FD0C">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71A7639E">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5A555FDD">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2515A379">
      <w:pPr>
        <w:pStyle w:val="17"/>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18C293C1">
      <w:pPr>
        <w:pStyle w:val="17"/>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12F0503F">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综合评分法</w:t>
      </w:r>
      <w:r>
        <w:rPr>
          <w:rFonts w:hint="eastAsia" w:ascii="宋体" w:hAnsi="宋体" w:cs="宋体"/>
          <w:b/>
          <w:color w:val="auto"/>
          <w:szCs w:val="21"/>
          <w:highlight w:val="none"/>
        </w:rPr>
        <w:t>（具体评标办法见后）。</w:t>
      </w:r>
    </w:p>
    <w:p w14:paraId="0EADB0ED">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5850D8BB">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53" w:name="_Toc4305"/>
      <w:bookmarkStart w:id="54" w:name="_Toc10636"/>
      <w:bookmarkStart w:id="55" w:name="_Toc226973003"/>
      <w:bookmarkStart w:id="56" w:name="_Toc362250706"/>
      <w:bookmarkStart w:id="57" w:name="_Toc274303254"/>
      <w:bookmarkStart w:id="58" w:name="_Toc263090376"/>
      <w:bookmarkStart w:id="59" w:name="_Toc261519848"/>
      <w:r>
        <w:rPr>
          <w:rFonts w:hint="eastAsia" w:ascii="宋体" w:hAnsi="宋体" w:cs="宋体"/>
          <w:color w:val="auto"/>
          <w:szCs w:val="21"/>
          <w:highlight w:val="none"/>
          <w:lang w:val="en-US" w:eastAsia="zh-CN"/>
        </w:rPr>
        <w:t>采购人授权评标小组直接确定中标人。</w:t>
      </w:r>
    </w:p>
    <w:p w14:paraId="159D4C61">
      <w:pPr>
        <w:pStyle w:val="2"/>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60" w:name="_Toc957"/>
      <w:r>
        <w:rPr>
          <w:rFonts w:hint="eastAsia" w:ascii="宋体" w:hAnsi="宋体" w:eastAsia="宋体" w:cs="宋体"/>
          <w:color w:val="auto"/>
          <w:sz w:val="21"/>
          <w:szCs w:val="21"/>
          <w:highlight w:val="none"/>
        </w:rPr>
        <w:t>三、定标</w:t>
      </w:r>
      <w:bookmarkEnd w:id="53"/>
      <w:bookmarkEnd w:id="54"/>
      <w:bookmarkEnd w:id="55"/>
      <w:bookmarkEnd w:id="56"/>
      <w:bookmarkEnd w:id="57"/>
      <w:bookmarkEnd w:id="58"/>
      <w:bookmarkEnd w:id="59"/>
      <w:bookmarkEnd w:id="60"/>
    </w:p>
    <w:p w14:paraId="3DCF6D50">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7089EEC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2926BA2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7BBED28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2EEC41AB">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36DABE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66710F8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553F0D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1D294B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088A2A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540A48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28CF51B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565DC08A">
      <w:pPr>
        <w:pStyle w:val="17"/>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080AD3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2CE5F1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75BDCD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208EBD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4EA9DF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45B436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61920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6680F7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662569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470BF22E">
      <w:pPr>
        <w:spacing w:line="420" w:lineRule="exact"/>
        <w:ind w:firstLine="480" w:firstLineChars="200"/>
        <w:rPr>
          <w:color w:val="auto"/>
          <w:sz w:val="24"/>
          <w:highlight w:val="none"/>
        </w:rPr>
      </w:pPr>
    </w:p>
    <w:p w14:paraId="624E4E52">
      <w:pPr>
        <w:spacing w:line="420" w:lineRule="exact"/>
        <w:ind w:firstLine="480" w:firstLineChars="200"/>
        <w:rPr>
          <w:rFonts w:hint="eastAsia"/>
          <w:color w:val="auto"/>
          <w:sz w:val="24"/>
          <w:highlight w:val="none"/>
        </w:rPr>
      </w:pPr>
    </w:p>
    <w:p w14:paraId="41BA45B9">
      <w:pPr>
        <w:spacing w:line="420" w:lineRule="exact"/>
        <w:ind w:firstLine="480" w:firstLineChars="200"/>
        <w:rPr>
          <w:rFonts w:hint="eastAsia"/>
          <w:color w:val="auto"/>
          <w:sz w:val="24"/>
          <w:highlight w:val="none"/>
        </w:rPr>
      </w:pPr>
    </w:p>
    <w:p w14:paraId="21061078">
      <w:pPr>
        <w:spacing w:line="420" w:lineRule="exact"/>
        <w:ind w:firstLine="480" w:firstLineChars="200"/>
        <w:rPr>
          <w:rFonts w:hint="eastAsia"/>
          <w:color w:val="auto"/>
          <w:sz w:val="24"/>
          <w:highlight w:val="none"/>
        </w:rPr>
      </w:pPr>
    </w:p>
    <w:p w14:paraId="336302CF">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61" w:name="_Toc23756"/>
      <w:r>
        <w:rPr>
          <w:rFonts w:hint="eastAsia" w:hAnsi="宋体"/>
          <w:color w:val="auto"/>
          <w:sz w:val="36"/>
          <w:highlight w:val="none"/>
        </w:rPr>
        <w:br w:type="page"/>
      </w:r>
      <w:bookmarkStart w:id="62" w:name="_Toc598"/>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61"/>
      <w:bookmarkEnd w:id="62"/>
    </w:p>
    <w:p w14:paraId="2B201268">
      <w:pPr>
        <w:pStyle w:val="17"/>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232C270A">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3EABCF96">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52CF72D9">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91A3D6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4C8F7B58">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4D5F60DA">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4B0DF90D">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5649A3AF">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667E81D5">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2BF5F14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5F8504C2">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5F8E84C3">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34213347">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1EDA0764">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6A25CD18">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70B316E2">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582B18EC">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2E4A06C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682C7D6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40AB727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071ABE6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4740A7EC">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57ABDE5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4E17B85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17BDBC5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122EA5A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23B16F7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2B53AC7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659040D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563C648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2F552916">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126AF33B">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66DA1CC9">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70A9278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6898D001">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04658B43">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79E6A4A3">
      <w:pPr>
        <w:spacing w:line="420" w:lineRule="exact"/>
        <w:ind w:firstLine="422" w:firstLineChars="200"/>
        <w:rPr>
          <w:rFonts w:hint="eastAsia"/>
          <w:b/>
          <w:bCs/>
          <w:color w:val="auto"/>
          <w:szCs w:val="21"/>
          <w:highlight w:val="none"/>
        </w:rPr>
      </w:pPr>
    </w:p>
    <w:p w14:paraId="6B95AE40">
      <w:pPr>
        <w:spacing w:line="420" w:lineRule="exact"/>
        <w:ind w:firstLine="480" w:firstLineChars="200"/>
        <w:rPr>
          <w:rFonts w:hint="eastAsia"/>
          <w:color w:val="auto"/>
          <w:sz w:val="24"/>
          <w:highlight w:val="none"/>
        </w:rPr>
      </w:pPr>
    </w:p>
    <w:p w14:paraId="69D99237">
      <w:pPr>
        <w:spacing w:line="420" w:lineRule="exact"/>
        <w:rPr>
          <w:rFonts w:hint="eastAsia"/>
          <w:color w:val="auto"/>
          <w:sz w:val="24"/>
          <w:highlight w:val="none"/>
        </w:rPr>
      </w:pPr>
    </w:p>
    <w:p w14:paraId="7E8FD1A0">
      <w:pPr>
        <w:spacing w:line="420" w:lineRule="exact"/>
        <w:rPr>
          <w:rFonts w:hint="eastAsia"/>
          <w:color w:val="auto"/>
          <w:sz w:val="24"/>
          <w:highlight w:val="none"/>
        </w:rPr>
      </w:pPr>
    </w:p>
    <w:p w14:paraId="32440375">
      <w:pPr>
        <w:spacing w:line="420" w:lineRule="exact"/>
        <w:rPr>
          <w:rFonts w:hint="eastAsia"/>
          <w:color w:val="auto"/>
          <w:sz w:val="24"/>
          <w:highlight w:val="none"/>
        </w:rPr>
      </w:pPr>
    </w:p>
    <w:p w14:paraId="449BDB14">
      <w:pPr>
        <w:spacing w:line="420" w:lineRule="exact"/>
        <w:rPr>
          <w:rFonts w:hint="eastAsia"/>
          <w:color w:val="auto"/>
          <w:sz w:val="24"/>
          <w:highlight w:val="none"/>
        </w:rPr>
      </w:pPr>
    </w:p>
    <w:p w14:paraId="49247237">
      <w:pPr>
        <w:spacing w:line="420" w:lineRule="exact"/>
        <w:rPr>
          <w:rFonts w:hint="eastAsia"/>
          <w:color w:val="auto"/>
          <w:sz w:val="24"/>
          <w:highlight w:val="none"/>
        </w:rPr>
      </w:pPr>
    </w:p>
    <w:p w14:paraId="6E0B704F">
      <w:pPr>
        <w:spacing w:line="420" w:lineRule="exact"/>
        <w:rPr>
          <w:rFonts w:hint="eastAsia"/>
          <w:color w:val="auto"/>
          <w:sz w:val="24"/>
          <w:highlight w:val="none"/>
        </w:rPr>
      </w:pPr>
    </w:p>
    <w:p w14:paraId="49E8015E">
      <w:pPr>
        <w:spacing w:line="420" w:lineRule="exact"/>
        <w:rPr>
          <w:rFonts w:hint="eastAsia"/>
          <w:color w:val="auto"/>
          <w:sz w:val="24"/>
          <w:highlight w:val="none"/>
        </w:rPr>
      </w:pPr>
    </w:p>
    <w:p w14:paraId="7FA5BC54">
      <w:pPr>
        <w:spacing w:line="420" w:lineRule="exact"/>
        <w:rPr>
          <w:rFonts w:hint="eastAsia"/>
          <w:color w:val="auto"/>
          <w:sz w:val="24"/>
          <w:highlight w:val="none"/>
        </w:rPr>
      </w:pPr>
    </w:p>
    <w:p w14:paraId="0A37485A">
      <w:pPr>
        <w:pStyle w:val="65"/>
        <w:ind w:firstLine="420" w:firstLineChars="200"/>
        <w:rPr>
          <w:rFonts w:hint="eastAsia" w:ascii="宋体" w:hAnsi="宋体" w:cs="宋体"/>
          <w:color w:val="auto"/>
          <w:sz w:val="21"/>
          <w:szCs w:val="21"/>
          <w:highlight w:val="none"/>
        </w:rPr>
      </w:pPr>
      <w:bookmarkStart w:id="63" w:name="_Toc274303257"/>
    </w:p>
    <w:p w14:paraId="65AB5CD6">
      <w:pPr>
        <w:pStyle w:val="3"/>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4" w:name="_Toc145992551"/>
      <w:bookmarkStart w:id="65" w:name="_Toc362250708"/>
      <w:bookmarkStart w:id="66" w:name="_Toc19786"/>
      <w:bookmarkStart w:id="67" w:name="_Toc274303255"/>
      <w:bookmarkStart w:id="68" w:name="_Toc226973004"/>
      <w:r>
        <w:rPr>
          <w:rFonts w:hint="eastAsia"/>
          <w:color w:val="auto"/>
          <w:sz w:val="36"/>
          <w:highlight w:val="none"/>
        </w:rPr>
        <w:br w:type="page"/>
      </w:r>
      <w:bookmarkStart w:id="69" w:name="_Toc13966"/>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4"/>
      <w:bookmarkEnd w:id="65"/>
      <w:bookmarkEnd w:id="66"/>
      <w:bookmarkEnd w:id="67"/>
      <w:bookmarkEnd w:id="68"/>
      <w:bookmarkEnd w:id="69"/>
    </w:p>
    <w:bookmarkEnd w:id="63"/>
    <w:p w14:paraId="2EAE0AEB">
      <w:pPr>
        <w:pStyle w:val="65"/>
        <w:ind w:firstLine="420" w:firstLineChars="200"/>
        <w:rPr>
          <w:rFonts w:hint="eastAsia" w:ascii="宋体" w:hAnsi="宋体" w:cs="宋体"/>
          <w:color w:val="auto"/>
          <w:sz w:val="21"/>
          <w:szCs w:val="21"/>
          <w:highlight w:val="none"/>
        </w:rPr>
      </w:pPr>
      <w:bookmarkStart w:id="70" w:name="_Toc269969080"/>
      <w:bookmarkStart w:id="71" w:name="_Toc330474791"/>
      <w:bookmarkStart w:id="72" w:name="_Toc362250710"/>
      <w:bookmarkStart w:id="73" w:name="_Toc358884475"/>
      <w:bookmarkStart w:id="74" w:name="_Toc323024194"/>
      <w:bookmarkStart w:id="75" w:name="_Toc295815145"/>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17C6B503">
      <w:pPr>
        <w:pStyle w:val="2"/>
        <w:spacing w:before="120" w:after="120" w:line="460" w:lineRule="exact"/>
        <w:rPr>
          <w:rFonts w:hint="eastAsia" w:ascii="宋体" w:hAnsi="宋体" w:eastAsia="宋体" w:cs="宋体"/>
          <w:b/>
          <w:bCs/>
          <w:color w:val="auto"/>
          <w:sz w:val="21"/>
          <w:szCs w:val="21"/>
          <w:highlight w:val="none"/>
        </w:rPr>
      </w:pPr>
      <w:bookmarkStart w:id="76" w:name="_Toc15486"/>
      <w:bookmarkStart w:id="77" w:name="_Toc5961"/>
      <w:r>
        <w:rPr>
          <w:rFonts w:hint="eastAsia" w:ascii="宋体" w:hAnsi="宋体" w:eastAsia="宋体" w:cs="宋体"/>
          <w:b/>
          <w:bCs/>
          <w:color w:val="auto"/>
          <w:sz w:val="21"/>
          <w:szCs w:val="21"/>
          <w:highlight w:val="none"/>
        </w:rPr>
        <w:t>一、评审程序</w:t>
      </w:r>
      <w:bookmarkEnd w:id="76"/>
      <w:bookmarkEnd w:id="77"/>
    </w:p>
    <w:p w14:paraId="4EF99872">
      <w:pPr>
        <w:pStyle w:val="17"/>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571FB37A">
      <w:pPr>
        <w:pStyle w:val="17"/>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（一）对所有投标人的资格响应文件进行审查，并以开标当日为准，对投标人“信用中国”网站（www.creditchina.gov.cn）信用记录情况进行查询；</w:t>
      </w:r>
    </w:p>
    <w:p w14:paraId="7B3A2802">
      <w:pPr>
        <w:pStyle w:val="17"/>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0F3C82B0">
      <w:pPr>
        <w:pStyle w:val="17"/>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33E72A89">
      <w:pPr>
        <w:pStyle w:val="17"/>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AB995E1">
      <w:pPr>
        <w:pStyle w:val="17"/>
        <w:spacing w:line="440" w:lineRule="exact"/>
        <w:ind w:firstLine="420" w:firstLineChars="200"/>
        <w:rPr>
          <w:rFonts w:hint="eastAsia" w:hAnsi="宋体" w:eastAsia="宋体" w:cs="宋体"/>
          <w:color w:val="auto"/>
          <w:highlight w:val="none"/>
          <w:lang w:eastAsia="zh-CN"/>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r>
        <w:rPr>
          <w:rFonts w:hint="eastAsia" w:hAnsi="宋体" w:cs="宋体"/>
          <w:color w:val="auto"/>
          <w:highlight w:val="none"/>
          <w:lang w:eastAsia="zh-CN"/>
        </w:rPr>
        <w:t>。</w:t>
      </w:r>
    </w:p>
    <w:p w14:paraId="09E095BD">
      <w:pPr>
        <w:pStyle w:val="17"/>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00487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技术分从高到低顺序排列；</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技术分相同，投标报价也相同的由采购人代表采用随机抽取程序随机确定。</w:t>
      </w:r>
    </w:p>
    <w:p w14:paraId="1E457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w:t>
      </w:r>
      <w:r>
        <w:rPr>
          <w:rFonts w:hint="eastAsia" w:ascii="宋体" w:hAnsi="宋体" w:cs="宋体"/>
          <w:color w:val="auto"/>
          <w:szCs w:val="21"/>
          <w:highlight w:val="none"/>
          <w:lang w:eastAsia="zh-CN"/>
        </w:rPr>
        <w:t>排名第一</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w:t>
      </w:r>
    </w:p>
    <w:p w14:paraId="4559632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058FAE7A">
      <w:pPr>
        <w:pStyle w:val="17"/>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5F9C01F7">
      <w:pPr>
        <w:pStyle w:val="2"/>
        <w:spacing w:before="120" w:after="120" w:line="460" w:lineRule="exact"/>
        <w:rPr>
          <w:rFonts w:hint="eastAsia" w:ascii="宋体" w:hAnsi="宋体" w:eastAsia="宋体" w:cs="宋体"/>
          <w:b/>
          <w:bCs/>
          <w:color w:val="auto"/>
          <w:sz w:val="21"/>
          <w:szCs w:val="21"/>
          <w:highlight w:val="none"/>
        </w:rPr>
      </w:pPr>
      <w:bookmarkStart w:id="78" w:name="_Toc5282"/>
      <w:bookmarkStart w:id="79" w:name="_Toc21239"/>
      <w:r>
        <w:rPr>
          <w:rFonts w:hint="eastAsia" w:ascii="宋体" w:hAnsi="宋体" w:eastAsia="宋体" w:cs="宋体"/>
          <w:b/>
          <w:bCs/>
          <w:color w:val="auto"/>
          <w:sz w:val="21"/>
          <w:szCs w:val="21"/>
          <w:highlight w:val="none"/>
        </w:rPr>
        <w:t>二、确定的中标人放弃中标等情况的处理</w:t>
      </w:r>
      <w:bookmarkEnd w:id="78"/>
      <w:bookmarkEnd w:id="79"/>
    </w:p>
    <w:p w14:paraId="5B16C774">
      <w:pPr>
        <w:pStyle w:val="17"/>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7CE430FF">
      <w:pPr>
        <w:pStyle w:val="17"/>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6677AFB8">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B899B3F">
      <w:pPr>
        <w:pStyle w:val="2"/>
        <w:numPr>
          <w:ilvl w:val="0"/>
          <w:numId w:val="5"/>
        </w:numPr>
        <w:spacing w:before="120" w:after="120" w:line="360" w:lineRule="auto"/>
        <w:rPr>
          <w:rFonts w:hint="eastAsia" w:ascii="宋体" w:hAnsi="宋体" w:eastAsia="宋体" w:cs="宋体"/>
          <w:color w:val="auto"/>
          <w:sz w:val="21"/>
          <w:szCs w:val="21"/>
          <w:highlight w:val="none"/>
        </w:rPr>
      </w:pPr>
      <w:bookmarkStart w:id="80" w:name="_Toc14060"/>
      <w:bookmarkStart w:id="81" w:name="_Toc30301"/>
      <w:r>
        <w:rPr>
          <w:rFonts w:hint="eastAsia" w:ascii="宋体" w:hAnsi="宋体" w:eastAsia="宋体" w:cs="宋体"/>
          <w:color w:val="auto"/>
          <w:sz w:val="21"/>
          <w:szCs w:val="21"/>
          <w:highlight w:val="none"/>
        </w:rPr>
        <w:t>评分细则</w:t>
      </w:r>
      <w:bookmarkEnd w:id="80"/>
      <w:bookmarkEnd w:id="81"/>
    </w:p>
    <w:tbl>
      <w:tblPr>
        <w:tblStyle w:val="3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16"/>
        <w:gridCol w:w="1635"/>
        <w:gridCol w:w="5214"/>
      </w:tblGrid>
      <w:tr w14:paraId="64B4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3" w:type="dxa"/>
            <w:noWrap/>
            <w:vAlign w:val="center"/>
          </w:tcPr>
          <w:p w14:paraId="70B5254E">
            <w:pPr>
              <w:pStyle w:val="66"/>
              <w:keepNext w:val="0"/>
              <w:keepLines w:val="0"/>
              <w:pageBreakBefore w:val="0"/>
              <w:widowControl/>
              <w:kinsoku/>
              <w:wordWrap/>
              <w:overflowPunct/>
              <w:topLinePunct w:val="0"/>
              <w:autoSpaceDE/>
              <w:bidi w:val="0"/>
              <w:spacing w:line="240" w:lineRule="auto"/>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序号</w:t>
            </w:r>
          </w:p>
        </w:tc>
        <w:tc>
          <w:tcPr>
            <w:tcW w:w="1516" w:type="dxa"/>
            <w:noWrap/>
            <w:vAlign w:val="center"/>
          </w:tcPr>
          <w:p w14:paraId="384E351D">
            <w:pPr>
              <w:pStyle w:val="66"/>
              <w:keepNext w:val="0"/>
              <w:keepLines w:val="0"/>
              <w:pageBreakBefore w:val="0"/>
              <w:widowControl/>
              <w:kinsoku/>
              <w:wordWrap/>
              <w:overflowPunct/>
              <w:topLinePunct w:val="0"/>
              <w:autoSpaceDE/>
              <w:bidi w:val="0"/>
              <w:spacing w:line="240" w:lineRule="auto"/>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评分内容</w:t>
            </w:r>
          </w:p>
        </w:tc>
        <w:tc>
          <w:tcPr>
            <w:tcW w:w="1635" w:type="dxa"/>
            <w:noWrap/>
            <w:vAlign w:val="center"/>
          </w:tcPr>
          <w:p w14:paraId="40505299">
            <w:pPr>
              <w:pStyle w:val="66"/>
              <w:keepNext w:val="0"/>
              <w:keepLines w:val="0"/>
              <w:pageBreakBefore w:val="0"/>
              <w:widowControl/>
              <w:kinsoku/>
              <w:wordWrap/>
              <w:overflowPunct/>
              <w:topLinePunct w:val="0"/>
              <w:autoSpaceDE/>
              <w:bidi w:val="0"/>
              <w:spacing w:line="240" w:lineRule="auto"/>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分数</w:t>
            </w:r>
          </w:p>
        </w:tc>
        <w:tc>
          <w:tcPr>
            <w:tcW w:w="5214" w:type="dxa"/>
            <w:noWrap/>
            <w:vAlign w:val="center"/>
          </w:tcPr>
          <w:p w14:paraId="01CCB9B8">
            <w:pPr>
              <w:pStyle w:val="66"/>
              <w:keepNext w:val="0"/>
              <w:keepLines w:val="0"/>
              <w:pageBreakBefore w:val="0"/>
              <w:widowControl/>
              <w:kinsoku/>
              <w:wordWrap/>
              <w:overflowPunct/>
              <w:topLinePunct w:val="0"/>
              <w:autoSpaceDE/>
              <w:bidi w:val="0"/>
              <w:spacing w:line="240" w:lineRule="auto"/>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评分标准</w:t>
            </w:r>
          </w:p>
        </w:tc>
      </w:tr>
      <w:tr w14:paraId="1E16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93" w:type="dxa"/>
            <w:noWrap/>
            <w:vAlign w:val="center"/>
          </w:tcPr>
          <w:p w14:paraId="29FFCBE7">
            <w:pPr>
              <w:pStyle w:val="17"/>
              <w:keepNext w:val="0"/>
              <w:keepLines w:val="0"/>
              <w:pageBreakBefore w:val="0"/>
              <w:kinsoku/>
              <w:wordWrap/>
              <w:overflowPunct/>
              <w:topLinePunct w:val="0"/>
              <w:autoSpaceDE/>
              <w:bidi w:val="0"/>
              <w:spacing w:line="240" w:lineRule="auto"/>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color w:val="auto"/>
                <w:sz w:val="21"/>
                <w:szCs w:val="21"/>
                <w:highlight w:val="none"/>
              </w:rPr>
              <w:t>一</w:t>
            </w:r>
          </w:p>
        </w:tc>
        <w:tc>
          <w:tcPr>
            <w:tcW w:w="1516" w:type="dxa"/>
            <w:noWrap/>
            <w:vAlign w:val="center"/>
          </w:tcPr>
          <w:p w14:paraId="36CF76E0">
            <w:pPr>
              <w:pStyle w:val="17"/>
              <w:keepNext w:val="0"/>
              <w:keepLines w:val="0"/>
              <w:pageBreakBefore w:val="0"/>
              <w:kinsoku/>
              <w:wordWrap/>
              <w:overflowPunct/>
              <w:topLinePunct w:val="0"/>
              <w:autoSpaceDE/>
              <w:bidi w:val="0"/>
              <w:spacing w:line="240" w:lineRule="auto"/>
              <w:jc w:val="center"/>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color w:val="auto"/>
                <w:sz w:val="21"/>
                <w:szCs w:val="21"/>
                <w:highlight w:val="none"/>
                <w:lang w:val="en-US" w:eastAsia="zh-CN"/>
              </w:rPr>
              <w:t>商务技术分</w:t>
            </w:r>
          </w:p>
        </w:tc>
        <w:tc>
          <w:tcPr>
            <w:tcW w:w="1635" w:type="dxa"/>
            <w:noWrap/>
            <w:vAlign w:val="center"/>
          </w:tcPr>
          <w:p w14:paraId="25C4993D">
            <w:pPr>
              <w:pStyle w:val="17"/>
              <w:keepNext w:val="0"/>
              <w:keepLines w:val="0"/>
              <w:pageBreakBefore w:val="0"/>
              <w:kinsoku/>
              <w:wordWrap/>
              <w:overflowPunct/>
              <w:topLinePunct w:val="0"/>
              <w:autoSpaceDE/>
              <w:bidi w:val="0"/>
              <w:spacing w:line="240" w:lineRule="auto"/>
              <w:jc w:val="center"/>
              <w:textAlignment w:val="auto"/>
              <w:rPr>
                <w:rFonts w:hint="default" w:ascii="Times New Roman" w:hAnsi="Times New Roman" w:eastAsia="宋体" w:cs="宋体"/>
                <w:b/>
                <w:bCs/>
                <w:color w:val="auto"/>
                <w:sz w:val="21"/>
                <w:szCs w:val="21"/>
                <w:highlight w:val="none"/>
                <w:lang w:val="en-US"/>
              </w:rPr>
            </w:pPr>
            <w:r>
              <w:rPr>
                <w:rFonts w:hint="eastAsia" w:ascii="Times New Roman" w:hAnsi="Times New Roman" w:eastAsia="宋体" w:cs="宋体"/>
                <w:color w:val="auto"/>
                <w:sz w:val="21"/>
                <w:szCs w:val="21"/>
                <w:highlight w:val="none"/>
                <w:lang w:val="en-US" w:eastAsia="zh-CN"/>
              </w:rPr>
              <w:t>70</w:t>
            </w:r>
          </w:p>
        </w:tc>
        <w:tc>
          <w:tcPr>
            <w:tcW w:w="5214" w:type="dxa"/>
            <w:noWrap/>
            <w:vAlign w:val="center"/>
          </w:tcPr>
          <w:p w14:paraId="483537F9">
            <w:pPr>
              <w:keepNext w:val="0"/>
              <w:keepLines w:val="0"/>
              <w:pageBreakBefore w:val="0"/>
              <w:kinsoku/>
              <w:wordWrap/>
              <w:overflowPunct/>
              <w:topLinePunct w:val="0"/>
              <w:autoSpaceDE/>
              <w:bidi w:val="0"/>
              <w:spacing w:line="240" w:lineRule="auto"/>
              <w:textAlignment w:val="auto"/>
              <w:rPr>
                <w:rFonts w:hint="eastAsia" w:ascii="Times New Roman" w:hAnsi="Times New Roman" w:eastAsia="宋体" w:cs="宋体"/>
                <w:b/>
                <w:bCs/>
                <w:color w:val="auto"/>
                <w:sz w:val="21"/>
                <w:szCs w:val="21"/>
                <w:highlight w:val="none"/>
              </w:rPr>
            </w:pPr>
            <w:r>
              <w:rPr>
                <w:rFonts w:hint="eastAsia" w:ascii="Times New Roman" w:hAnsi="Times New Roman" w:eastAsia="宋体" w:cs="宋体"/>
                <w:color w:val="auto"/>
                <w:sz w:val="21"/>
                <w:szCs w:val="21"/>
                <w:highlight w:val="none"/>
                <w:lang w:val="en-US" w:eastAsia="zh-CN"/>
              </w:rPr>
              <w:t>评标委员会根据评分细则，对各投标人的技术标进行书面审核和评论后，由各成员独立给分，打分时保留小数1位，每人一份评分表，并签名。在统计得分时，如果发现某一单项评分超过评分细则规定的分值范围，则该张评分表无效。投标人技术分的最终得分为评标委员会成员的有效评分的算术平均值。计算结果保留小数2位(第三位四舍五入)。</w:t>
            </w:r>
          </w:p>
        </w:tc>
      </w:tr>
      <w:tr w14:paraId="0AB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777FC27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1516" w:type="dxa"/>
            <w:noWrap/>
            <w:vAlign w:val="center"/>
          </w:tcPr>
          <w:p w14:paraId="5B49E52A">
            <w:pPr>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企业业绩</w:t>
            </w:r>
          </w:p>
        </w:tc>
        <w:tc>
          <w:tcPr>
            <w:tcW w:w="1635" w:type="dxa"/>
            <w:noWrap/>
            <w:vAlign w:val="center"/>
          </w:tcPr>
          <w:p w14:paraId="4D8D7608">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客观分</w:t>
            </w:r>
            <w:r>
              <w:rPr>
                <w:rFonts w:hint="eastAsia" w:ascii="宋体" w:hAnsi="宋体" w:eastAsia="宋体" w:cs="宋体"/>
                <w:bCs/>
                <w:color w:val="auto"/>
                <w:sz w:val="21"/>
                <w:szCs w:val="21"/>
                <w:highlight w:val="none"/>
                <w:lang w:eastAsia="zh-CN"/>
              </w:rPr>
              <w:t>）</w:t>
            </w:r>
          </w:p>
        </w:tc>
        <w:tc>
          <w:tcPr>
            <w:tcW w:w="5214" w:type="dxa"/>
            <w:noWrap/>
            <w:vAlign w:val="center"/>
          </w:tcPr>
          <w:p w14:paraId="1DFC6A4C">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日以来承接过单项合同价</w:t>
            </w:r>
            <w:r>
              <w:rPr>
                <w:rFonts w:hint="eastAsia" w:ascii="宋体" w:hAnsi="宋体" w:eastAsia="宋体" w:cs="宋体"/>
                <w:bCs/>
                <w:color w:val="auto"/>
                <w:sz w:val="21"/>
                <w:szCs w:val="21"/>
                <w:highlight w:val="none"/>
                <w:lang w:val="en-US" w:eastAsia="zh-CN"/>
              </w:rPr>
              <w:t>100</w:t>
            </w:r>
            <w:r>
              <w:rPr>
                <w:rFonts w:hint="eastAsia" w:ascii="宋体" w:hAnsi="宋体" w:eastAsia="宋体" w:cs="宋体"/>
                <w:bCs/>
                <w:color w:val="auto"/>
                <w:sz w:val="21"/>
                <w:szCs w:val="21"/>
                <w:highlight w:val="none"/>
              </w:rPr>
              <w:t>万元及以上</w:t>
            </w:r>
            <w:r>
              <w:rPr>
                <w:rFonts w:hint="eastAsia" w:ascii="宋体" w:hAnsi="宋体" w:eastAsia="宋体" w:cs="宋体"/>
                <w:b/>
                <w:color w:val="auto"/>
                <w:sz w:val="21"/>
                <w:szCs w:val="21"/>
                <w:highlight w:val="none"/>
                <w:lang w:val="en-US" w:eastAsia="zh-CN"/>
              </w:rPr>
              <w:t>飞灰搬迁或转运</w:t>
            </w:r>
            <w:r>
              <w:rPr>
                <w:rFonts w:hint="eastAsia" w:ascii="宋体" w:hAnsi="宋体" w:eastAsia="宋体" w:cs="宋体"/>
                <w:bCs/>
                <w:color w:val="auto"/>
                <w:sz w:val="21"/>
                <w:szCs w:val="21"/>
                <w:highlight w:val="none"/>
              </w:rPr>
              <w:t>项目，每个得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0669F794">
            <w:pP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提供中标通知书</w:t>
            </w:r>
            <w:r>
              <w:rPr>
                <w:rFonts w:hint="eastAsia" w:ascii="宋体" w:hAnsi="宋体" w:eastAsia="宋体" w:cs="宋体"/>
                <w:b/>
                <w:color w:val="auto"/>
                <w:sz w:val="21"/>
                <w:szCs w:val="21"/>
                <w:highlight w:val="none"/>
                <w:lang w:eastAsia="zh-CN"/>
              </w:rPr>
              <w:t>或</w:t>
            </w:r>
            <w:r>
              <w:rPr>
                <w:rFonts w:hint="eastAsia" w:ascii="宋体" w:hAnsi="宋体" w:eastAsia="宋体" w:cs="宋体"/>
                <w:b/>
                <w:color w:val="auto"/>
                <w:sz w:val="21"/>
                <w:szCs w:val="21"/>
                <w:highlight w:val="none"/>
              </w:rPr>
              <w:t>合同，否则不得分。</w:t>
            </w:r>
          </w:p>
        </w:tc>
      </w:tr>
      <w:tr w14:paraId="4423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2DB1D62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516" w:type="dxa"/>
            <w:shd w:val="clear" w:color="auto" w:fill="auto"/>
            <w:noWrap/>
            <w:vAlign w:val="center"/>
          </w:tcPr>
          <w:p w14:paraId="25943CDD">
            <w:pPr>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highlight w:val="none"/>
              </w:rPr>
              <w:t>企业综合实力</w:t>
            </w:r>
          </w:p>
        </w:tc>
        <w:tc>
          <w:tcPr>
            <w:tcW w:w="1635" w:type="dxa"/>
            <w:shd w:val="clear" w:color="auto" w:fill="auto"/>
            <w:noWrap/>
            <w:vAlign w:val="center"/>
          </w:tcPr>
          <w:p w14:paraId="73F8886A">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客观分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1739A691">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shd w:val="clear" w:color="auto" w:fill="FFFFFF"/>
              </w:rPr>
              <w:t>具有环保工程专业承包一级</w:t>
            </w:r>
            <w:r>
              <w:rPr>
                <w:rFonts w:hint="eastAsia" w:ascii="宋体" w:hAnsi="宋体" w:eastAsia="宋体" w:cs="宋体"/>
                <w:color w:val="auto"/>
                <w:sz w:val="21"/>
                <w:szCs w:val="21"/>
                <w:highlight w:val="none"/>
                <w:shd w:val="clear" w:color="auto" w:fill="FFFFFF"/>
                <w:lang w:val="en-US" w:eastAsia="zh-CN"/>
              </w:rPr>
              <w:t>资质</w:t>
            </w:r>
            <w:r>
              <w:rPr>
                <w:rFonts w:hint="eastAsia" w:ascii="宋体" w:hAnsi="宋体" w:eastAsia="宋体" w:cs="宋体"/>
                <w:color w:val="auto"/>
                <w:sz w:val="21"/>
                <w:szCs w:val="21"/>
                <w:highlight w:val="none"/>
                <w:shd w:val="clear" w:color="auto" w:fill="FFFFFF"/>
              </w:rPr>
              <w:t>及以上得</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分，最高得</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分。</w:t>
            </w:r>
          </w:p>
          <w:p w14:paraId="56005349">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（2）有</w:t>
            </w:r>
            <w:r>
              <w:rPr>
                <w:rFonts w:hint="eastAsia" w:ascii="宋体" w:hAnsi="宋体" w:eastAsia="宋体" w:cs="宋体"/>
                <w:bCs/>
                <w:color w:val="auto"/>
                <w:sz w:val="21"/>
                <w:szCs w:val="21"/>
                <w:highlight w:val="none"/>
                <w:lang w:val="en-US" w:eastAsia="zh-CN"/>
              </w:rPr>
              <w:t>具</w:t>
            </w:r>
            <w:r>
              <w:rPr>
                <w:rFonts w:hint="eastAsia" w:ascii="宋体" w:hAnsi="宋体" w:eastAsia="宋体" w:cs="宋体"/>
                <w:bCs/>
                <w:color w:val="auto"/>
                <w:sz w:val="21"/>
                <w:szCs w:val="21"/>
                <w:highlight w:val="none"/>
              </w:rPr>
              <w:t>有效期内的环境管理体系认证证书、职业健康管理体系认证证书、质量管理体系认证证书，且认证范围包含环保工程相关内容的每个得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65C12CB1">
            <w:pP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color w:val="auto"/>
                <w:sz w:val="21"/>
                <w:szCs w:val="21"/>
                <w:highlight w:val="none"/>
              </w:rPr>
              <w:t>提供有效证书复印件加盖公章。</w:t>
            </w:r>
          </w:p>
        </w:tc>
      </w:tr>
      <w:tr w14:paraId="349D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7E8C1E7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516" w:type="dxa"/>
            <w:shd w:val="clear" w:color="auto" w:fill="auto"/>
            <w:noWrap/>
            <w:vAlign w:val="center"/>
          </w:tcPr>
          <w:p w14:paraId="21786ACA">
            <w:pPr>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highlight w:val="none"/>
                <w:lang w:val="en-US" w:eastAsia="zh-CN"/>
              </w:rPr>
              <w:t>项目负责人</w:t>
            </w:r>
          </w:p>
        </w:tc>
        <w:tc>
          <w:tcPr>
            <w:tcW w:w="1635" w:type="dxa"/>
            <w:shd w:val="clear" w:color="auto" w:fill="auto"/>
            <w:noWrap/>
            <w:vAlign w:val="center"/>
          </w:tcPr>
          <w:p w14:paraId="0C911500">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客观分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5BA25D2F">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项目负责人具有环境工程相关专业中级工程师的得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分，具有环境工程相关专业高级工程师及以上职称的得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分，本项最高得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14:paraId="73DD77A5">
            <w:p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项目负责人具有注册环保工程师</w:t>
            </w:r>
            <w:r>
              <w:rPr>
                <w:rFonts w:hint="eastAsia" w:ascii="宋体" w:hAnsi="宋体" w:eastAsia="宋体" w:cs="宋体"/>
                <w:bCs/>
                <w:color w:val="auto"/>
                <w:sz w:val="21"/>
                <w:szCs w:val="21"/>
                <w:highlight w:val="none"/>
                <w:lang w:val="en-US" w:eastAsia="zh-CN"/>
              </w:rPr>
              <w:t>得3分，本项最高得3分。</w:t>
            </w:r>
          </w:p>
          <w:p w14:paraId="50BCA606">
            <w:pP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提供以上人员的相关证书复印件及投标人单位为其缴纳的</w:t>
            </w:r>
            <w:r>
              <w:rPr>
                <w:rFonts w:hint="eastAsia" w:ascii="宋体" w:hAnsi="宋体" w:cs="宋体"/>
                <w:b/>
                <w:color w:val="auto"/>
                <w:sz w:val="21"/>
                <w:szCs w:val="21"/>
                <w:highlight w:val="none"/>
                <w:lang w:val="en-US" w:eastAsia="zh-CN"/>
              </w:rPr>
              <w:t>2025年7月1日以来</w:t>
            </w:r>
            <w:r>
              <w:rPr>
                <w:rFonts w:hint="eastAsia" w:ascii="宋体" w:hAnsi="宋体" w:eastAsia="宋体" w:cs="宋体"/>
                <w:b/>
                <w:color w:val="auto"/>
                <w:sz w:val="21"/>
                <w:szCs w:val="21"/>
                <w:highlight w:val="none"/>
              </w:rPr>
              <w:t>任意一个月的社保证明加盖公章，一人多证不重复计分 ，按最高一项计分。</w:t>
            </w:r>
          </w:p>
        </w:tc>
      </w:tr>
      <w:tr w14:paraId="7B0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93" w:type="dxa"/>
            <w:noWrap/>
            <w:vAlign w:val="center"/>
          </w:tcPr>
          <w:p w14:paraId="308D70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516" w:type="dxa"/>
            <w:shd w:val="clear" w:color="auto" w:fill="auto"/>
            <w:noWrap/>
            <w:vAlign w:val="center"/>
          </w:tcPr>
          <w:p w14:paraId="55668B47">
            <w:pPr>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highlight w:val="none"/>
                <w:lang w:val="en-US" w:eastAsia="zh-CN"/>
              </w:rPr>
              <w:t>项目成员</w:t>
            </w:r>
          </w:p>
        </w:tc>
        <w:tc>
          <w:tcPr>
            <w:tcW w:w="1635" w:type="dxa"/>
            <w:shd w:val="clear" w:color="auto" w:fill="auto"/>
            <w:noWrap/>
            <w:vAlign w:val="center"/>
          </w:tcPr>
          <w:p w14:paraId="0235715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客观分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56B8A757">
            <w:pPr>
              <w:numPr>
                <w:ilvl w:val="0"/>
                <w:numId w:val="6"/>
              </w:numPr>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rPr>
              <w:t>项目组成员（除项目负责人外）具有环境工程相关专业中级工程师及以上</w:t>
            </w:r>
            <w:r>
              <w:rPr>
                <w:rFonts w:hint="eastAsia" w:ascii="宋体" w:hAnsi="宋体" w:eastAsia="宋体" w:cs="宋体"/>
                <w:b w:val="0"/>
                <w:bCs/>
                <w:color w:val="auto"/>
                <w:sz w:val="21"/>
                <w:szCs w:val="21"/>
                <w:highlight w:val="none"/>
                <w:lang w:val="en-US" w:eastAsia="zh-CN"/>
              </w:rPr>
              <w:t>每个得2分，最高得6分。</w:t>
            </w:r>
          </w:p>
          <w:p w14:paraId="06B6EA33">
            <w:pPr>
              <w:numPr>
                <w:ilvl w:val="0"/>
                <w:numId w:val="6"/>
              </w:numP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具有熔化焊接与热切割作业操作证的每个得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；具有B级及以上驾驶证的每个得2分，最高得2分，</w:t>
            </w:r>
            <w:r>
              <w:rPr>
                <w:rFonts w:hint="eastAsia" w:ascii="宋体" w:hAnsi="宋体" w:eastAsia="宋体" w:cs="宋体"/>
                <w:bCs/>
                <w:color w:val="auto"/>
                <w:sz w:val="21"/>
                <w:szCs w:val="21"/>
                <w:highlight w:val="none"/>
                <w:lang w:val="en-US" w:eastAsia="zh-CN"/>
              </w:rPr>
              <w:t>本项最高得4分</w:t>
            </w:r>
            <w:r>
              <w:rPr>
                <w:rFonts w:hint="eastAsia" w:ascii="宋体" w:hAnsi="宋体" w:eastAsia="宋体" w:cs="宋体"/>
                <w:bCs/>
                <w:color w:val="auto"/>
                <w:sz w:val="21"/>
                <w:szCs w:val="21"/>
                <w:highlight w:val="none"/>
                <w:lang w:eastAsia="zh-CN"/>
              </w:rPr>
              <w:t>。</w:t>
            </w:r>
          </w:p>
          <w:p w14:paraId="104CBE6D">
            <w:pP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color w:val="auto"/>
                <w:sz w:val="21"/>
                <w:szCs w:val="21"/>
                <w:highlight w:val="none"/>
              </w:rPr>
              <w:t>提供以上人员的相关证书复印件及投标人单位为其缴纳的</w:t>
            </w:r>
            <w:r>
              <w:rPr>
                <w:rFonts w:hint="eastAsia" w:ascii="宋体" w:hAnsi="宋体" w:cs="宋体"/>
                <w:b/>
                <w:color w:val="auto"/>
                <w:sz w:val="21"/>
                <w:szCs w:val="21"/>
                <w:highlight w:val="none"/>
                <w:lang w:val="en-US" w:eastAsia="zh-CN"/>
              </w:rPr>
              <w:t>2025年7月1日以来</w:t>
            </w:r>
            <w:r>
              <w:rPr>
                <w:rFonts w:hint="eastAsia" w:ascii="宋体" w:hAnsi="宋体" w:eastAsia="宋体" w:cs="宋体"/>
                <w:b/>
                <w:color w:val="auto"/>
                <w:sz w:val="21"/>
                <w:szCs w:val="21"/>
                <w:highlight w:val="none"/>
              </w:rPr>
              <w:t>任意一个月的社保证明加盖公章，一人多证不重复计分 ，按最高一项计分。</w:t>
            </w:r>
          </w:p>
        </w:tc>
      </w:tr>
      <w:tr w14:paraId="2EBF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6182CA38">
            <w:pPr>
              <w:pStyle w:val="66"/>
              <w:keepNext w:val="0"/>
              <w:keepLines w:val="0"/>
              <w:pageBreakBefore w:val="0"/>
              <w:widowControl/>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p>
        </w:tc>
        <w:tc>
          <w:tcPr>
            <w:tcW w:w="1516" w:type="dxa"/>
            <w:shd w:val="clear" w:color="auto" w:fill="auto"/>
            <w:noWrap/>
            <w:vAlign w:val="center"/>
          </w:tcPr>
          <w:p w14:paraId="70A8894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施工技术方案</w:t>
            </w:r>
          </w:p>
        </w:tc>
        <w:tc>
          <w:tcPr>
            <w:tcW w:w="1635" w:type="dxa"/>
            <w:shd w:val="clear" w:color="auto" w:fill="auto"/>
            <w:noWrap/>
            <w:vAlign w:val="center"/>
          </w:tcPr>
          <w:p w14:paraId="5CB502B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主</w:t>
            </w:r>
            <w:r>
              <w:rPr>
                <w:rFonts w:hint="eastAsia" w:ascii="宋体" w:hAnsi="宋体" w:eastAsia="宋体" w:cs="宋体"/>
                <w:bCs/>
                <w:color w:val="auto"/>
                <w:sz w:val="21"/>
                <w:szCs w:val="21"/>
                <w:highlight w:val="none"/>
                <w:lang w:val="en-US" w:eastAsia="zh-CN"/>
              </w:rPr>
              <w:t>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2401337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施工技术方案的总体合理性，先进施工工艺与设备的运用情况，施工难点分析及对策的科学性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环境保护措施的全面性与适配性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新技术应用的科学性、合理性及经济性</w:t>
            </w:r>
            <w:r>
              <w:rPr>
                <w:rFonts w:hint="eastAsia" w:ascii="宋体" w:hAnsi="宋体" w:eastAsia="宋体" w:cs="宋体"/>
                <w:bCs/>
                <w:color w:val="auto"/>
                <w:sz w:val="21"/>
                <w:szCs w:val="21"/>
                <w:highlight w:val="none"/>
                <w:lang w:val="en-US" w:eastAsia="zh-CN"/>
              </w:rPr>
              <w:t>等进行综合评分</w:t>
            </w:r>
            <w:r>
              <w:rPr>
                <w:rFonts w:hint="eastAsia" w:ascii="宋体" w:hAnsi="宋体" w:eastAsia="宋体" w:cs="宋体"/>
                <w:bCs/>
                <w:color w:val="auto"/>
                <w:sz w:val="21"/>
                <w:szCs w:val="21"/>
                <w:highlight w:val="none"/>
              </w:rPr>
              <w:t>。【优】得</w:t>
            </w:r>
            <w:r>
              <w:rPr>
                <w:rFonts w:hint="eastAsia" w:ascii="宋体" w:hAnsi="宋体" w:cs="宋体"/>
                <w:bCs/>
                <w:color w:val="auto"/>
                <w:sz w:val="21"/>
                <w:szCs w:val="21"/>
                <w:highlight w:val="none"/>
                <w:lang w:val="en-US" w:eastAsia="zh-CN"/>
              </w:rPr>
              <w:t>8（含）</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val="en-US" w:eastAsia="zh-CN"/>
              </w:rPr>
              <w:t>（含）</w:t>
            </w:r>
            <w:r>
              <w:rPr>
                <w:rFonts w:hint="eastAsia" w:ascii="宋体" w:hAnsi="宋体" w:eastAsia="宋体" w:cs="宋体"/>
                <w:bCs/>
                <w:color w:val="auto"/>
                <w:sz w:val="21"/>
                <w:szCs w:val="21"/>
                <w:highlight w:val="none"/>
              </w:rPr>
              <w:t>；【良】得</w:t>
            </w:r>
            <w:r>
              <w:rPr>
                <w:rFonts w:hint="eastAsia" w:ascii="宋体" w:hAnsi="宋体" w:cs="宋体"/>
                <w:bCs/>
                <w:color w:val="auto"/>
                <w:sz w:val="21"/>
                <w:szCs w:val="21"/>
                <w:highlight w:val="none"/>
                <w:lang w:val="en-US" w:eastAsia="zh-CN"/>
              </w:rPr>
              <w:t>4（含）</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分【差】得</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tc>
      </w:tr>
      <w:tr w14:paraId="503B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2E2BD7D1">
            <w:pPr>
              <w:pStyle w:val="66"/>
              <w:keepNext w:val="0"/>
              <w:keepLines w:val="0"/>
              <w:pageBreakBefore w:val="0"/>
              <w:widowControl/>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6</w:t>
            </w:r>
          </w:p>
        </w:tc>
        <w:tc>
          <w:tcPr>
            <w:tcW w:w="1516" w:type="dxa"/>
            <w:shd w:val="clear" w:color="auto" w:fill="auto"/>
            <w:noWrap/>
            <w:vAlign w:val="center"/>
          </w:tcPr>
          <w:p w14:paraId="629357C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关键部位</w:t>
            </w:r>
          </w:p>
          <w:p w14:paraId="1DA13BC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技术措施</w:t>
            </w:r>
          </w:p>
        </w:tc>
        <w:tc>
          <w:tcPr>
            <w:tcW w:w="1635" w:type="dxa"/>
            <w:shd w:val="clear" w:color="auto" w:fill="auto"/>
            <w:noWrap/>
            <w:vAlign w:val="center"/>
          </w:tcPr>
          <w:p w14:paraId="422C9F1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lang w:val="en-US" w:eastAsia="zh-CN"/>
              </w:rPr>
            </w:pPr>
            <w:r>
              <w:rPr>
                <w:rFonts w:hint="eastAsia" w:ascii="宋体" w:hAnsi="宋体" w:eastAsia="宋体" w:cs="宋体"/>
                <w:bCs/>
                <w:color w:val="auto"/>
                <w:sz w:val="21"/>
                <w:szCs w:val="21"/>
                <w:lang w:val="en-US" w:eastAsia="zh-CN"/>
              </w:rPr>
              <w:t>6分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主</w:t>
            </w:r>
            <w:r>
              <w:rPr>
                <w:rFonts w:hint="eastAsia" w:ascii="宋体" w:hAnsi="宋体" w:eastAsia="宋体" w:cs="宋体"/>
                <w:bCs/>
                <w:color w:val="auto"/>
                <w:sz w:val="21"/>
                <w:szCs w:val="21"/>
                <w:highlight w:val="none"/>
                <w:lang w:val="en-US" w:eastAsia="zh-CN"/>
              </w:rPr>
              <w:t>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40ABF06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关键部位（包括</w:t>
            </w:r>
            <w:r>
              <w:rPr>
                <w:rFonts w:hint="eastAsia" w:ascii="宋体" w:hAnsi="宋体" w:eastAsia="宋体" w:cs="宋体"/>
                <w:bCs/>
                <w:color w:val="auto"/>
                <w:sz w:val="21"/>
                <w:szCs w:val="21"/>
                <w:lang w:val="en-US" w:eastAsia="zh-CN"/>
              </w:rPr>
              <w:t>飞灰开挖措施、飞灰搬迁措施、飞灰填埋措施、临时覆盖</w:t>
            </w:r>
            <w:r>
              <w:rPr>
                <w:rFonts w:hint="eastAsia" w:ascii="宋体" w:hAnsi="宋体" w:eastAsia="宋体" w:cs="宋体"/>
                <w:bCs/>
                <w:color w:val="auto"/>
                <w:sz w:val="21"/>
                <w:szCs w:val="21"/>
              </w:rPr>
              <w:t>等）技术措施科学、合理等进行综合评分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【优】得</w:t>
            </w:r>
            <w:r>
              <w:rPr>
                <w:rFonts w:hint="eastAsia" w:ascii="宋体" w:hAnsi="宋体" w:cs="宋体"/>
                <w:bCs/>
                <w:color w:val="auto"/>
                <w:sz w:val="21"/>
                <w:szCs w:val="21"/>
                <w:lang w:val="en-US" w:eastAsia="zh-CN"/>
              </w:rPr>
              <w:t>5（含）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分</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rPr>
              <w:t>；【良】得</w:t>
            </w:r>
            <w:r>
              <w:rPr>
                <w:rFonts w:hint="eastAsia" w:ascii="宋体" w:hAnsi="宋体" w:cs="宋体"/>
                <w:bCs/>
                <w:color w:val="auto"/>
                <w:sz w:val="21"/>
                <w:szCs w:val="21"/>
                <w:lang w:val="en-US" w:eastAsia="zh-CN"/>
              </w:rPr>
              <w:t>3（含）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分【差】得</w:t>
            </w:r>
            <w:r>
              <w:rPr>
                <w:rFonts w:hint="eastAsia" w:ascii="宋体" w:hAnsi="宋体" w:cs="宋体"/>
                <w:bCs/>
                <w:color w:val="auto"/>
                <w:sz w:val="21"/>
                <w:szCs w:val="21"/>
                <w:lang w:val="en-US" w:eastAsia="zh-CN"/>
              </w:rPr>
              <w:t>0</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w:t>
            </w:r>
          </w:p>
        </w:tc>
      </w:tr>
      <w:tr w14:paraId="7035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79337333">
            <w:pPr>
              <w:pStyle w:val="66"/>
              <w:keepNext w:val="0"/>
              <w:keepLines w:val="0"/>
              <w:pageBreakBefore w:val="0"/>
              <w:widowControl/>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7</w:t>
            </w:r>
          </w:p>
        </w:tc>
        <w:tc>
          <w:tcPr>
            <w:tcW w:w="1516" w:type="dxa"/>
            <w:shd w:val="clear" w:color="auto" w:fill="auto"/>
            <w:noWrap/>
            <w:vAlign w:val="center"/>
          </w:tcPr>
          <w:p w14:paraId="44F2A6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安全文明</w:t>
            </w:r>
          </w:p>
          <w:p w14:paraId="1B5060C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施工</w:t>
            </w:r>
            <w:r>
              <w:rPr>
                <w:rFonts w:hint="eastAsia" w:ascii="宋体" w:hAnsi="宋体" w:eastAsia="宋体" w:cs="宋体"/>
                <w:bCs/>
                <w:color w:val="auto"/>
                <w:sz w:val="21"/>
                <w:szCs w:val="21"/>
                <w:lang w:val="en-US" w:eastAsia="zh-CN"/>
              </w:rPr>
              <w:t>方案</w:t>
            </w:r>
          </w:p>
        </w:tc>
        <w:tc>
          <w:tcPr>
            <w:tcW w:w="1635" w:type="dxa"/>
            <w:shd w:val="clear" w:color="auto" w:fill="auto"/>
            <w:noWrap/>
            <w:vAlign w:val="center"/>
          </w:tcPr>
          <w:p w14:paraId="6AF04B4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8分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主</w:t>
            </w:r>
            <w:r>
              <w:rPr>
                <w:rFonts w:hint="eastAsia" w:ascii="宋体" w:hAnsi="宋体" w:eastAsia="宋体" w:cs="宋体"/>
                <w:bCs/>
                <w:color w:val="auto"/>
                <w:sz w:val="21"/>
                <w:szCs w:val="21"/>
                <w:highlight w:val="none"/>
                <w:lang w:val="en-US" w:eastAsia="zh-CN"/>
              </w:rPr>
              <w:t>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1111423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安全生产保障体系否健全完善</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现场安全管理组织机构及人员配备</w:t>
            </w:r>
            <w:r>
              <w:rPr>
                <w:rFonts w:hint="eastAsia" w:ascii="宋体" w:hAnsi="宋体" w:eastAsia="宋体" w:cs="宋体"/>
                <w:bCs/>
                <w:color w:val="auto"/>
                <w:sz w:val="21"/>
                <w:szCs w:val="21"/>
                <w:lang w:eastAsia="zh-CN"/>
              </w:rPr>
              <w:t>的</w:t>
            </w:r>
            <w:r>
              <w:rPr>
                <w:rFonts w:hint="eastAsia" w:ascii="宋体" w:hAnsi="宋体" w:eastAsia="宋体" w:cs="宋体"/>
                <w:bCs/>
                <w:color w:val="auto"/>
                <w:sz w:val="21"/>
                <w:szCs w:val="21"/>
                <w:lang w:val="en-US" w:eastAsia="zh-CN"/>
              </w:rPr>
              <w:t>合规性</w:t>
            </w:r>
            <w:r>
              <w:rPr>
                <w:rFonts w:hint="eastAsia" w:ascii="宋体" w:hAnsi="宋体" w:eastAsia="宋体" w:cs="宋体"/>
                <w:bCs/>
                <w:color w:val="auto"/>
                <w:sz w:val="21"/>
                <w:szCs w:val="21"/>
                <w:lang w:eastAsia="zh-CN"/>
              </w:rPr>
              <w:t>，应急措施（包含：飞灰固化物</w:t>
            </w:r>
            <w:r>
              <w:rPr>
                <w:rFonts w:hint="eastAsia" w:ascii="宋体" w:hAnsi="宋体" w:eastAsia="宋体" w:cs="宋体"/>
                <w:bCs/>
                <w:color w:val="auto"/>
                <w:sz w:val="21"/>
                <w:szCs w:val="21"/>
                <w:lang w:val="en-US" w:eastAsia="zh-CN"/>
              </w:rPr>
              <w:t>转运</w:t>
            </w:r>
            <w:r>
              <w:rPr>
                <w:rFonts w:hint="eastAsia" w:ascii="宋体" w:hAnsi="宋体" w:eastAsia="宋体" w:cs="宋体"/>
                <w:bCs/>
                <w:color w:val="auto"/>
                <w:sz w:val="21"/>
                <w:szCs w:val="21"/>
                <w:lang w:eastAsia="zh-CN"/>
              </w:rPr>
              <w:t>意外事故应急预案、环境污染事故处理、安全应急处理措施）的</w:t>
            </w:r>
            <w:r>
              <w:rPr>
                <w:rFonts w:hint="eastAsia" w:ascii="宋体" w:hAnsi="宋体" w:eastAsia="宋体" w:cs="宋体"/>
                <w:bCs/>
                <w:color w:val="auto"/>
                <w:sz w:val="21"/>
                <w:szCs w:val="21"/>
                <w:lang w:val="en-US" w:eastAsia="zh-CN"/>
              </w:rPr>
              <w:t>合规、合理性</w:t>
            </w:r>
            <w:r>
              <w:rPr>
                <w:rFonts w:hint="eastAsia" w:ascii="宋体" w:hAnsi="宋体" w:eastAsia="宋体" w:cs="宋体"/>
                <w:bCs/>
                <w:color w:val="auto"/>
                <w:sz w:val="21"/>
                <w:szCs w:val="21"/>
                <w:lang w:eastAsia="zh-CN"/>
              </w:rPr>
              <w:t>，施工现场</w:t>
            </w:r>
            <w:r>
              <w:rPr>
                <w:rFonts w:hint="eastAsia" w:ascii="宋体" w:hAnsi="宋体" w:eastAsia="宋体" w:cs="宋体"/>
                <w:bCs/>
                <w:color w:val="auto"/>
                <w:sz w:val="21"/>
                <w:szCs w:val="21"/>
                <w:lang w:val="en-US" w:eastAsia="zh-CN"/>
              </w:rPr>
              <w:t>粉尘</w:t>
            </w:r>
            <w:r>
              <w:rPr>
                <w:rFonts w:hint="eastAsia" w:ascii="宋体" w:hAnsi="宋体" w:eastAsia="宋体" w:cs="宋体"/>
                <w:bCs/>
                <w:color w:val="auto"/>
                <w:sz w:val="21"/>
                <w:szCs w:val="21"/>
                <w:lang w:eastAsia="zh-CN"/>
              </w:rPr>
              <w:t>治理、</w:t>
            </w:r>
            <w:r>
              <w:rPr>
                <w:rFonts w:hint="eastAsia" w:ascii="宋体" w:hAnsi="宋体" w:eastAsia="宋体" w:cs="宋体"/>
                <w:bCs/>
                <w:color w:val="auto"/>
                <w:sz w:val="21"/>
                <w:szCs w:val="21"/>
                <w:lang w:val="en-US" w:eastAsia="zh-CN"/>
              </w:rPr>
              <w:t>机械设备配置等方案的</w:t>
            </w:r>
            <w:r>
              <w:rPr>
                <w:rFonts w:hint="eastAsia" w:ascii="宋体" w:hAnsi="宋体" w:eastAsia="宋体" w:cs="宋体"/>
                <w:bCs/>
                <w:color w:val="auto"/>
                <w:sz w:val="21"/>
                <w:szCs w:val="21"/>
                <w:lang w:eastAsia="zh-CN"/>
              </w:rPr>
              <w:t>合规性、科学性</w:t>
            </w:r>
            <w:r>
              <w:rPr>
                <w:rFonts w:hint="eastAsia" w:ascii="宋体" w:hAnsi="宋体" w:eastAsia="宋体" w:cs="宋体"/>
                <w:bCs/>
                <w:color w:val="auto"/>
                <w:sz w:val="21"/>
                <w:szCs w:val="21"/>
                <w:lang w:val="en-US" w:eastAsia="zh-CN"/>
              </w:rPr>
              <w:t>等进行综合评分</w:t>
            </w:r>
            <w:r>
              <w:rPr>
                <w:rFonts w:hint="eastAsia" w:ascii="宋体" w:hAnsi="宋体" w:eastAsia="宋体" w:cs="宋体"/>
                <w:bCs/>
                <w:color w:val="auto"/>
                <w:sz w:val="21"/>
                <w:szCs w:val="21"/>
              </w:rPr>
              <w:t>。【优】得</w:t>
            </w:r>
            <w:r>
              <w:rPr>
                <w:rFonts w:hint="eastAsia" w:ascii="宋体" w:hAnsi="宋体" w:cs="宋体"/>
                <w:bCs/>
                <w:color w:val="auto"/>
                <w:sz w:val="21"/>
                <w:szCs w:val="21"/>
                <w:lang w:val="en-US" w:eastAsia="zh-CN"/>
              </w:rPr>
              <w:t>6（含）</w:t>
            </w: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8</w:t>
            </w:r>
            <w:r>
              <w:rPr>
                <w:rFonts w:hint="eastAsia" w:ascii="宋体" w:hAnsi="宋体" w:eastAsia="宋体" w:cs="宋体"/>
                <w:bCs/>
                <w:color w:val="auto"/>
                <w:sz w:val="21"/>
                <w:szCs w:val="21"/>
              </w:rPr>
              <w:t>分</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rPr>
              <w:t>；【良】得</w:t>
            </w:r>
            <w:r>
              <w:rPr>
                <w:rFonts w:hint="eastAsia" w:ascii="宋体" w:hAnsi="宋体" w:cs="宋体"/>
                <w:bCs/>
                <w:color w:val="auto"/>
                <w:sz w:val="21"/>
                <w:szCs w:val="21"/>
                <w:lang w:val="en-US" w:eastAsia="zh-CN"/>
              </w:rPr>
              <w:t>3（含）</w:t>
            </w: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分【差】得</w:t>
            </w:r>
            <w:r>
              <w:rPr>
                <w:rFonts w:hint="eastAsia" w:ascii="宋体" w:hAnsi="宋体" w:cs="宋体"/>
                <w:bCs/>
                <w:color w:val="auto"/>
                <w:sz w:val="21"/>
                <w:szCs w:val="21"/>
                <w:lang w:val="en-US" w:eastAsia="zh-CN"/>
              </w:rPr>
              <w:t>0</w:t>
            </w: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w:t>
            </w:r>
          </w:p>
        </w:tc>
      </w:tr>
      <w:tr w14:paraId="25FA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44878FDD">
            <w:pPr>
              <w:pStyle w:val="66"/>
              <w:keepNext w:val="0"/>
              <w:keepLines w:val="0"/>
              <w:pageBreakBefore w:val="0"/>
              <w:widowControl/>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8</w:t>
            </w:r>
          </w:p>
        </w:tc>
        <w:tc>
          <w:tcPr>
            <w:tcW w:w="1516" w:type="dxa"/>
            <w:shd w:val="clear" w:color="auto" w:fill="auto"/>
            <w:noWrap/>
            <w:vAlign w:val="center"/>
          </w:tcPr>
          <w:p w14:paraId="44600CD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项目</w:t>
            </w:r>
            <w:r>
              <w:rPr>
                <w:rFonts w:hint="eastAsia" w:ascii="宋体" w:hAnsi="宋体" w:eastAsia="宋体" w:cs="宋体"/>
                <w:bCs/>
                <w:color w:val="auto"/>
                <w:sz w:val="21"/>
                <w:szCs w:val="21"/>
              </w:rPr>
              <w:t>质量</w:t>
            </w:r>
          </w:p>
          <w:p w14:paraId="7413FA4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保证措施</w:t>
            </w:r>
          </w:p>
        </w:tc>
        <w:tc>
          <w:tcPr>
            <w:tcW w:w="1635" w:type="dxa"/>
            <w:shd w:val="clear" w:color="auto" w:fill="auto"/>
            <w:noWrap/>
            <w:vAlign w:val="center"/>
          </w:tcPr>
          <w:p w14:paraId="4F666C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4分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主</w:t>
            </w:r>
            <w:r>
              <w:rPr>
                <w:rFonts w:hint="eastAsia" w:ascii="宋体" w:hAnsi="宋体" w:eastAsia="宋体" w:cs="宋体"/>
                <w:bCs/>
                <w:color w:val="auto"/>
                <w:sz w:val="21"/>
                <w:szCs w:val="21"/>
                <w:highlight w:val="none"/>
                <w:lang w:val="en-US" w:eastAsia="zh-CN"/>
              </w:rPr>
              <w:t>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78A87B5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项目</w:t>
            </w:r>
            <w:r>
              <w:rPr>
                <w:rFonts w:hint="eastAsia" w:ascii="宋体" w:hAnsi="宋体" w:eastAsia="宋体" w:cs="宋体"/>
                <w:bCs/>
                <w:color w:val="auto"/>
                <w:sz w:val="21"/>
                <w:szCs w:val="21"/>
              </w:rPr>
              <w:t>质量保证措施包括组织机构形式是否合理，质量监管系统、联系协调系统等是否完善，是否有具体、先进、可行的保证措施，主体结构质量及关键部位的质量保证措施是否完整全面且科学合理进行综合评分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【优】得</w:t>
            </w:r>
            <w:r>
              <w:rPr>
                <w:rFonts w:hint="eastAsia" w:ascii="宋体" w:hAnsi="宋体" w:cs="宋体"/>
                <w:bCs/>
                <w:color w:val="auto"/>
                <w:sz w:val="21"/>
                <w:szCs w:val="21"/>
                <w:lang w:val="en-US" w:eastAsia="zh-CN"/>
              </w:rPr>
              <w:t>3（含）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分</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rPr>
              <w:t>；【良】得</w:t>
            </w:r>
            <w:r>
              <w:rPr>
                <w:rFonts w:hint="eastAsia" w:ascii="宋体" w:hAnsi="宋体" w:eastAsia="宋体" w:cs="宋体"/>
                <w:bCs/>
                <w:color w:val="auto"/>
                <w:sz w:val="21"/>
                <w:szCs w:val="21"/>
                <w:lang w:val="en-US" w:eastAsia="zh-CN"/>
              </w:rPr>
              <w:t>2</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分【差】</w:t>
            </w:r>
            <w:r>
              <w:rPr>
                <w:rFonts w:hint="eastAsia" w:ascii="宋体" w:hAnsi="宋体" w:cs="宋体"/>
                <w:bCs/>
                <w:color w:val="auto"/>
                <w:sz w:val="21"/>
                <w:szCs w:val="21"/>
                <w:lang w:val="en-US" w:eastAsia="zh-CN"/>
              </w:rPr>
              <w:t>0-2分</w:t>
            </w:r>
            <w:r>
              <w:rPr>
                <w:rFonts w:hint="eastAsia" w:ascii="宋体" w:hAnsi="宋体" w:eastAsia="宋体" w:cs="宋体"/>
                <w:bCs/>
                <w:color w:val="auto"/>
                <w:sz w:val="21"/>
                <w:szCs w:val="21"/>
              </w:rPr>
              <w:t>。</w:t>
            </w:r>
          </w:p>
        </w:tc>
      </w:tr>
      <w:tr w14:paraId="22E6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6A6A1FCA">
            <w:pPr>
              <w:pStyle w:val="66"/>
              <w:keepNext w:val="0"/>
              <w:keepLines w:val="0"/>
              <w:pageBreakBefore w:val="0"/>
              <w:widowControl/>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9</w:t>
            </w:r>
          </w:p>
        </w:tc>
        <w:tc>
          <w:tcPr>
            <w:tcW w:w="1516" w:type="dxa"/>
            <w:shd w:val="clear" w:color="auto" w:fill="auto"/>
            <w:noWrap/>
            <w:vAlign w:val="center"/>
          </w:tcPr>
          <w:p w14:paraId="2DC7F1D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主要</w:t>
            </w:r>
            <w:r>
              <w:rPr>
                <w:rFonts w:hint="eastAsia" w:ascii="宋体" w:hAnsi="宋体" w:eastAsia="宋体" w:cs="宋体"/>
                <w:bCs/>
                <w:color w:val="auto"/>
                <w:sz w:val="21"/>
                <w:szCs w:val="21"/>
                <w:lang w:val="en-US" w:eastAsia="zh-CN"/>
              </w:rPr>
              <w:t>材料</w:t>
            </w:r>
            <w:r>
              <w:rPr>
                <w:rFonts w:hint="eastAsia" w:ascii="宋体" w:hAnsi="宋体" w:eastAsia="宋体" w:cs="宋体"/>
                <w:bCs/>
                <w:color w:val="auto"/>
                <w:sz w:val="21"/>
                <w:szCs w:val="21"/>
              </w:rPr>
              <w:t>情况</w:t>
            </w:r>
          </w:p>
        </w:tc>
        <w:tc>
          <w:tcPr>
            <w:tcW w:w="1635" w:type="dxa"/>
            <w:shd w:val="clear" w:color="auto" w:fill="auto"/>
            <w:noWrap/>
            <w:vAlign w:val="center"/>
          </w:tcPr>
          <w:p w14:paraId="757D946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4分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主</w:t>
            </w:r>
            <w:r>
              <w:rPr>
                <w:rFonts w:hint="eastAsia" w:ascii="宋体" w:hAnsi="宋体" w:eastAsia="宋体" w:cs="宋体"/>
                <w:bCs/>
                <w:color w:val="auto"/>
                <w:sz w:val="21"/>
                <w:szCs w:val="21"/>
                <w:highlight w:val="none"/>
                <w:lang w:val="en-US" w:eastAsia="zh-CN"/>
              </w:rPr>
              <w:t>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75FD086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投入的主要</w:t>
            </w:r>
            <w:r>
              <w:rPr>
                <w:rFonts w:hint="eastAsia" w:ascii="宋体" w:hAnsi="宋体" w:eastAsia="宋体" w:cs="宋体"/>
                <w:bCs/>
                <w:color w:val="auto"/>
                <w:sz w:val="21"/>
                <w:szCs w:val="21"/>
                <w:lang w:val="en-US" w:eastAsia="zh-CN"/>
              </w:rPr>
              <w:t>材料</w:t>
            </w:r>
            <w:r>
              <w:rPr>
                <w:rFonts w:hint="eastAsia" w:ascii="宋体" w:hAnsi="宋体" w:eastAsia="宋体" w:cs="宋体"/>
                <w:bCs/>
                <w:color w:val="auto"/>
                <w:sz w:val="21"/>
                <w:szCs w:val="21"/>
              </w:rPr>
              <w:t>（包括但不限于土工膜）品质、性能指标、品牌等情况进行综合</w:t>
            </w:r>
            <w:r>
              <w:rPr>
                <w:rFonts w:hint="eastAsia" w:ascii="宋体" w:hAnsi="宋体" w:eastAsia="宋体" w:cs="宋体"/>
                <w:bCs/>
                <w:color w:val="auto"/>
                <w:sz w:val="21"/>
                <w:szCs w:val="21"/>
                <w:lang w:val="en-US" w:eastAsia="zh-CN"/>
              </w:rPr>
              <w:t>评分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【优】得</w:t>
            </w:r>
            <w:r>
              <w:rPr>
                <w:rFonts w:hint="eastAsia" w:ascii="宋体" w:hAnsi="宋体" w:cs="宋体"/>
                <w:bCs/>
                <w:color w:val="auto"/>
                <w:sz w:val="21"/>
                <w:szCs w:val="21"/>
                <w:lang w:val="en-US" w:eastAsia="zh-CN"/>
              </w:rPr>
              <w:t>3（含）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分</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rPr>
              <w:t>；【良】得</w:t>
            </w:r>
            <w:r>
              <w:rPr>
                <w:rFonts w:hint="eastAsia" w:ascii="宋体" w:hAnsi="宋体" w:eastAsia="宋体" w:cs="宋体"/>
                <w:bCs/>
                <w:color w:val="auto"/>
                <w:sz w:val="21"/>
                <w:szCs w:val="21"/>
                <w:lang w:val="en-US" w:eastAsia="zh-CN"/>
              </w:rPr>
              <w:t>2</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分【差】</w:t>
            </w:r>
            <w:r>
              <w:rPr>
                <w:rFonts w:hint="eastAsia" w:ascii="宋体" w:hAnsi="宋体" w:cs="宋体"/>
                <w:bCs/>
                <w:color w:val="auto"/>
                <w:sz w:val="21"/>
                <w:szCs w:val="21"/>
                <w:lang w:val="en-US" w:eastAsia="zh-CN"/>
              </w:rPr>
              <w:t>0-2分</w:t>
            </w:r>
            <w:r>
              <w:rPr>
                <w:rFonts w:hint="eastAsia" w:ascii="宋体" w:hAnsi="宋体" w:eastAsia="宋体" w:cs="宋体"/>
                <w:bCs/>
                <w:color w:val="auto"/>
                <w:sz w:val="21"/>
                <w:szCs w:val="21"/>
              </w:rPr>
              <w:t>。</w:t>
            </w:r>
          </w:p>
        </w:tc>
      </w:tr>
      <w:tr w14:paraId="71A7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695F0223">
            <w:pPr>
              <w:pStyle w:val="66"/>
              <w:keepNext w:val="0"/>
              <w:keepLines w:val="0"/>
              <w:pageBreakBefore w:val="0"/>
              <w:widowControl/>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10</w:t>
            </w:r>
          </w:p>
        </w:tc>
        <w:tc>
          <w:tcPr>
            <w:tcW w:w="1516" w:type="dxa"/>
            <w:shd w:val="clear" w:color="auto" w:fill="auto"/>
            <w:noWrap/>
            <w:vAlign w:val="center"/>
          </w:tcPr>
          <w:p w14:paraId="0DE0C9A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施工机械设备选用及投入计划</w:t>
            </w:r>
          </w:p>
        </w:tc>
        <w:tc>
          <w:tcPr>
            <w:tcW w:w="1635" w:type="dxa"/>
            <w:shd w:val="clear" w:color="auto" w:fill="auto"/>
            <w:noWrap/>
            <w:vAlign w:val="center"/>
          </w:tcPr>
          <w:p w14:paraId="795977B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4分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主</w:t>
            </w:r>
            <w:r>
              <w:rPr>
                <w:rFonts w:hint="eastAsia" w:ascii="宋体" w:hAnsi="宋体" w:eastAsia="宋体" w:cs="宋体"/>
                <w:bCs/>
                <w:color w:val="auto"/>
                <w:sz w:val="21"/>
                <w:szCs w:val="21"/>
                <w:highlight w:val="none"/>
                <w:lang w:val="en-US" w:eastAsia="zh-CN"/>
              </w:rPr>
              <w:t>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6F113EE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rPr>
              <w:t>施工机械设备配置的合理性、先进性，投入的计划与进度计划的吻合度等是否满足项目所需情况进行综合评分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【优】得</w:t>
            </w:r>
            <w:r>
              <w:rPr>
                <w:rFonts w:hint="eastAsia" w:ascii="宋体" w:hAnsi="宋体" w:cs="宋体"/>
                <w:bCs/>
                <w:color w:val="auto"/>
                <w:sz w:val="21"/>
                <w:szCs w:val="21"/>
                <w:lang w:val="en-US" w:eastAsia="zh-CN"/>
              </w:rPr>
              <w:t>3（含）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分</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rPr>
              <w:t>；【良】得</w:t>
            </w:r>
            <w:r>
              <w:rPr>
                <w:rFonts w:hint="eastAsia" w:ascii="宋体" w:hAnsi="宋体" w:eastAsia="宋体" w:cs="宋体"/>
                <w:bCs/>
                <w:color w:val="auto"/>
                <w:sz w:val="21"/>
                <w:szCs w:val="21"/>
                <w:lang w:val="en-US" w:eastAsia="zh-CN"/>
              </w:rPr>
              <w:t>2</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分【差】</w:t>
            </w:r>
            <w:r>
              <w:rPr>
                <w:rFonts w:hint="eastAsia" w:ascii="宋体" w:hAnsi="宋体" w:cs="宋体"/>
                <w:bCs/>
                <w:color w:val="auto"/>
                <w:sz w:val="21"/>
                <w:szCs w:val="21"/>
                <w:lang w:val="en-US" w:eastAsia="zh-CN"/>
              </w:rPr>
              <w:t>0-2分</w:t>
            </w:r>
            <w:r>
              <w:rPr>
                <w:rFonts w:hint="eastAsia" w:ascii="宋体" w:hAnsi="宋体" w:eastAsia="宋体" w:cs="宋体"/>
                <w:bCs/>
                <w:color w:val="auto"/>
                <w:sz w:val="21"/>
                <w:szCs w:val="21"/>
              </w:rPr>
              <w:t>。</w:t>
            </w:r>
          </w:p>
        </w:tc>
      </w:tr>
      <w:tr w14:paraId="406F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93" w:type="dxa"/>
            <w:noWrap/>
            <w:vAlign w:val="center"/>
          </w:tcPr>
          <w:p w14:paraId="742FEF5B">
            <w:pPr>
              <w:pStyle w:val="66"/>
              <w:keepNext w:val="0"/>
              <w:keepLines w:val="0"/>
              <w:pageBreakBefore w:val="0"/>
              <w:widowControl/>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11</w:t>
            </w:r>
          </w:p>
        </w:tc>
        <w:tc>
          <w:tcPr>
            <w:tcW w:w="1516" w:type="dxa"/>
            <w:shd w:val="clear" w:color="auto" w:fill="auto"/>
            <w:noWrap/>
            <w:vAlign w:val="center"/>
          </w:tcPr>
          <w:p w14:paraId="61DCD18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施工工期保证</w:t>
            </w:r>
          </w:p>
          <w:p w14:paraId="5D2D8BE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rPr>
            </w:pPr>
            <w:r>
              <w:rPr>
                <w:rFonts w:hint="eastAsia" w:ascii="宋体" w:hAnsi="宋体" w:eastAsia="宋体" w:cs="宋体"/>
                <w:bCs/>
                <w:color w:val="auto"/>
                <w:sz w:val="21"/>
                <w:szCs w:val="21"/>
              </w:rPr>
              <w:t>措施及网络图</w:t>
            </w:r>
          </w:p>
        </w:tc>
        <w:tc>
          <w:tcPr>
            <w:tcW w:w="1635" w:type="dxa"/>
            <w:shd w:val="clear" w:color="auto" w:fill="auto"/>
            <w:noWrap/>
            <w:vAlign w:val="center"/>
          </w:tcPr>
          <w:p w14:paraId="3352177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Cs/>
                <w:sz w:val="21"/>
                <w:szCs w:val="21"/>
                <w:lang w:val="en-US" w:eastAsia="zh-CN"/>
              </w:rPr>
            </w:pPr>
            <w:r>
              <w:rPr>
                <w:rFonts w:hint="eastAsia" w:ascii="宋体" w:hAnsi="宋体" w:eastAsia="宋体" w:cs="宋体"/>
                <w:bCs/>
                <w:color w:val="auto"/>
                <w:sz w:val="21"/>
                <w:szCs w:val="21"/>
                <w:lang w:val="en-US" w:eastAsia="zh-CN"/>
              </w:rPr>
              <w:t>4分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主</w:t>
            </w:r>
            <w:r>
              <w:rPr>
                <w:rFonts w:hint="eastAsia" w:ascii="宋体" w:hAnsi="宋体" w:eastAsia="宋体" w:cs="宋体"/>
                <w:bCs/>
                <w:color w:val="auto"/>
                <w:sz w:val="21"/>
                <w:szCs w:val="21"/>
                <w:highlight w:val="none"/>
                <w:lang w:val="en-US" w:eastAsia="zh-CN"/>
              </w:rPr>
              <w:t>观分</w:t>
            </w:r>
            <w:r>
              <w:rPr>
                <w:rFonts w:hint="eastAsia" w:ascii="宋体" w:hAnsi="宋体" w:eastAsia="宋体" w:cs="宋体"/>
                <w:bCs/>
                <w:color w:val="auto"/>
                <w:sz w:val="21"/>
                <w:szCs w:val="21"/>
                <w:highlight w:val="none"/>
                <w:lang w:eastAsia="zh-CN"/>
              </w:rPr>
              <w:t>）</w:t>
            </w:r>
          </w:p>
        </w:tc>
        <w:tc>
          <w:tcPr>
            <w:tcW w:w="5214" w:type="dxa"/>
            <w:shd w:val="clear" w:color="auto" w:fill="auto"/>
            <w:noWrap/>
            <w:vAlign w:val="center"/>
          </w:tcPr>
          <w:p w14:paraId="51D82A6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Cs/>
                <w:sz w:val="21"/>
                <w:szCs w:val="21"/>
              </w:rPr>
            </w:pPr>
            <w:r>
              <w:rPr>
                <w:rFonts w:hint="eastAsia" w:ascii="宋体" w:hAnsi="宋体" w:eastAsia="宋体" w:cs="宋体"/>
                <w:bCs/>
                <w:color w:val="auto"/>
                <w:sz w:val="21"/>
                <w:szCs w:val="21"/>
              </w:rPr>
              <w:t>施工工期保证措施包括关键</w:t>
            </w:r>
            <w:r>
              <w:rPr>
                <w:rFonts w:hint="eastAsia" w:ascii="宋体" w:hAnsi="宋体" w:eastAsia="宋体" w:cs="宋体"/>
                <w:bCs/>
                <w:color w:val="auto"/>
                <w:sz w:val="21"/>
                <w:szCs w:val="21"/>
                <w:lang w:val="en-US" w:eastAsia="zh-CN"/>
              </w:rPr>
              <w:t>项目节点</w:t>
            </w:r>
            <w:r>
              <w:rPr>
                <w:rFonts w:hint="eastAsia" w:ascii="宋体" w:hAnsi="宋体" w:eastAsia="宋体" w:cs="宋体"/>
                <w:bCs/>
                <w:color w:val="auto"/>
                <w:sz w:val="21"/>
                <w:szCs w:val="21"/>
              </w:rPr>
              <w:t>是否清晰准备、完整，计划编制是否合理可行、满足招标人要求，工期保证措施是否合理且有针对性，有无具体的违约责任进行综合评分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【优】得</w:t>
            </w:r>
            <w:r>
              <w:rPr>
                <w:rFonts w:hint="eastAsia" w:ascii="宋体" w:hAnsi="宋体" w:cs="宋体"/>
                <w:bCs/>
                <w:color w:val="auto"/>
                <w:sz w:val="21"/>
                <w:szCs w:val="21"/>
                <w:lang w:val="en-US" w:eastAsia="zh-CN"/>
              </w:rPr>
              <w:t>3（含）</w:t>
            </w:r>
            <w:bookmarkStart w:id="88" w:name="_GoBack"/>
            <w:bookmarkEnd w:id="88"/>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分</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rPr>
              <w:t>；【良】得</w:t>
            </w:r>
            <w:r>
              <w:rPr>
                <w:rFonts w:hint="eastAsia" w:ascii="宋体" w:hAnsi="宋体" w:eastAsia="宋体" w:cs="宋体"/>
                <w:bCs/>
                <w:color w:val="auto"/>
                <w:sz w:val="21"/>
                <w:szCs w:val="21"/>
                <w:lang w:val="en-US" w:eastAsia="zh-CN"/>
              </w:rPr>
              <w:t>2</w:t>
            </w:r>
            <w:r>
              <w:rPr>
                <w:rFonts w:hint="eastAsia" w:ascii="宋体" w:hAnsi="宋体" w:cs="宋体"/>
                <w:bCs/>
                <w:color w:val="auto"/>
                <w:sz w:val="21"/>
                <w:szCs w:val="21"/>
                <w:lang w:val="en-US" w:eastAsia="zh-CN"/>
              </w:rPr>
              <w:t>（含）</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分【差】</w:t>
            </w:r>
            <w:r>
              <w:rPr>
                <w:rFonts w:hint="eastAsia" w:ascii="宋体" w:hAnsi="宋体" w:cs="宋体"/>
                <w:bCs/>
                <w:color w:val="auto"/>
                <w:sz w:val="21"/>
                <w:szCs w:val="21"/>
                <w:lang w:val="en-US" w:eastAsia="zh-CN"/>
              </w:rPr>
              <w:t>0-2分</w:t>
            </w:r>
            <w:r>
              <w:rPr>
                <w:rFonts w:hint="eastAsia" w:ascii="宋体" w:hAnsi="宋体" w:eastAsia="宋体" w:cs="宋体"/>
                <w:bCs/>
                <w:color w:val="auto"/>
                <w:sz w:val="21"/>
                <w:szCs w:val="21"/>
              </w:rPr>
              <w:t>。</w:t>
            </w:r>
          </w:p>
        </w:tc>
      </w:tr>
      <w:tr w14:paraId="6B34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693" w:type="dxa"/>
            <w:noWrap/>
            <w:vAlign w:val="center"/>
          </w:tcPr>
          <w:p w14:paraId="4C93103F">
            <w:pPr>
              <w:pStyle w:val="66"/>
              <w:keepNext w:val="0"/>
              <w:keepLines w:val="0"/>
              <w:pageBreakBefore w:val="0"/>
              <w:widowControl/>
              <w:kinsoku/>
              <w:wordWrap/>
              <w:overflowPunct/>
              <w:topLinePunct w:val="0"/>
              <w:autoSpaceDE/>
              <w:bidi w:val="0"/>
              <w:spacing w:line="240" w:lineRule="auto"/>
              <w:jc w:val="center"/>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二</w:t>
            </w:r>
          </w:p>
        </w:tc>
        <w:tc>
          <w:tcPr>
            <w:tcW w:w="1516" w:type="dxa"/>
            <w:noWrap/>
            <w:vAlign w:val="center"/>
          </w:tcPr>
          <w:p w14:paraId="1BB2210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bCs/>
                <w:color w:val="auto"/>
                <w:kern w:val="2"/>
                <w:sz w:val="21"/>
                <w:szCs w:val="21"/>
                <w:highlight w:val="none"/>
                <w:vertAlign w:val="baseline"/>
                <w:lang w:val="en-US" w:eastAsia="zh-CN" w:bidi="ar"/>
              </w:rPr>
              <w:t>报价分</w:t>
            </w:r>
          </w:p>
        </w:tc>
        <w:tc>
          <w:tcPr>
            <w:tcW w:w="1635" w:type="dxa"/>
            <w:noWrap/>
            <w:vAlign w:val="center"/>
          </w:tcPr>
          <w:p w14:paraId="1C5DB03E">
            <w:pPr>
              <w:keepNext w:val="0"/>
              <w:keepLines w:val="0"/>
              <w:pageBreakBefore w:val="0"/>
              <w:kinsoku/>
              <w:wordWrap/>
              <w:overflowPunct/>
              <w:topLinePunct w:val="0"/>
              <w:autoSpaceDE/>
              <w:bidi w:val="0"/>
              <w:spacing w:line="240" w:lineRule="auto"/>
              <w:jc w:val="center"/>
              <w:textAlignment w:val="auto"/>
              <w:rPr>
                <w:rFonts w:hint="default" w:ascii="Times New Roman" w:hAnsi="Times New Roman" w:eastAsia="宋体" w:cs="宋体"/>
                <w:color w:val="auto"/>
                <w:sz w:val="21"/>
                <w:szCs w:val="21"/>
                <w:highlight w:val="none"/>
                <w:lang w:val="en-US"/>
              </w:rPr>
            </w:pPr>
            <w:r>
              <w:rPr>
                <w:rFonts w:hint="eastAsia" w:ascii="Times New Roman" w:hAnsi="Times New Roman" w:eastAsia="宋体" w:cs="宋体"/>
                <w:color w:val="auto"/>
                <w:sz w:val="21"/>
                <w:szCs w:val="21"/>
                <w:highlight w:val="none"/>
                <w:lang w:val="en-US" w:eastAsia="zh-CN"/>
              </w:rPr>
              <w:t>30</w:t>
            </w:r>
          </w:p>
        </w:tc>
        <w:tc>
          <w:tcPr>
            <w:tcW w:w="5214" w:type="dxa"/>
            <w:noWrap/>
            <w:vAlign w:val="center"/>
          </w:tcPr>
          <w:p w14:paraId="79414E4A">
            <w:pPr>
              <w:keepNext w:val="0"/>
              <w:keepLines w:val="0"/>
              <w:pageBreakBefore w:val="0"/>
              <w:kinsoku/>
              <w:wordWrap/>
              <w:overflowPunct/>
              <w:topLinePunct w:val="0"/>
              <w:autoSpaceDE/>
              <w:bidi w:val="0"/>
              <w:spacing w:line="240" w:lineRule="auto"/>
              <w:jc w:val="left"/>
              <w:textAlignment w:val="auto"/>
              <w:rPr>
                <w:rFonts w:hint="eastAsia" w:ascii="Times New Roman" w:hAnsi="Times New Roman" w:eastAsia="宋体" w:cs="宋体"/>
                <w:b/>
                <w:bCs/>
                <w:color w:val="auto"/>
                <w:sz w:val="21"/>
                <w:highlight w:val="none"/>
                <w:lang w:eastAsia="zh-CN"/>
              </w:rPr>
            </w:pPr>
            <w:r>
              <w:rPr>
                <w:rFonts w:hint="eastAsia" w:ascii="Times New Roman" w:hAnsi="Times New Roman" w:eastAsia="宋体" w:cs="宋体"/>
                <w:b/>
                <w:bCs/>
                <w:color w:val="auto"/>
                <w:sz w:val="21"/>
                <w:highlight w:val="none"/>
                <w:lang w:val="en-US" w:eastAsia="zh-CN"/>
              </w:rPr>
              <w:t>投标报价=投标总价</w:t>
            </w:r>
            <w:r>
              <w:rPr>
                <w:rFonts w:hint="eastAsia" w:ascii="Times New Roman" w:hAnsi="Times New Roman" w:eastAsia="宋体" w:cs="宋体"/>
                <w:b/>
                <w:bCs/>
                <w:color w:val="auto"/>
                <w:sz w:val="21"/>
                <w:highlight w:val="none"/>
                <w:lang w:eastAsia="zh-CN"/>
              </w:rPr>
              <w:t>。</w:t>
            </w:r>
          </w:p>
          <w:p w14:paraId="78D05E65">
            <w:pPr>
              <w:keepNext w:val="0"/>
              <w:keepLines w:val="0"/>
              <w:pageBreakBefore w:val="0"/>
              <w:kinsoku/>
              <w:wordWrap/>
              <w:overflowPunct/>
              <w:topLinePunct w:val="0"/>
              <w:autoSpaceDE/>
              <w:bidi w:val="0"/>
              <w:spacing w:line="240" w:lineRule="auto"/>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1.以满足招标文件要求且</w:t>
            </w:r>
            <w:r>
              <w:rPr>
                <w:rFonts w:hint="eastAsia" w:ascii="Times New Roman" w:hAnsi="Times New Roman" w:eastAsia="宋体" w:cs="宋体"/>
                <w:color w:val="auto"/>
                <w:sz w:val="21"/>
                <w:szCs w:val="21"/>
                <w:highlight w:val="none"/>
                <w:lang w:val="en-US" w:eastAsia="zh-CN"/>
              </w:rPr>
              <w:t>投标报价</w:t>
            </w:r>
            <w:r>
              <w:rPr>
                <w:rFonts w:hint="eastAsia" w:ascii="Times New Roman" w:hAnsi="Times New Roman" w:eastAsia="宋体" w:cs="宋体"/>
                <w:color w:val="auto"/>
                <w:sz w:val="21"/>
                <w:szCs w:val="21"/>
                <w:highlight w:val="none"/>
              </w:rPr>
              <w:t>最低的为评标基准价，其报价得分为满分。</w:t>
            </w:r>
          </w:p>
          <w:p w14:paraId="672C8533">
            <w:pPr>
              <w:keepNext w:val="0"/>
              <w:keepLines w:val="0"/>
              <w:pageBreakBefore w:val="0"/>
              <w:kinsoku/>
              <w:wordWrap/>
              <w:overflowPunct/>
              <w:topLinePunct w:val="0"/>
              <w:autoSpaceDE/>
              <w:bidi w:val="0"/>
              <w:spacing w:line="240" w:lineRule="auto"/>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2.其他投标人的报价分统一按照下列公式计算：</w:t>
            </w:r>
          </w:p>
          <w:p w14:paraId="13029DCB">
            <w:pPr>
              <w:keepNext w:val="0"/>
              <w:keepLines w:val="0"/>
              <w:pageBreakBefore w:val="0"/>
              <w:kinsoku/>
              <w:wordWrap/>
              <w:overflowPunct/>
              <w:topLinePunct w:val="0"/>
              <w:autoSpaceDE/>
              <w:bidi w:val="0"/>
              <w:spacing w:line="240" w:lineRule="auto"/>
              <w:ind w:firstLine="210" w:firstLineChars="100"/>
              <w:jc w:val="left"/>
              <w:textAlignment w:val="auto"/>
              <w:rPr>
                <w:rFonts w:hint="eastAsia" w:ascii="Times New Roman" w:hAnsi="Times New Roman" w:eastAsia="宋体"/>
                <w:color w:val="auto"/>
                <w:spacing w:val="2"/>
                <w:sz w:val="21"/>
                <w:highlight w:val="none"/>
                <w:lang w:eastAsia="zh-CN"/>
              </w:rPr>
            </w:pPr>
            <w:r>
              <w:rPr>
                <w:rFonts w:hint="eastAsia" w:ascii="Times New Roman" w:hAnsi="Times New Roman" w:eastAsia="宋体" w:cs="宋体"/>
                <w:color w:val="auto"/>
                <w:sz w:val="21"/>
                <w:szCs w:val="21"/>
                <w:highlight w:val="none"/>
              </w:rPr>
              <w:t>报价分＝（评标基准价／</w:t>
            </w:r>
            <w:r>
              <w:rPr>
                <w:rFonts w:hint="eastAsia" w:ascii="Times New Roman" w:hAnsi="Times New Roman" w:eastAsia="宋体" w:cs="宋体"/>
                <w:color w:val="auto"/>
                <w:sz w:val="21"/>
                <w:szCs w:val="21"/>
                <w:highlight w:val="none"/>
                <w:lang w:val="en-US" w:eastAsia="zh-CN"/>
              </w:rPr>
              <w:t>评标</w:t>
            </w:r>
            <w:r>
              <w:rPr>
                <w:rFonts w:hint="eastAsia" w:ascii="Times New Roman" w:hAnsi="Times New Roman" w:eastAsia="宋体" w:cs="宋体"/>
                <w:color w:val="auto"/>
                <w:sz w:val="21"/>
                <w:szCs w:val="21"/>
                <w:highlight w:val="none"/>
              </w:rPr>
              <w:t>价）×</w:t>
            </w:r>
            <w:r>
              <w:rPr>
                <w:rFonts w:hint="eastAsia" w:ascii="Times New Roman" w:hAnsi="Times New Roman" w:eastAsia="宋体" w:cs="宋体"/>
                <w:color w:val="auto"/>
                <w:sz w:val="21"/>
                <w:szCs w:val="21"/>
                <w:highlight w:val="none"/>
                <w:lang w:val="en-US" w:eastAsia="zh-CN"/>
              </w:rPr>
              <w:t>30</w:t>
            </w:r>
            <w:r>
              <w:rPr>
                <w:rFonts w:hint="eastAsia" w:ascii="Times New Roman" w:hAnsi="Times New Roman" w:eastAsia="宋体" w:cs="宋体"/>
                <w:color w:val="auto"/>
                <w:sz w:val="21"/>
                <w:szCs w:val="21"/>
                <w:highlight w:val="none"/>
              </w:rPr>
              <w:t>，计算结果保留2位小数（第三位小数四舍五入）。</w:t>
            </w:r>
          </w:p>
        </w:tc>
      </w:tr>
      <w:tr w14:paraId="376A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3" w:type="dxa"/>
            <w:noWrap/>
            <w:vAlign w:val="center"/>
          </w:tcPr>
          <w:p w14:paraId="3BAFC839">
            <w:pPr>
              <w:pStyle w:val="66"/>
              <w:keepNext w:val="0"/>
              <w:keepLines w:val="0"/>
              <w:pageBreakBefore w:val="0"/>
              <w:widowControl/>
              <w:kinsoku/>
              <w:wordWrap/>
              <w:overflowPunct/>
              <w:topLinePunct w:val="0"/>
              <w:autoSpaceDE/>
              <w:bidi w:val="0"/>
              <w:spacing w:line="240" w:lineRule="auto"/>
              <w:jc w:val="center"/>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三</w:t>
            </w:r>
          </w:p>
        </w:tc>
        <w:tc>
          <w:tcPr>
            <w:tcW w:w="1516" w:type="dxa"/>
            <w:noWrap/>
            <w:vAlign w:val="center"/>
          </w:tcPr>
          <w:p w14:paraId="0200518B">
            <w:pPr>
              <w:keepNext w:val="0"/>
              <w:keepLines w:val="0"/>
              <w:pageBreakBefore w:val="0"/>
              <w:kinsoku/>
              <w:wordWrap/>
              <w:overflowPunct/>
              <w:topLinePunct w:val="0"/>
              <w:autoSpaceDE/>
              <w:bidi w:val="0"/>
              <w:spacing w:line="240" w:lineRule="auto"/>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综合得分</w:t>
            </w:r>
          </w:p>
        </w:tc>
        <w:tc>
          <w:tcPr>
            <w:tcW w:w="1635" w:type="dxa"/>
            <w:noWrap/>
            <w:vAlign w:val="center"/>
          </w:tcPr>
          <w:p w14:paraId="326E9FE2">
            <w:pPr>
              <w:keepNext w:val="0"/>
              <w:keepLines w:val="0"/>
              <w:pageBreakBefore w:val="0"/>
              <w:kinsoku/>
              <w:wordWrap/>
              <w:overflowPunct/>
              <w:topLinePunct w:val="0"/>
              <w:autoSpaceDE/>
              <w:bidi w:val="0"/>
              <w:spacing w:line="240" w:lineRule="auto"/>
              <w:jc w:val="center"/>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100</w:t>
            </w:r>
          </w:p>
        </w:tc>
        <w:tc>
          <w:tcPr>
            <w:tcW w:w="5214" w:type="dxa"/>
            <w:noWrap/>
            <w:vAlign w:val="center"/>
          </w:tcPr>
          <w:p w14:paraId="17E6F404">
            <w:pPr>
              <w:keepNext w:val="0"/>
              <w:keepLines w:val="0"/>
              <w:pageBreakBefore w:val="0"/>
              <w:kinsoku/>
              <w:wordWrap/>
              <w:overflowPunct/>
              <w:topLinePunct w:val="0"/>
              <w:autoSpaceDE/>
              <w:bidi w:val="0"/>
              <w:spacing w:line="240" w:lineRule="auto"/>
              <w:jc w:val="left"/>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投标人综合得分=</w:t>
            </w:r>
            <w:r>
              <w:rPr>
                <w:rFonts w:hint="eastAsia" w:ascii="Times New Roman" w:hAnsi="Times New Roman" w:eastAsia="宋体" w:cs="宋体"/>
                <w:color w:val="auto"/>
                <w:sz w:val="21"/>
                <w:szCs w:val="21"/>
                <w:highlight w:val="none"/>
                <w:lang w:val="en-US" w:eastAsia="zh-CN"/>
              </w:rPr>
              <w:t>商务</w:t>
            </w:r>
            <w:r>
              <w:rPr>
                <w:rFonts w:hint="eastAsia" w:ascii="Times New Roman" w:hAnsi="Times New Roman" w:eastAsia="宋体" w:cs="宋体"/>
                <w:color w:val="auto"/>
                <w:sz w:val="21"/>
                <w:szCs w:val="21"/>
                <w:highlight w:val="none"/>
              </w:rPr>
              <w:t>技术分+报价分</w:t>
            </w:r>
          </w:p>
        </w:tc>
      </w:tr>
    </w:tbl>
    <w:p w14:paraId="5C755E3C">
      <w:pPr>
        <w:spacing w:line="420" w:lineRule="exact"/>
        <w:ind w:firstLine="420" w:firstLineChars="200"/>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以上评分内容仅限对未打“★”条款进行评分</w:t>
      </w:r>
      <w:r>
        <w:rPr>
          <w:rFonts w:hint="eastAsia" w:ascii="宋体" w:hAnsi="宋体" w:eastAsia="宋体" w:cs="宋体"/>
          <w:b/>
          <w:bCs/>
          <w:strike w:val="0"/>
          <w:dstrike w:val="0"/>
          <w:color w:val="auto"/>
          <w:sz w:val="21"/>
          <w:szCs w:val="21"/>
          <w:highlight w:val="none"/>
        </w:rPr>
        <w:t>。</w:t>
      </w:r>
    </w:p>
    <w:p w14:paraId="6EDF6531">
      <w:pPr>
        <w:rPr>
          <w:rFonts w:hint="eastAsia" w:ascii="宋体" w:hAnsi="宋体" w:eastAsia="宋体" w:cs="宋体"/>
          <w:color w:val="auto"/>
          <w:sz w:val="21"/>
          <w:szCs w:val="21"/>
          <w:highlight w:val="none"/>
        </w:rPr>
      </w:pPr>
    </w:p>
    <w:p w14:paraId="054FF050">
      <w:pPr>
        <w:pStyle w:val="10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color w:val="auto"/>
          <w:sz w:val="21"/>
          <w:szCs w:val="21"/>
          <w:highlight w:val="none"/>
        </w:rPr>
      </w:pPr>
      <w:bookmarkStart w:id="82" w:name="_Toc22083"/>
      <w:r>
        <w:rPr>
          <w:rFonts w:hint="eastAsia" w:hAnsi="宋体" w:cs="宋体"/>
          <w:b/>
          <w:color w:val="auto"/>
          <w:sz w:val="21"/>
          <w:szCs w:val="21"/>
          <w:highlight w:val="none"/>
        </w:rPr>
        <w:t>四、评标小组不向落标方解释落标原因</w:t>
      </w:r>
      <w:r>
        <w:rPr>
          <w:rFonts w:hint="eastAsia" w:hAnsi="宋体"/>
          <w:b/>
          <w:bCs/>
          <w:color w:val="auto"/>
          <w:sz w:val="21"/>
          <w:szCs w:val="21"/>
          <w:highlight w:val="none"/>
        </w:rPr>
        <w:t>。</w:t>
      </w:r>
      <w:bookmarkEnd w:id="82"/>
    </w:p>
    <w:p w14:paraId="11CE3075">
      <w:pPr>
        <w:pStyle w:val="3"/>
        <w:keepNext w:val="0"/>
        <w:keepLines w:val="0"/>
        <w:pageBreakBefore/>
        <w:spacing w:line="240" w:lineRule="exact"/>
        <w:jc w:val="center"/>
        <w:rPr>
          <w:rFonts w:ascii="宋体" w:hAnsi="宋体"/>
          <w:sz w:val="36"/>
          <w:szCs w:val="36"/>
          <w:highlight w:val="none"/>
        </w:rPr>
      </w:pPr>
      <w:bookmarkStart w:id="83" w:name="_Toc9741"/>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七</w:t>
      </w:r>
      <w:r>
        <w:rPr>
          <w:rFonts w:hint="eastAsia" w:ascii="宋体" w:hAnsi="宋体"/>
          <w:color w:val="auto"/>
          <w:sz w:val="36"/>
          <w:szCs w:val="36"/>
          <w:highlight w:val="none"/>
        </w:rPr>
        <w:t xml:space="preserve">章  </w:t>
      </w:r>
      <w:r>
        <w:rPr>
          <w:rFonts w:hint="eastAsia" w:ascii="宋体" w:hAnsi="宋体"/>
          <w:sz w:val="36"/>
          <w:szCs w:val="36"/>
          <w:highlight w:val="none"/>
        </w:rPr>
        <w:t>飞灰转移服务项目合同</w:t>
      </w:r>
      <w:bookmarkEnd w:id="83"/>
    </w:p>
    <w:p w14:paraId="22F2163A">
      <w:pPr>
        <w:jc w:val="center"/>
        <w:rPr>
          <w:rFonts w:ascii="Verdana" w:hAnsi="Verdana" w:cs="Arial"/>
          <w:b/>
          <w:kern w:val="0"/>
          <w:sz w:val="24"/>
          <w:highlight w:val="none"/>
        </w:rPr>
      </w:pPr>
    </w:p>
    <w:p w14:paraId="610A3C42">
      <w:pPr>
        <w:pStyle w:val="16"/>
        <w:bidi w:val="0"/>
      </w:pPr>
      <w:r>
        <w:rPr>
          <w:rFonts w:hint="eastAsia"/>
        </w:rPr>
        <w:t>甲方：________________________________</w:t>
      </w:r>
    </w:p>
    <w:p w14:paraId="6C713469">
      <w:pPr>
        <w:pStyle w:val="16"/>
        <w:bidi w:val="0"/>
      </w:pPr>
      <w:r>
        <w:rPr>
          <w:rFonts w:hint="eastAsia"/>
        </w:rPr>
        <w:t>乙方：________________________________</w:t>
      </w:r>
    </w:p>
    <w:p w14:paraId="027F371F">
      <w:pPr>
        <w:pStyle w:val="16"/>
        <w:bidi w:val="0"/>
        <w:rPr>
          <w:rFonts w:hint="eastAsia"/>
        </w:rPr>
      </w:pPr>
      <w:r>
        <w:rPr>
          <w:rFonts w:hint="eastAsia"/>
        </w:rPr>
        <w:t>甲、乙双方根据                               项目（采购编号：                ）成交结果和招标文件的要求，依据《中华人民共和国民法典》等相关法律法规之规定，并经双方协商一致，订立本合同。</w:t>
      </w:r>
    </w:p>
    <w:p w14:paraId="503CA128">
      <w:pPr>
        <w:pStyle w:val="16"/>
        <w:bidi w:val="0"/>
        <w:rPr>
          <w:rFonts w:hint="eastAsia"/>
        </w:rPr>
      </w:pPr>
      <w:r>
        <w:rPr>
          <w:rFonts w:hint="eastAsia"/>
        </w:rPr>
        <w:t>合同文件组成及解释顺序：本合同、招标文件及其补充文件、询标承诺、询疑答复、投标响应文件、双方来函。合同文件组成的所有内容是构成合同不可分割的部分，与合同具有同等法律效力。</w:t>
      </w:r>
    </w:p>
    <w:p w14:paraId="0947E681">
      <w:pPr>
        <w:pStyle w:val="16"/>
        <w:bidi w:val="0"/>
      </w:pPr>
      <w:r>
        <w:rPr>
          <w:rFonts w:hint="eastAsia"/>
        </w:rPr>
        <w:t>第1条 项目概况</w:t>
      </w:r>
    </w:p>
    <w:p w14:paraId="6448C357">
      <w:pPr>
        <w:pStyle w:val="16"/>
        <w:bidi w:val="0"/>
      </w:pPr>
      <w:r>
        <w:t>1</w:t>
      </w:r>
      <w:r>
        <w:rPr>
          <w:rFonts w:hint="eastAsia"/>
        </w:rPr>
        <w:t>.1项目名称：义乌市塔山填埋场飞灰一期2.4万吨（约1.85万m³）飞灰转移项目。</w:t>
      </w:r>
    </w:p>
    <w:p w14:paraId="068FDFC0">
      <w:pPr>
        <w:pStyle w:val="16"/>
        <w:bidi w:val="0"/>
      </w:pPr>
      <w:r>
        <w:rPr>
          <w:rFonts w:hint="eastAsia"/>
        </w:rPr>
        <w:t>1.2项目地点：义乌市塔山生活垃圾填埋场。</w:t>
      </w:r>
    </w:p>
    <w:p w14:paraId="5D337404">
      <w:pPr>
        <w:pStyle w:val="16"/>
        <w:bidi w:val="0"/>
      </w:pPr>
      <w:r>
        <w:rPr>
          <w:rFonts w:hint="eastAsia"/>
        </w:rPr>
        <w:t>第2条 服务内容及要求</w:t>
      </w:r>
    </w:p>
    <w:p w14:paraId="7C187011">
      <w:pPr>
        <w:pStyle w:val="16"/>
        <w:bidi w:val="0"/>
      </w:pPr>
      <w:r>
        <w:rPr>
          <w:rFonts w:hint="eastAsia"/>
        </w:rPr>
        <w:t>2.1服务内容</w:t>
      </w:r>
    </w:p>
    <w:p w14:paraId="777B088B">
      <w:pPr>
        <w:pStyle w:val="16"/>
        <w:bidi w:val="0"/>
      </w:pPr>
      <w:r>
        <w:rPr>
          <w:rFonts w:hint="eastAsia"/>
        </w:rPr>
        <w:t>2.1.1乙方将甲方飞灰一期库区2.4万吨（约1.85万m³）飞灰转移至飞灰二期库区，对飞灰一期库区进行堆体整平并对边坡按要求坡度进行放坡处理。部分飞灰固化物可能存在外包装老化破损的情况，该部分飞灰需要重新装袋转移并确保转移时保持环境清洁。</w:t>
      </w:r>
    </w:p>
    <w:p w14:paraId="300E606E">
      <w:pPr>
        <w:pStyle w:val="16"/>
        <w:bidi w:val="0"/>
      </w:pPr>
      <w:r>
        <w:rPr>
          <w:rFonts w:hint="eastAsia"/>
        </w:rPr>
        <w:t>2.1.2飞灰转移至飞灰二期库区后，乙方负责将飞灰堆放在甲方指定区域，堆放时应排列整齐、保持区域整洁，转移结束后需对飞灰一期、二期库区进行覆膜，确保覆膜无漏点。</w:t>
      </w:r>
    </w:p>
    <w:p w14:paraId="5418F075">
      <w:pPr>
        <w:pStyle w:val="16"/>
        <w:bidi w:val="0"/>
      </w:pPr>
      <w:r>
        <w:rPr>
          <w:rFonts w:hint="eastAsia"/>
        </w:rPr>
        <w:t>2.2服务要求</w:t>
      </w:r>
    </w:p>
    <w:p w14:paraId="53007BA0">
      <w:pPr>
        <w:pStyle w:val="16"/>
        <w:bidi w:val="0"/>
      </w:pPr>
      <w:r>
        <w:rPr>
          <w:rFonts w:hint="eastAsia"/>
        </w:rPr>
        <w:t>2.2.1乙方应按照甲方及填埋场的相关管理规定履行合同义务。</w:t>
      </w:r>
    </w:p>
    <w:p w14:paraId="78411581">
      <w:pPr>
        <w:pStyle w:val="16"/>
        <w:bidi w:val="0"/>
      </w:pPr>
      <w:r>
        <w:rPr>
          <w:rFonts w:hint="eastAsia"/>
        </w:rPr>
        <w:t>2.2.2乙方转移飞灰整个过程中应满足安全、环保及消防等主管部门的相关规定。</w:t>
      </w:r>
    </w:p>
    <w:p w14:paraId="599E2A6B">
      <w:pPr>
        <w:pStyle w:val="16"/>
        <w:bidi w:val="0"/>
      </w:pPr>
      <w:r>
        <w:rPr>
          <w:rFonts w:hint="eastAsia"/>
        </w:rPr>
        <w:t>2.2.3乙方负责飞灰转移过程的临时覆膜、焊膜、雨污分流、临时挡雨及排水等工作。</w:t>
      </w:r>
    </w:p>
    <w:p w14:paraId="4F237BF9">
      <w:pPr>
        <w:pStyle w:val="16"/>
        <w:bidi w:val="0"/>
      </w:pPr>
      <w:r>
        <w:rPr>
          <w:rFonts w:hint="eastAsia"/>
        </w:rPr>
        <w:t>2.2.4乙方必须确保转移飞灰固化物的设备具有防雨、防漏、防扬洒等措施，若在转移过程中发生泄漏、扬洒、雨淋或其它环境污染事件，所有后果及赔偿责任均由乙方承担，甲方因此遭受损失或行政处罚，有权向乙方进行追偿或索赔。</w:t>
      </w:r>
    </w:p>
    <w:p w14:paraId="1B0C6D03">
      <w:pPr>
        <w:pStyle w:val="16"/>
        <w:bidi w:val="0"/>
      </w:pPr>
      <w:r>
        <w:rPr>
          <w:rFonts w:hint="eastAsia"/>
        </w:rPr>
        <w:t>2.2.5乙方必须确保转移过程各环节的安全，做好道路应急救援预案，随时接受甲方检查和监督，并按照甲方要求进行整改。一旦转移作业过程中发生事故，乙方须及时启动应急救援预案，根据事故情形采取相应的响应，并第一时间告知甲方。</w:t>
      </w:r>
    </w:p>
    <w:p w14:paraId="59D8A88E">
      <w:pPr>
        <w:pStyle w:val="16"/>
        <w:bidi w:val="0"/>
      </w:pPr>
      <w:r>
        <w:rPr>
          <w:rFonts w:hint="eastAsia"/>
        </w:rPr>
        <w:t>2.2.6乙方须对其相关人员进行相关安全环保知识培训，驾驶员须熟悉危险废物转移的安全环保知识，作业前须穿戴好安全防护用品。</w:t>
      </w:r>
    </w:p>
    <w:p w14:paraId="29A8A39A">
      <w:pPr>
        <w:pStyle w:val="16"/>
        <w:bidi w:val="0"/>
      </w:pPr>
      <w:r>
        <w:rPr>
          <w:rFonts w:hint="eastAsia"/>
        </w:rPr>
        <w:t>2.2.7乙方需配备转移所需的各种机械、车辆及专业的焊膜工，严格按照填埋专区设计标高进行堆码填埋，转移填埋过程不得将吨袋故意拆破。现场设置1名管理人员，负责协调转移各项事宜，并承担相应安全监护职责。</w:t>
      </w:r>
    </w:p>
    <w:p w14:paraId="54BAAFFF">
      <w:pPr>
        <w:pStyle w:val="16"/>
        <w:bidi w:val="0"/>
      </w:pPr>
      <w:r>
        <w:rPr>
          <w:rFonts w:hint="eastAsia"/>
        </w:rPr>
        <w:t>第3条 服务期限</w:t>
      </w:r>
    </w:p>
    <w:p w14:paraId="59C90C33">
      <w:pPr>
        <w:pStyle w:val="16"/>
        <w:bidi w:val="0"/>
      </w:pPr>
      <w:r>
        <w:rPr>
          <w:rFonts w:hint="eastAsia"/>
        </w:rPr>
        <w:t>服务期：140天。</w:t>
      </w:r>
    </w:p>
    <w:p w14:paraId="56872159">
      <w:pPr>
        <w:pStyle w:val="16"/>
        <w:bidi w:val="0"/>
      </w:pPr>
      <w:r>
        <w:rPr>
          <w:rFonts w:hint="eastAsia"/>
        </w:rPr>
        <w:t>第4条 服务费用及支付</w:t>
      </w:r>
    </w:p>
    <w:p w14:paraId="7DC9459A">
      <w:pPr>
        <w:pStyle w:val="16"/>
        <w:bidi w:val="0"/>
      </w:pPr>
      <w:r>
        <w:rPr>
          <w:rFonts w:hint="eastAsia"/>
        </w:rPr>
        <w:t>4.1服务费用：合同总金额为人民币    元（大写：   ，小写：   ）。</w:t>
      </w:r>
    </w:p>
    <w:p w14:paraId="0279A214">
      <w:pPr>
        <w:pStyle w:val="16"/>
        <w:bidi w:val="0"/>
      </w:pPr>
      <w:r>
        <w:rPr>
          <w:rFonts w:hint="eastAsia"/>
        </w:rPr>
        <w:t>以上合同价款包括但不限于：人工费；运输费；机械工具的燃油费、维保费、修理费；各项保险费；作业人员劳动保护费；安全、环保等措施费；各种加班费；作业人员体检费；教育培训费；管理费；各项税金及利润等。</w:t>
      </w:r>
    </w:p>
    <w:p w14:paraId="63CEE665">
      <w:pPr>
        <w:pStyle w:val="16"/>
        <w:bidi w:val="0"/>
      </w:pPr>
      <w:r>
        <w:rPr>
          <w:rFonts w:hint="eastAsia"/>
        </w:rPr>
        <w:t>4.2支付方式</w:t>
      </w:r>
    </w:p>
    <w:p w14:paraId="37A0D266">
      <w:pPr>
        <w:pStyle w:val="16"/>
        <w:bidi w:val="0"/>
      </w:pPr>
      <w:r>
        <w:rPr>
          <w:rFonts w:hint="eastAsia"/>
        </w:rPr>
        <w:t>4.2.1飞灰固化物转移至飞灰二期库区内填埋工作完成并通过验收（以</w:t>
      </w:r>
      <w:r>
        <w:rPr>
          <w:rFonts w:hint="default"/>
          <w:lang w:val="en-US"/>
        </w:rPr>
        <w:t>甲方委托第三方出具的结算</w:t>
      </w:r>
      <w:r>
        <w:rPr>
          <w:rFonts w:hint="eastAsia"/>
        </w:rPr>
        <w:t>审计报告为准）后30个工作日内支付至合同总金额的95%，余款在质保期（一年）满后一次性无息付清。</w:t>
      </w:r>
    </w:p>
    <w:p w14:paraId="174F5E1D">
      <w:pPr>
        <w:pStyle w:val="16"/>
        <w:bidi w:val="0"/>
      </w:pPr>
      <w:r>
        <w:rPr>
          <w:rFonts w:hint="eastAsia"/>
        </w:rPr>
        <w:t>4.2.2费用凭合同、采购验收单、增值税专用发票等相关资料由甲方直接支付。</w:t>
      </w:r>
    </w:p>
    <w:p w14:paraId="319CF445">
      <w:pPr>
        <w:pStyle w:val="16"/>
        <w:bidi w:val="0"/>
      </w:pPr>
      <w:r>
        <w:rPr>
          <w:rFonts w:hint="eastAsia"/>
        </w:rPr>
        <w:t>第5条 安全环保要求</w:t>
      </w:r>
    </w:p>
    <w:p w14:paraId="4250A708">
      <w:pPr>
        <w:pStyle w:val="16"/>
        <w:bidi w:val="0"/>
      </w:pPr>
      <w:r>
        <w:rPr>
          <w:rFonts w:hint="eastAsia"/>
        </w:rPr>
        <w:t>详见附件1《职业健康安全环保协议》。</w:t>
      </w:r>
    </w:p>
    <w:p w14:paraId="594B814E">
      <w:pPr>
        <w:pStyle w:val="16"/>
        <w:bidi w:val="0"/>
      </w:pPr>
      <w:r>
        <w:rPr>
          <w:rFonts w:hint="eastAsia"/>
        </w:rPr>
        <w:t>第6条 履约担保</w:t>
      </w:r>
    </w:p>
    <w:p w14:paraId="7A15733A">
      <w:pPr>
        <w:pStyle w:val="16"/>
        <w:bidi w:val="0"/>
      </w:pPr>
      <w:r>
        <w:rPr>
          <w:rFonts w:hint="eastAsia"/>
        </w:rPr>
        <w:t>6.1本合同履约担保金额为人民币200000元（人民币大写：贰拾万元整），履约担保期涵盖合同期等完成合同约定的权利和义务所需的必要时间，采用甲方认可的履约保函（见索即付保函）或履约保证金的形式提交。</w:t>
      </w:r>
    </w:p>
    <w:p w14:paraId="1EECA1AB">
      <w:pPr>
        <w:pStyle w:val="16"/>
        <w:bidi w:val="0"/>
      </w:pPr>
      <w:r>
        <w:rPr>
          <w:rFonts w:hint="eastAsia"/>
        </w:rPr>
        <w:t>合同有效期内且乙方履行完成合同约定范围内的全部义务后，无违约、无未处理事项的情况下，经乙方申请，甲方【30】日内将履约保函或未提取、扣划的履约保证金余额无息退还乙方。</w:t>
      </w:r>
    </w:p>
    <w:p w14:paraId="7E47CCD4">
      <w:pPr>
        <w:pStyle w:val="16"/>
        <w:bidi w:val="0"/>
      </w:pPr>
      <w:r>
        <w:rPr>
          <w:rFonts w:hint="eastAsia"/>
        </w:rPr>
        <w:t>履约担保延期，任何情况下履约担保期限应覆盖合同期；如遇合同期延长或其他原因导致履约时间延长，履约担保期限应相应延期或由乙方另行提交履约担保，重新开具保函（包括办理延期）等的一切费用由乙方承担。若乙方未办理/逾期办理延期或未另行提供履约担保的，则甲方有权在所有应付款中直接扣留相应款项作为履约担保。</w:t>
      </w:r>
    </w:p>
    <w:p w14:paraId="1868C980">
      <w:pPr>
        <w:pStyle w:val="16"/>
        <w:bidi w:val="0"/>
      </w:pPr>
      <w:r>
        <w:rPr>
          <w:rFonts w:hint="eastAsia"/>
        </w:rPr>
        <w:t>6.2乙方应在收到中标通知书后【7】日内及时提交履约担保。</w:t>
      </w:r>
    </w:p>
    <w:p w14:paraId="6516A01A">
      <w:pPr>
        <w:pStyle w:val="16"/>
        <w:bidi w:val="0"/>
      </w:pPr>
      <w:r>
        <w:rPr>
          <w:rFonts w:hint="eastAsia"/>
        </w:rPr>
        <w:t>6.3若乙方不履行合同约定的义务、其履行不符合合同的约定或发生安全事故等违约情形，则甲方有权直接扣划、提取履约保证金或履约保函；若因乙方违约或发生安全事故等原因，导致甲方扣划、提取履约保证金或履约保函的，乙方应于扣划、提取之日起10个工作日内补齐履约保证金，否则甲方有权无偿解除合同。</w:t>
      </w:r>
    </w:p>
    <w:p w14:paraId="0B4A25AF">
      <w:pPr>
        <w:pStyle w:val="16"/>
        <w:bidi w:val="0"/>
      </w:pPr>
      <w:r>
        <w:rPr>
          <w:rFonts w:hint="eastAsia"/>
        </w:rPr>
        <w:t>6.4当乙方不履行合同约定的义务或其履行不符合合同的约定，合同约定的履约担保条款与违约责任条款同时适用。</w:t>
      </w:r>
    </w:p>
    <w:p w14:paraId="1B2D0416">
      <w:pPr>
        <w:pStyle w:val="16"/>
        <w:bidi w:val="0"/>
      </w:pPr>
      <w:r>
        <w:rPr>
          <w:rFonts w:hint="eastAsia"/>
        </w:rPr>
        <w:t>第7条 甲方权利与义务</w:t>
      </w:r>
    </w:p>
    <w:p w14:paraId="0267179D">
      <w:pPr>
        <w:pStyle w:val="16"/>
        <w:bidi w:val="0"/>
      </w:pPr>
      <w:r>
        <w:rPr>
          <w:rFonts w:hint="eastAsia"/>
        </w:rPr>
        <w:t>7.1依照合同约定甲方应及时足额向乙方支付合同费用。</w:t>
      </w:r>
    </w:p>
    <w:p w14:paraId="76CBBBA9">
      <w:pPr>
        <w:pStyle w:val="16"/>
        <w:bidi w:val="0"/>
      </w:pPr>
      <w:r>
        <w:rPr>
          <w:rFonts w:hint="eastAsia"/>
        </w:rPr>
        <w:t>7.2甲方有权监督本项目的整体实施并按规定进行考核。</w:t>
      </w:r>
    </w:p>
    <w:p w14:paraId="3DE8A28C">
      <w:pPr>
        <w:pStyle w:val="16"/>
        <w:bidi w:val="0"/>
      </w:pPr>
      <w:r>
        <w:rPr>
          <w:rFonts w:hint="eastAsia"/>
        </w:rPr>
        <w:t>7.3甲方有权监督、检查乙方的劳务服务及转移服务是否按照协议要求执行。但甲方的监督、检查不得妨害乙方正常运营管理的权利，不得影响正常的工作秩序。</w:t>
      </w:r>
    </w:p>
    <w:p w14:paraId="01A456F0">
      <w:pPr>
        <w:pStyle w:val="16"/>
        <w:bidi w:val="0"/>
      </w:pPr>
      <w:r>
        <w:rPr>
          <w:rFonts w:hint="eastAsia"/>
        </w:rPr>
        <w:t>7.4甲方需负责提供电源，确保相关设备能接电使用，并安装电表进行计量，电表安装费用以及产生的电费按0.73元/千瓦时在乙方的结算款中扣除。</w:t>
      </w:r>
    </w:p>
    <w:p w14:paraId="52779E98">
      <w:pPr>
        <w:pStyle w:val="16"/>
        <w:bidi w:val="0"/>
      </w:pPr>
      <w:r>
        <w:rPr>
          <w:rFonts w:hint="eastAsia"/>
        </w:rPr>
        <w:t>第8条 乙方的权利与义务</w:t>
      </w:r>
    </w:p>
    <w:p w14:paraId="194F72AE">
      <w:pPr>
        <w:pStyle w:val="16"/>
        <w:bidi w:val="0"/>
      </w:pPr>
      <w:r>
        <w:rPr>
          <w:rFonts w:hint="eastAsia"/>
        </w:rPr>
        <w:t>8.1乙方依照专区设计规范要求，规范堆码。</w:t>
      </w:r>
    </w:p>
    <w:p w14:paraId="5110EE0D">
      <w:pPr>
        <w:pStyle w:val="16"/>
        <w:bidi w:val="0"/>
      </w:pPr>
      <w:r>
        <w:rPr>
          <w:rFonts w:hint="eastAsia"/>
        </w:rPr>
        <w:t>8.2乙方进场工作人员必须遵守甲方相关的管理制度，保持通讯畅通，服从甲方生产调度指挥，但是甲方的调度不得无故影响乙方正常合理的工作秩序。</w:t>
      </w:r>
    </w:p>
    <w:p w14:paraId="776FAF20">
      <w:pPr>
        <w:pStyle w:val="16"/>
        <w:bidi w:val="0"/>
      </w:pPr>
      <w:r>
        <w:rPr>
          <w:rFonts w:hint="eastAsia"/>
        </w:rPr>
        <w:t>8.3乙方不能依约履行合同义务，甲方有权委托第三方完成，由此产生的费用由乙方承担，甲方有权在乙方的结算款中予以扣除；若结算款不足以抵扣的，甲方有权向乙方进行追偿。</w:t>
      </w:r>
    </w:p>
    <w:p w14:paraId="2D324AE8">
      <w:pPr>
        <w:pStyle w:val="16"/>
        <w:bidi w:val="0"/>
      </w:pPr>
      <w:r>
        <w:rPr>
          <w:rFonts w:hint="eastAsia"/>
        </w:rPr>
        <w:t>8.4乙方应严格履行《保障农民工工资支付条例》等法律法规规定义务，依法依规保障农民工按时足额获得工资。若乙方拖欠农民工工资，则承担全部法律责任和后果。同时，甲方有权暂缓向乙方支付款项，直至乙方与农民工劳资纠纷解决为止。</w:t>
      </w:r>
    </w:p>
    <w:p w14:paraId="07833572">
      <w:pPr>
        <w:pStyle w:val="16"/>
        <w:bidi w:val="0"/>
      </w:pPr>
      <w:r>
        <w:rPr>
          <w:rFonts w:hint="eastAsia"/>
        </w:rPr>
        <w:t>8.5在迎检等特殊时期，乙方应完全服从甲方的工作安排，确保迎检受控，不因迎检配合不到位发生问题。</w:t>
      </w:r>
    </w:p>
    <w:p w14:paraId="2FEB962F">
      <w:pPr>
        <w:pStyle w:val="16"/>
        <w:bidi w:val="0"/>
      </w:pPr>
      <w:r>
        <w:rPr>
          <w:rFonts w:hint="eastAsia"/>
        </w:rPr>
        <w:t>8.6乙方应完全遵守甲方的各项规章制度、国家或行业的各项标准，若有违反，将接受甲方的考核。</w:t>
      </w:r>
    </w:p>
    <w:p w14:paraId="0D38080C">
      <w:pPr>
        <w:pStyle w:val="16"/>
        <w:bidi w:val="0"/>
      </w:pPr>
      <w:r>
        <w:rPr>
          <w:rFonts w:hint="eastAsia"/>
        </w:rPr>
        <w:t>8.7合同期内，因国家、行业标准、法律法规变化，承接本合同需要增加单位或人员资质，乙方应在规定时间内完成。</w:t>
      </w:r>
    </w:p>
    <w:p w14:paraId="1094EBA3">
      <w:pPr>
        <w:pStyle w:val="16"/>
        <w:bidi w:val="0"/>
      </w:pPr>
      <w:r>
        <w:rPr>
          <w:rFonts w:hint="eastAsia"/>
        </w:rPr>
        <w:t>第9条 违约责任</w:t>
      </w:r>
    </w:p>
    <w:p w14:paraId="171490F4">
      <w:pPr>
        <w:pStyle w:val="16"/>
        <w:bidi w:val="0"/>
      </w:pPr>
      <w:r>
        <w:rPr>
          <w:rFonts w:hint="eastAsia"/>
        </w:rPr>
        <w:t>9.1乙方未在服务期内完成飞灰转移工作，则每延期10个自然日支付0.5万元作为违约金，不满10个自然日的按10个自然日处理，违约金由甲方从服务费用中扣除；延期达  日，甲方有权解除合同，服务费用安排按已完成转移的飞灰比例结算，且乙方应按服务费用的  %支付违约金。</w:t>
      </w:r>
    </w:p>
    <w:p w14:paraId="3050EFDF">
      <w:pPr>
        <w:pStyle w:val="16"/>
        <w:bidi w:val="0"/>
      </w:pPr>
      <w:r>
        <w:rPr>
          <w:rFonts w:hint="eastAsia"/>
        </w:rPr>
        <w:t>9.2乙方完成飞灰转移后提交甲方验收，验收未通过，乙方应按甲方要求整改后重新提交验收，乙方拒不整改或整改后仍未通过验收，甲方有权解除合同，乙方应按服务费用的   %支付违约金。</w:t>
      </w:r>
    </w:p>
    <w:p w14:paraId="57EB2D44">
      <w:pPr>
        <w:pStyle w:val="16"/>
        <w:bidi w:val="0"/>
      </w:pPr>
      <w:r>
        <w:rPr>
          <w:rFonts w:hint="eastAsia"/>
        </w:rPr>
        <w:t>9.3乙方不得将合同义务转包、分包给第三方履行，否则，甲方有权解除合同，乙方应按乙方应按服务费用的   %支付违约金。</w:t>
      </w:r>
    </w:p>
    <w:p w14:paraId="5D547AD6">
      <w:pPr>
        <w:pStyle w:val="16"/>
        <w:bidi w:val="0"/>
      </w:pPr>
      <w:r>
        <w:rPr>
          <w:rFonts w:hint="eastAsia"/>
        </w:rPr>
        <w:t>9.4乙方违约造成损失超过违约金的，乙方应就超出部分继续承担赔偿责任。</w:t>
      </w:r>
    </w:p>
    <w:p w14:paraId="497E9ECF">
      <w:pPr>
        <w:pStyle w:val="16"/>
        <w:bidi w:val="0"/>
      </w:pPr>
      <w:r>
        <w:rPr>
          <w:rFonts w:hint="eastAsia"/>
        </w:rPr>
        <w:t>第10条 项目考核标准</w:t>
      </w:r>
    </w:p>
    <w:p w14:paraId="3D8C5B71">
      <w:pPr>
        <w:pStyle w:val="16"/>
        <w:bidi w:val="0"/>
      </w:pPr>
      <w:r>
        <w:rPr>
          <w:rFonts w:hint="eastAsia"/>
        </w:rPr>
        <w:t>项目考核标准由甲乙双方协商制定，乙方必须严格遵守经双方书面确定的考核标准。</w:t>
      </w:r>
    </w:p>
    <w:p w14:paraId="57EA730D">
      <w:pPr>
        <w:pStyle w:val="16"/>
        <w:bidi w:val="0"/>
      </w:pPr>
      <w:r>
        <w:rPr>
          <w:rFonts w:hint="eastAsia"/>
        </w:rPr>
        <w:t>第11条 验收</w:t>
      </w:r>
    </w:p>
    <w:p w14:paraId="28E99380">
      <w:pPr>
        <w:pStyle w:val="16"/>
        <w:bidi w:val="0"/>
      </w:pPr>
      <w:r>
        <w:rPr>
          <w:rFonts w:hint="eastAsia"/>
        </w:rPr>
        <w:t>11.1项目完工后，最终结算数据以第三方审计报告为准。</w:t>
      </w:r>
    </w:p>
    <w:p w14:paraId="081DA450">
      <w:pPr>
        <w:pStyle w:val="16"/>
        <w:bidi w:val="0"/>
      </w:pPr>
      <w:r>
        <w:rPr>
          <w:rFonts w:hint="eastAsia"/>
        </w:rPr>
        <w:t>11.2验收后一年内若出现覆膜泄漏、破裂等问题需24小时内到场修复。若乙方不能在质保期内完成售后服务的，则每延期10个自然日考核0.5万元，不满10个自然日的按10个自然日处理，具体考核款从质保金内扣除，扣完为止。</w:t>
      </w:r>
    </w:p>
    <w:p w14:paraId="1C366459">
      <w:pPr>
        <w:pStyle w:val="16"/>
        <w:bidi w:val="0"/>
      </w:pPr>
      <w:r>
        <w:rPr>
          <w:rFonts w:hint="eastAsia"/>
        </w:rPr>
        <w:t>第12条 保密</w:t>
      </w:r>
    </w:p>
    <w:p w14:paraId="43AC69BE">
      <w:pPr>
        <w:pStyle w:val="16"/>
        <w:bidi w:val="0"/>
      </w:pPr>
      <w:r>
        <w:rPr>
          <w:rFonts w:hint="eastAsia"/>
        </w:rPr>
        <w:t>12.1任何一方及其雇员、承包人、顾问或代理应对其获得的尚未公布的或以其它形式公开的所有资料和文件（无论是财务、技术或其它方面的资料和文件）予以保密，并且未经另一方的同意，不得在合同期结束后的5年内提供给第三方或公众，但法律要求提供的除外。这一限制不得阻碍任何一方在取得另一方同意的情况下发布含有有关本项目进展的非敏感信息的新闻稿。本条规定在本协议终止后依然有效。</w:t>
      </w:r>
    </w:p>
    <w:p w14:paraId="6FAB3B65">
      <w:pPr>
        <w:pStyle w:val="16"/>
        <w:bidi w:val="0"/>
      </w:pPr>
      <w:r>
        <w:rPr>
          <w:rFonts w:hint="eastAsia"/>
        </w:rPr>
        <w:t>12.2无论在合同期限内或合同期限后，乙方应当无条件对由于乙方或乙方人员的错误行为、疏忽或违约给甲方或任何第三方造成的损失、损害和索赔（或积极配合），给予甲方和任何第三方充分有效的赔偿。赔偿费用与造成的实际损失相一致。</w:t>
      </w:r>
    </w:p>
    <w:p w14:paraId="5E5262E0">
      <w:pPr>
        <w:pStyle w:val="16"/>
        <w:bidi w:val="0"/>
      </w:pPr>
      <w:r>
        <w:rPr>
          <w:rFonts w:hint="eastAsia"/>
        </w:rPr>
        <w:t>第13条 特别约定</w:t>
      </w:r>
    </w:p>
    <w:p w14:paraId="1B67157B">
      <w:pPr>
        <w:pStyle w:val="16"/>
        <w:bidi w:val="0"/>
      </w:pPr>
      <w:r>
        <w:rPr>
          <w:rFonts w:hint="eastAsia"/>
        </w:rPr>
        <w:t>在合同服务期内，乙方若根据现场条件提出更优质的飞灰转移工作方案，该优化方案经甲方确认后实施，合同价款按本合同第4条约定标准支付。</w:t>
      </w:r>
    </w:p>
    <w:p w14:paraId="5781B235">
      <w:pPr>
        <w:pStyle w:val="16"/>
        <w:bidi w:val="0"/>
      </w:pPr>
      <w:r>
        <w:rPr>
          <w:rFonts w:hint="eastAsia"/>
        </w:rPr>
        <w:t>第14条 其他事项约定</w:t>
      </w:r>
    </w:p>
    <w:p w14:paraId="088295AF">
      <w:pPr>
        <w:pStyle w:val="16"/>
        <w:bidi w:val="0"/>
      </w:pPr>
      <w:r>
        <w:rPr>
          <w:rFonts w:hint="eastAsia"/>
        </w:rPr>
        <w:t>14.1本</w:t>
      </w:r>
      <w:r>
        <w:rPr>
          <w:rFonts w:hint="eastAsia"/>
          <w:lang w:val="en-US" w:eastAsia="zh-CN"/>
        </w:rPr>
        <w:t>合同</w:t>
      </w:r>
      <w:r>
        <w:rPr>
          <w:rFonts w:hint="eastAsia"/>
        </w:rPr>
        <w:t>一式伍</w:t>
      </w:r>
      <w:r>
        <w:rPr>
          <w:rFonts w:hint="eastAsia"/>
          <w:lang w:val="en-US" w:eastAsia="zh-CN"/>
        </w:rPr>
        <w:t>份</w:t>
      </w:r>
      <w:r>
        <w:rPr>
          <w:rFonts w:hint="eastAsia"/>
        </w:rPr>
        <w:t>，甲、乙双方方各执贰份，义乌产权交易所有限公司执壹份，经双方签字盖章后生效，具有同等法律效力。</w:t>
      </w:r>
    </w:p>
    <w:p w14:paraId="06B837C3">
      <w:pPr>
        <w:pStyle w:val="16"/>
        <w:bidi w:val="0"/>
      </w:pPr>
      <w:r>
        <w:rPr>
          <w:rFonts w:hint="eastAsia"/>
        </w:rPr>
        <w:t>14.2本</w:t>
      </w:r>
      <w:r>
        <w:rPr>
          <w:rFonts w:hint="eastAsia"/>
          <w:lang w:val="en-US" w:eastAsia="zh-CN"/>
        </w:rPr>
        <w:t>合同</w:t>
      </w:r>
      <w:r>
        <w:rPr>
          <w:rFonts w:hint="eastAsia"/>
        </w:rPr>
        <w:t>未尽事宜，经双方协商作为补充条款，补充条款具有同等效力。</w:t>
      </w:r>
    </w:p>
    <w:p w14:paraId="6358E8E1">
      <w:pPr>
        <w:pStyle w:val="16"/>
        <w:bidi w:val="0"/>
        <w:rPr>
          <w:rFonts w:hint="eastAsia"/>
        </w:rPr>
      </w:pPr>
      <w:r>
        <w:rPr>
          <w:rFonts w:hint="eastAsia"/>
        </w:rPr>
        <w:t>14.3本</w:t>
      </w:r>
      <w:r>
        <w:rPr>
          <w:rFonts w:hint="eastAsia"/>
          <w:lang w:val="en-US" w:eastAsia="zh-CN"/>
        </w:rPr>
        <w:t>合同</w:t>
      </w:r>
      <w:r>
        <w:rPr>
          <w:rFonts w:hint="eastAsia"/>
        </w:rPr>
        <w:t>发生争议，由双方协商解决，协商不成的，任何一方均可向甲方所在地人民法院起诉。</w:t>
      </w:r>
    </w:p>
    <w:p w14:paraId="509BABBD">
      <w:pPr>
        <w:pStyle w:val="16"/>
        <w:bidi w:val="0"/>
        <w:rPr>
          <w:rFonts w:hint="default"/>
          <w:lang w:val="en-US"/>
        </w:rPr>
      </w:pPr>
      <w:r>
        <w:rPr>
          <w:rFonts w:hint="eastAsia"/>
          <w:lang w:val="en-US" w:eastAsia="zh-CN"/>
        </w:rPr>
        <w:t xml:space="preserve">第15条 </w:t>
      </w:r>
      <w:r>
        <w:rPr>
          <w:rFonts w:hint="default"/>
          <w:lang w:val="en-US"/>
        </w:rPr>
        <w:t>合同双方确认，本合同及合同约定的其他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0DC87EBB">
      <w:pPr>
        <w:pStyle w:val="16"/>
        <w:bidi w:val="0"/>
      </w:pPr>
      <w:r>
        <w:rPr>
          <w:rFonts w:hint="eastAsia"/>
        </w:rPr>
        <w:t>附件：1.职业健康安全环保协议</w:t>
      </w:r>
    </w:p>
    <w:p w14:paraId="64F58A98">
      <w:pPr>
        <w:pStyle w:val="16"/>
        <w:bidi w:val="0"/>
      </w:pPr>
      <w:r>
        <w:rPr>
          <w:rFonts w:hint="eastAsia"/>
        </w:rPr>
        <w:t>2.廉洁协议</w:t>
      </w:r>
    </w:p>
    <w:p w14:paraId="7543C527">
      <w:pPr>
        <w:pStyle w:val="16"/>
        <w:bidi w:val="0"/>
        <w:rPr>
          <w:lang w:val="en-US"/>
        </w:rPr>
      </w:pPr>
      <w:r>
        <w:rPr>
          <w:rFonts w:hint="eastAsia"/>
          <w:lang w:val="en-US"/>
        </w:rPr>
        <w:t xml:space="preserve">      3.安全生产责任协议书</w:t>
      </w:r>
    </w:p>
    <w:p w14:paraId="5C563B0F">
      <w:pPr>
        <w:pStyle w:val="16"/>
        <w:bidi w:val="0"/>
      </w:pPr>
    </w:p>
    <w:p w14:paraId="70D96FB6">
      <w:pPr>
        <w:pStyle w:val="16"/>
        <w:bidi w:val="0"/>
      </w:pPr>
    </w:p>
    <w:p w14:paraId="35B8C941">
      <w:pPr>
        <w:pStyle w:val="16"/>
        <w:bidi w:val="0"/>
      </w:pPr>
    </w:p>
    <w:p w14:paraId="02ED870C">
      <w:pPr>
        <w:pStyle w:val="16"/>
        <w:bidi w:val="0"/>
      </w:pPr>
      <w:r>
        <w:rPr>
          <w:rFonts w:hint="eastAsia"/>
        </w:rPr>
        <w:t>甲    方：________________________  乙    方：________________________</w:t>
      </w:r>
    </w:p>
    <w:p w14:paraId="53C6D4EB">
      <w:pPr>
        <w:pStyle w:val="16"/>
        <w:bidi w:val="0"/>
      </w:pPr>
      <w:r>
        <w:rPr>
          <w:rFonts w:hint="eastAsia"/>
        </w:rPr>
        <w:t>地    址：________________________  地    址：________________________</w:t>
      </w:r>
    </w:p>
    <w:p w14:paraId="72E7B912">
      <w:pPr>
        <w:pStyle w:val="16"/>
        <w:bidi w:val="0"/>
      </w:pPr>
      <w:r>
        <w:rPr>
          <w:rFonts w:hint="eastAsia"/>
        </w:rPr>
        <w:t>法定代表人：______________________  法定代表人：______________________</w:t>
      </w:r>
    </w:p>
    <w:p w14:paraId="27486782">
      <w:pPr>
        <w:pStyle w:val="16"/>
        <w:bidi w:val="0"/>
      </w:pPr>
      <w:r>
        <w:rPr>
          <w:rFonts w:hint="eastAsia"/>
        </w:rPr>
        <w:t>授权代表：________________________  授权代表：________________________</w:t>
      </w:r>
    </w:p>
    <w:p w14:paraId="35D23D52">
      <w:pPr>
        <w:pStyle w:val="16"/>
        <w:bidi w:val="0"/>
      </w:pPr>
      <w:r>
        <w:rPr>
          <w:rFonts w:hint="eastAsia"/>
        </w:rPr>
        <w:t>电    话：________________________  电    话：________________________</w:t>
      </w:r>
    </w:p>
    <w:p w14:paraId="237AAA99">
      <w:pPr>
        <w:pStyle w:val="16"/>
        <w:bidi w:val="0"/>
      </w:pPr>
      <w:r>
        <w:rPr>
          <w:rFonts w:hint="eastAsia"/>
        </w:rPr>
        <w:t>账户名称：________________________  账户名称：________________________</w:t>
      </w:r>
    </w:p>
    <w:p w14:paraId="34E27EF0">
      <w:pPr>
        <w:pStyle w:val="16"/>
        <w:bidi w:val="0"/>
      </w:pPr>
      <w:r>
        <w:rPr>
          <w:rFonts w:hint="eastAsia"/>
        </w:rPr>
        <w:t>开户银行：________________________  开户银行：________________________</w:t>
      </w:r>
    </w:p>
    <w:p w14:paraId="3770A2AF">
      <w:pPr>
        <w:pStyle w:val="16"/>
        <w:bidi w:val="0"/>
      </w:pPr>
      <w:r>
        <w:rPr>
          <w:rFonts w:hint="eastAsia"/>
        </w:rPr>
        <w:t>账    号：________________________  账    号：________________________</w:t>
      </w:r>
    </w:p>
    <w:p w14:paraId="23F18D77">
      <w:pPr>
        <w:pStyle w:val="16"/>
        <w:bidi w:val="0"/>
      </w:pPr>
      <w:r>
        <w:rPr>
          <w:rFonts w:hint="eastAsia"/>
        </w:rPr>
        <w:t>签约时间：________________________  签约地点：________________________</w:t>
      </w:r>
    </w:p>
    <w:p w14:paraId="18BE07F3">
      <w:pPr>
        <w:pStyle w:val="16"/>
        <w:bidi w:val="0"/>
      </w:pPr>
      <w:r>
        <w:rPr>
          <w:rFonts w:hint="eastAsia"/>
        </w:rPr>
        <w:br w:type="page"/>
      </w:r>
    </w:p>
    <w:p w14:paraId="51078796">
      <w:pPr>
        <w:rPr>
          <w:rFonts w:eastAsiaTheme="minorEastAsia"/>
          <w:highlight w:val="none"/>
        </w:rPr>
      </w:pPr>
      <w:r>
        <w:rPr>
          <w:rFonts w:hint="eastAsia" w:eastAsiaTheme="minorEastAsia"/>
          <w:highlight w:val="none"/>
        </w:rPr>
        <w:t>附件1.</w:t>
      </w:r>
    </w:p>
    <w:p w14:paraId="4082ABBA">
      <w:pPr>
        <w:jc w:val="center"/>
        <w:rPr>
          <w:rFonts w:cs="宋体" w:asciiTheme="minorEastAsia" w:hAnsiTheme="minorEastAsia" w:eastAsiaTheme="minorEastAsia"/>
          <w:b/>
          <w:bCs/>
          <w:sz w:val="32"/>
          <w:szCs w:val="32"/>
          <w:highlight w:val="none"/>
        </w:rPr>
      </w:pPr>
      <w:r>
        <w:rPr>
          <w:rFonts w:hint="eastAsia" w:cs="宋体" w:asciiTheme="minorEastAsia" w:hAnsiTheme="minorEastAsia" w:eastAsiaTheme="minorEastAsia"/>
          <w:b/>
          <w:bCs/>
          <w:sz w:val="32"/>
          <w:szCs w:val="32"/>
          <w:highlight w:val="none"/>
        </w:rPr>
        <w:t>职业健康安全环保协议</w:t>
      </w:r>
    </w:p>
    <w:p w14:paraId="4DBBBCBE">
      <w:pPr>
        <w:spacing w:line="400" w:lineRule="exact"/>
        <w:ind w:firstLine="420" w:firstLineChars="200"/>
        <w:contextualSpacing/>
        <w:rPr>
          <w:rFonts w:ascii="宋体" w:hAnsi="宋体" w:cs="宋体" w:eastAsiaTheme="minorEastAsia"/>
          <w:highlight w:val="none"/>
        </w:rPr>
      </w:pPr>
    </w:p>
    <w:p w14:paraId="0A474929">
      <w:pPr>
        <w:spacing w:line="400" w:lineRule="exact"/>
        <w:ind w:firstLine="420" w:firstLineChars="200"/>
        <w:contextualSpacing/>
        <w:rPr>
          <w:rFonts w:ascii="宋体" w:hAnsi="宋体" w:cs="宋体"/>
          <w:highlight w:val="none"/>
        </w:rPr>
      </w:pPr>
      <w:r>
        <w:rPr>
          <w:rFonts w:hint="eastAsia" w:ascii="宋体" w:hAnsi="宋体" w:cs="宋体"/>
          <w:highlight w:val="none"/>
        </w:rPr>
        <w:t>主合同名称：</w:t>
      </w:r>
    </w:p>
    <w:p w14:paraId="262FAA24">
      <w:pPr>
        <w:spacing w:line="400" w:lineRule="exact"/>
        <w:ind w:firstLine="420" w:firstLineChars="200"/>
        <w:contextualSpacing/>
        <w:rPr>
          <w:rFonts w:ascii="宋体" w:hAnsi="宋体" w:cs="宋体"/>
          <w:highlight w:val="none"/>
        </w:rPr>
      </w:pPr>
      <w:r>
        <w:rPr>
          <w:rFonts w:hint="eastAsia" w:ascii="宋体" w:hAnsi="宋体" w:cs="宋体"/>
          <w:highlight w:val="none"/>
        </w:rPr>
        <w:t>主合同编号：</w:t>
      </w:r>
    </w:p>
    <w:p w14:paraId="715A7E31">
      <w:pPr>
        <w:spacing w:line="400" w:lineRule="exact"/>
        <w:ind w:firstLine="420" w:firstLineChars="200"/>
        <w:contextualSpacing/>
        <w:rPr>
          <w:rFonts w:ascii="宋体" w:hAnsi="宋体" w:cs="宋体"/>
          <w:highlight w:val="none"/>
        </w:rPr>
      </w:pPr>
      <w:r>
        <w:rPr>
          <w:rFonts w:hint="eastAsia" w:ascii="宋体" w:hAnsi="宋体" w:cs="宋体"/>
          <w:highlight w:val="none"/>
        </w:rPr>
        <w:t xml:space="preserve">甲方安全环保负责人签字：             </w:t>
      </w:r>
      <w:r>
        <w:rPr>
          <w:rFonts w:ascii="宋体" w:hAnsi="宋体" w:cs="宋体"/>
          <w:highlight w:val="none"/>
        </w:rPr>
        <w:t xml:space="preserve">      </w:t>
      </w:r>
      <w:r>
        <w:rPr>
          <w:rFonts w:hint="eastAsia" w:ascii="宋体" w:hAnsi="宋体" w:cs="宋体"/>
          <w:highlight w:val="none"/>
        </w:rPr>
        <w:t xml:space="preserve"> 联系电话：</w:t>
      </w:r>
    </w:p>
    <w:p w14:paraId="5975D406">
      <w:pPr>
        <w:spacing w:line="400" w:lineRule="exact"/>
        <w:ind w:firstLine="420" w:firstLineChars="200"/>
        <w:contextualSpacing/>
        <w:rPr>
          <w:rFonts w:ascii="宋体" w:hAnsi="宋体" w:cs="宋体"/>
          <w:highlight w:val="none"/>
        </w:rPr>
      </w:pPr>
      <w:r>
        <w:rPr>
          <w:rFonts w:hint="eastAsia" w:ascii="宋体" w:hAnsi="宋体" w:cs="宋体"/>
          <w:highlight w:val="none"/>
        </w:rPr>
        <w:t>乙方现场负责人签字：                        联系电话：</w:t>
      </w:r>
    </w:p>
    <w:p w14:paraId="5B189714">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依据《中华人民共和国安全生产法》《中华人民共和国环境保护法》《建设工程安全生产管理条例》等法律法规，为明确甲乙双方的安全环保责任，保证生产和施工安全，防止事故发生，经甲乙双方协商，就本次承包合同的有关安全文明生产和环保工作事宜达成如下协议，双方共同遵守。</w:t>
      </w:r>
    </w:p>
    <w:p w14:paraId="6117415C">
      <w:pPr>
        <w:spacing w:line="440" w:lineRule="exact"/>
        <w:ind w:firstLine="422" w:firstLineChars="200"/>
        <w:contextualSpacing/>
        <w:rPr>
          <w:rFonts w:cs="宋体" w:asciiTheme="minorEastAsia" w:hAnsiTheme="minorEastAsia"/>
          <w:b/>
          <w:highlight w:val="none"/>
        </w:rPr>
      </w:pPr>
      <w:r>
        <w:rPr>
          <w:rFonts w:hint="eastAsia" w:cs="宋体" w:asciiTheme="minorEastAsia" w:hAnsiTheme="minorEastAsia"/>
          <w:b/>
          <w:highlight w:val="none"/>
        </w:rPr>
        <w:t>一、甲方安全环保责任</w:t>
      </w:r>
    </w:p>
    <w:p w14:paraId="6831AA16">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1.提供合同范围内生产现场及相关生产区域有关管线、设备设施等相关资料。</w:t>
      </w:r>
    </w:p>
    <w:p w14:paraId="436E2113">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2.不得向乙方提出不符合安全生产法律、法规和强制性标准规定的要求。</w:t>
      </w:r>
    </w:p>
    <w:p w14:paraId="6F6E5E4D">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3.不得明示或暗示乙方购买、租赁和使用不符合安全要求的安全防护用具（品）、机械设备、机具及配件、消防设施和器材。</w:t>
      </w:r>
    </w:p>
    <w:p w14:paraId="1E25ABDE">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4.按照国家和地方有关规定，向有关部门报送相关安全环保资料等。</w:t>
      </w:r>
    </w:p>
    <w:p w14:paraId="6D525CF3">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5.对乙方入场人员进行培训，告知和讲解</w:t>
      </w:r>
      <w:r>
        <w:rPr>
          <w:rFonts w:hint="eastAsia" w:ascii="宋体" w:hAnsi="宋体" w:cs="宋体"/>
          <w:highlight w:val="none"/>
        </w:rPr>
        <w:t>作业</w:t>
      </w:r>
      <w:r>
        <w:rPr>
          <w:rFonts w:hint="eastAsia" w:cs="宋体" w:asciiTheme="minorEastAsia" w:hAnsiTheme="minorEastAsia"/>
          <w:highlight w:val="none"/>
        </w:rPr>
        <w:t>过程中有关安全、职业健康和环保方面的具体要求，并保留人员出席和培训的书面记录。</w:t>
      </w:r>
    </w:p>
    <w:p w14:paraId="06D27B94">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6.对乙方在合同执行中的安全环保情况进行监督和检查（日常或联合）。对检查中发现乙方不执行或违反本协议和相关规定的不安全行为，监督乙方限期完成整改，并有权按甲方相关规定进行处罚。</w:t>
      </w:r>
    </w:p>
    <w:p w14:paraId="2A156AF8">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 xml:space="preserve">7.对乙方违反甲方安全环保制度或本协议且不能按要求及时整改消除安全环保隐患的违约行为，可采取必要的手段 (如：要求乙方更换人员、停工整顿和扣除乙方安全风险抵押金等方式)，以促使其改进安全生产状况，或直接终止本合同。 </w:t>
      </w:r>
    </w:p>
    <w:p w14:paraId="2C2EF435">
      <w:pPr>
        <w:spacing w:line="440" w:lineRule="exact"/>
        <w:ind w:firstLine="422" w:firstLineChars="200"/>
        <w:contextualSpacing/>
        <w:rPr>
          <w:rFonts w:cs="宋体" w:asciiTheme="minorEastAsia" w:hAnsiTheme="minorEastAsia"/>
          <w:b/>
          <w:highlight w:val="none"/>
        </w:rPr>
      </w:pPr>
      <w:r>
        <w:rPr>
          <w:rFonts w:hint="eastAsia" w:cs="宋体" w:asciiTheme="minorEastAsia" w:hAnsiTheme="minorEastAsia"/>
          <w:b/>
          <w:highlight w:val="none"/>
        </w:rPr>
        <w:t>二、乙方安全环保责任</w:t>
      </w:r>
    </w:p>
    <w:p w14:paraId="1354299C">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1.乙方必须向甲方提供所有人员（包含临时更换人员）的身份证复印资料、工伤保险证明等材料，现场负责人需提交其公司授权委托书</w:t>
      </w:r>
      <w:r>
        <w:rPr>
          <w:rFonts w:hint="eastAsia" w:cs="宋体" w:asciiTheme="minorEastAsia" w:hAnsiTheme="minorEastAsia"/>
          <w:highlight w:val="none"/>
          <w:lang w:eastAsia="zh-CN"/>
        </w:rPr>
        <w:t>，</w:t>
      </w:r>
      <w:r>
        <w:rPr>
          <w:rFonts w:hint="eastAsia" w:cs="宋体" w:asciiTheme="minorEastAsia" w:hAnsiTheme="minorEastAsia"/>
          <w:highlight w:val="none"/>
        </w:rPr>
        <w:t>特种作业人员需提供资格证复印件，向甲方提供的所有资料、证明必须加盖乙方公章。</w:t>
      </w:r>
    </w:p>
    <w:p w14:paraId="156CD645">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2.乙方对本项目的安全环保生产全面负责。乙方不得对本项目进行再次转包</w:t>
      </w:r>
      <w:r>
        <w:rPr>
          <w:rFonts w:cs="宋体" w:asciiTheme="minorEastAsia" w:hAnsiTheme="minorEastAsia"/>
          <w:highlight w:val="none"/>
        </w:rPr>
        <w:t>和违法</w:t>
      </w:r>
      <w:r>
        <w:rPr>
          <w:rFonts w:hint="eastAsia" w:cs="宋体" w:asciiTheme="minorEastAsia" w:hAnsiTheme="minorEastAsia"/>
          <w:highlight w:val="none"/>
        </w:rPr>
        <w:t>分包。</w:t>
      </w:r>
    </w:p>
    <w:p w14:paraId="1BAF7D88">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3.负责编制与本</w:t>
      </w:r>
      <w:r>
        <w:rPr>
          <w:rFonts w:hint="eastAsia" w:ascii="宋体" w:hAnsi="宋体" w:cs="宋体"/>
          <w:highlight w:val="none"/>
        </w:rPr>
        <w:t>项目</w:t>
      </w:r>
      <w:r>
        <w:rPr>
          <w:rFonts w:hint="eastAsia" w:cs="宋体" w:asciiTheme="minorEastAsia" w:hAnsiTheme="minorEastAsia"/>
          <w:highlight w:val="none"/>
        </w:rPr>
        <w:t>有关的各种安全生产记录，并建立与安全环保工作相关的各种表格和台账。</w:t>
      </w:r>
    </w:p>
    <w:p w14:paraId="15E736E4">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4.建立健全安全生产责任制度和安全生产教育培训制度，制定安全生产规章制度和操作规程。对本单位所有现场工作人员进行三级安全教育培训并保留相关记录。</w:t>
      </w:r>
    </w:p>
    <w:p w14:paraId="5E338D2B">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5.乙方必须严格遵守国家、地方有关法律、法规、标准、规范及甲方有关安全环保管理制度各项规定，如有违反，按照甲方相关规定进行考核。</w:t>
      </w:r>
    </w:p>
    <w:p w14:paraId="06BC7880">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6.乙方必须按规定编制并严格落实作业方案</w:t>
      </w:r>
      <w:r>
        <w:rPr>
          <w:rFonts w:hint="eastAsia" w:ascii="宋体" w:hAnsi="宋体" w:cs="宋体"/>
          <w:highlight w:val="none"/>
        </w:rPr>
        <w:t>、规程</w:t>
      </w:r>
      <w:r>
        <w:rPr>
          <w:rFonts w:hint="eastAsia" w:cs="宋体" w:asciiTheme="minorEastAsia" w:hAnsiTheme="minorEastAsia"/>
          <w:highlight w:val="none"/>
        </w:rPr>
        <w:t>，向所有作业人员进行安全技术交底，确保全体作业人员熟悉作业全过程存在的各类安全环保风险因素及防护措施。</w:t>
      </w:r>
    </w:p>
    <w:p w14:paraId="5C271887">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7.对所承包的工作区域和工作内容进行定期和专项安全检查，并做好检查记录。重要操作，应进行事前安全技术交底，并有相关记录。</w:t>
      </w:r>
    </w:p>
    <w:p w14:paraId="3DEFA2A3">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8.按要求设立专（兼）职安全生产管理人员，对安全生产进行现场监督检查，发现安全事故隐患，应当及时向本单位现场负责人、甲方安全环保部门报告。</w:t>
      </w:r>
    </w:p>
    <w:p w14:paraId="32110CC8">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9.乙方应按相关规定和作业的危险性质向其作业人员提供安全防护用品并规范使用。</w:t>
      </w:r>
    </w:p>
    <w:p w14:paraId="53C4C209">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10.严禁使用未成年人和老、弱、病、残人员进行工作，年龄不得超过60周岁。确保特种作业人员按照国家有关规定经过专门的安全作业培训，并取得操作资格证书后持证上岗作业。</w:t>
      </w:r>
    </w:p>
    <w:p w14:paraId="23B95F89">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11.加强现场安全管理，防止酒后上班和工作现场嬉戏打闹等各种违章作业现象，禁止与工作无关人员进入工作现场。乙方工作人员未得到甲方许可不得进入与本</w:t>
      </w:r>
      <w:r>
        <w:rPr>
          <w:rFonts w:hint="eastAsia" w:ascii="宋体" w:hAnsi="宋体" w:cs="宋体"/>
          <w:highlight w:val="none"/>
        </w:rPr>
        <w:t>岗位</w:t>
      </w:r>
      <w:r>
        <w:rPr>
          <w:rFonts w:hint="eastAsia" w:cs="宋体" w:asciiTheme="minorEastAsia" w:hAnsiTheme="minorEastAsia"/>
          <w:highlight w:val="none"/>
        </w:rPr>
        <w:t>工作无关的场所，否则由此造成的安全责任由乙方全部承担。</w:t>
      </w:r>
    </w:p>
    <w:p w14:paraId="2130F8E6">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12.遵守并配合甲方对进场人员和车辆（包括乙方的相关方）实施控制和检查的有关制度和规定。现场人员变动时，必须事前通知甲方对应管理部门，并按要求办理相关手续如出入证等。</w:t>
      </w:r>
    </w:p>
    <w:p w14:paraId="4EA99903">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13.乙方在进行危险性较大的工作前，必须严格执行各项安全防护措施，特别重大的工作还应书面通知甲方对应管理部门，这些危险性工作包括但不限于（密闭容器工作、动火作业、登高作业、带电作业、有毒有害作业、起重作业等）。</w:t>
      </w:r>
    </w:p>
    <w:p w14:paraId="2271A59B">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14.乙方必须对入场人员进行入场体检和定期体检，有职业病危害的必须进行职业病定期检查，所造成的职业危害后果由乙方全部承担。</w:t>
      </w:r>
    </w:p>
    <w:p w14:paraId="6135D3C8">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15.必须为入场工作人员办理</w:t>
      </w:r>
      <w:r>
        <w:rPr>
          <w:rFonts w:hint="eastAsia" w:ascii="宋体" w:hAnsi="宋体" w:cs="宋体"/>
          <w:highlight w:val="none"/>
        </w:rPr>
        <w:t>保额不低于100万元的</w:t>
      </w:r>
      <w:r>
        <w:rPr>
          <w:rFonts w:hint="eastAsia" w:cs="宋体" w:asciiTheme="minorEastAsia" w:hAnsiTheme="minorEastAsia"/>
          <w:highlight w:val="none"/>
        </w:rPr>
        <w:t>意外伤害保险，意外伤害保险费由乙方支付。</w:t>
      </w:r>
    </w:p>
    <w:p w14:paraId="61CA7205">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16.乙方工作如有必须涉及到甲方厂区外的工作内容，应建立相关的安全环保管理制度，并确保不会造成安全和环保责任，如造成安全事故和环境污染事故，甲方有权对乙方进行处罚和追究，同时对此所造成的外部责任和影响由乙方负全责。</w:t>
      </w:r>
    </w:p>
    <w:p w14:paraId="319B593A">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17.乙方作为独立法人企业和本合同相对人，必须按照国家或行业相关法律法规和管理规定要求，对本合同承包范围内的安全环保、职业健康承担全部责任。</w:t>
      </w:r>
    </w:p>
    <w:p w14:paraId="5F00DCAF">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18.乙方应按照甲方规定时间、路线、区域进行作业，杜绝事故的发生。</w:t>
      </w:r>
    </w:p>
    <w:p w14:paraId="050B7BE1">
      <w:pPr>
        <w:spacing w:line="440" w:lineRule="exact"/>
        <w:ind w:firstLine="422" w:firstLineChars="200"/>
        <w:rPr>
          <w:rFonts w:ascii="宋体" w:hAnsi="宋体" w:cs="宋体"/>
          <w:b/>
          <w:highlight w:val="none"/>
        </w:rPr>
      </w:pPr>
      <w:r>
        <w:rPr>
          <w:rFonts w:hint="eastAsia" w:ascii="宋体" w:hAnsi="宋体" w:cs="宋体"/>
          <w:b/>
          <w:highlight w:val="none"/>
        </w:rPr>
        <w:t>三、安全环保特别条款</w:t>
      </w:r>
    </w:p>
    <w:p w14:paraId="6687122C">
      <w:pPr>
        <w:spacing w:line="440" w:lineRule="exact"/>
        <w:ind w:firstLine="420" w:firstLineChars="200"/>
        <w:rPr>
          <w:rFonts w:ascii="宋体" w:hAnsi="宋体" w:cs="宋体"/>
          <w:highlight w:val="none"/>
        </w:rPr>
      </w:pPr>
      <w:r>
        <w:rPr>
          <w:rFonts w:ascii="宋体" w:hAnsi="宋体" w:cs="宋体"/>
          <w:highlight w:val="none"/>
        </w:rPr>
        <w:t>1</w:t>
      </w:r>
      <w:r>
        <w:rPr>
          <w:rFonts w:hint="eastAsia" w:ascii="宋体" w:hAnsi="宋体" w:cs="宋体"/>
          <w:highlight w:val="none"/>
        </w:rPr>
        <w:t>.乙方必须严格遵守国家、地方有关安全环保法律、法规及甲方各项安全环保规章制度，如有违反，应承担全部法律、行政及经济责任，并接受甲方及其上级单位、环境部门或国家机关对乙方进行处罚。</w:t>
      </w:r>
    </w:p>
    <w:p w14:paraId="0C8DD1F7">
      <w:pPr>
        <w:spacing w:line="440" w:lineRule="exact"/>
        <w:ind w:firstLine="420" w:firstLineChars="200"/>
        <w:rPr>
          <w:rFonts w:ascii="宋体" w:hAnsi="宋体" w:cs="宋体"/>
          <w:highlight w:val="none"/>
        </w:rPr>
      </w:pPr>
      <w:r>
        <w:rPr>
          <w:rFonts w:ascii="宋体" w:hAnsi="宋体" w:cs="宋体"/>
          <w:highlight w:val="none"/>
        </w:rPr>
        <w:t>2</w:t>
      </w:r>
      <w:r>
        <w:rPr>
          <w:rFonts w:hint="eastAsia" w:ascii="宋体" w:hAnsi="宋体" w:cs="宋体"/>
          <w:highlight w:val="none"/>
        </w:rPr>
        <w:t>.乙方必须向甲方提供有效的运输相关资质、驾驶员从业资格证，叉车工、起重工等特种作业证；乙方全权负责飞灰固化物自装载至卸货至填埋场规定位置的安全、环保责任。</w:t>
      </w:r>
    </w:p>
    <w:p w14:paraId="2CA9EF51">
      <w:pPr>
        <w:spacing w:line="440" w:lineRule="exact"/>
        <w:ind w:firstLine="420" w:firstLineChars="200"/>
        <w:rPr>
          <w:rFonts w:ascii="宋体" w:hAnsi="宋体" w:cs="宋体"/>
          <w:highlight w:val="none"/>
        </w:rPr>
      </w:pPr>
      <w:r>
        <w:rPr>
          <w:rFonts w:ascii="宋体" w:hAnsi="宋体" w:cs="宋体"/>
          <w:highlight w:val="none"/>
        </w:rPr>
        <w:t>3</w:t>
      </w:r>
      <w:r>
        <w:rPr>
          <w:rFonts w:hint="eastAsia" w:ascii="宋体" w:hAnsi="宋体" w:cs="宋体"/>
          <w:highlight w:val="none"/>
        </w:rPr>
        <w:t>.乙方必须配置满足国家法律法规要求的用于作业人员安全及职业健康防护的劳保用品，每年度对作业人员进行职业健康体检。劳保用品发放记录及体检报告应建立台帐，供甲方查验。</w:t>
      </w:r>
    </w:p>
    <w:p w14:paraId="7FC50B83">
      <w:pPr>
        <w:spacing w:line="440" w:lineRule="exact"/>
        <w:ind w:firstLine="420" w:firstLineChars="200"/>
        <w:rPr>
          <w:rFonts w:ascii="宋体" w:hAnsi="宋体" w:cs="宋体"/>
          <w:highlight w:val="none"/>
        </w:rPr>
      </w:pPr>
      <w:r>
        <w:rPr>
          <w:rFonts w:ascii="宋体" w:hAnsi="宋体" w:cs="宋体"/>
          <w:highlight w:val="none"/>
        </w:rPr>
        <w:t>4</w:t>
      </w:r>
      <w:r>
        <w:rPr>
          <w:rFonts w:hint="eastAsia" w:ascii="宋体" w:hAnsi="宋体" w:cs="宋体"/>
          <w:highlight w:val="none"/>
        </w:rPr>
        <w:t>.乙方运输车驾驶员、叉车工、起重工等特种作业人员坚持谨慎、安全驾驶或操作要求，杜绝一切安全事故发生，否则又乙方承担全部责任。若甲方受其影响，造成经济或信誉损失，乙方应予以补偿。</w:t>
      </w:r>
    </w:p>
    <w:p w14:paraId="4D3372D7">
      <w:pPr>
        <w:spacing w:line="440" w:lineRule="exact"/>
        <w:ind w:firstLine="420" w:firstLineChars="200"/>
        <w:rPr>
          <w:rFonts w:ascii="宋体" w:hAnsi="宋体" w:cs="宋体"/>
          <w:highlight w:val="none"/>
        </w:rPr>
      </w:pPr>
      <w:r>
        <w:rPr>
          <w:rFonts w:ascii="宋体" w:hAnsi="宋体" w:cs="宋体"/>
          <w:highlight w:val="none"/>
        </w:rPr>
        <w:t>5</w:t>
      </w:r>
      <w:r>
        <w:rPr>
          <w:rFonts w:hint="eastAsia" w:ascii="宋体" w:hAnsi="宋体" w:cs="宋体"/>
          <w:highlight w:val="none"/>
        </w:rPr>
        <w:t>.乙方做好飞灰固化处置的厂内、运输途中、处置厂的装卸车、填埋等环节的污染管控，不得出现飞灰及固化物的撒漏、废水外溢等环境污染事件，否则乙方承担全部责任。若甲方受其影响，造成经济或信誉损失，乙方应予以补偿。</w:t>
      </w:r>
    </w:p>
    <w:p w14:paraId="0FA16539">
      <w:pPr>
        <w:spacing w:line="440" w:lineRule="exact"/>
        <w:ind w:firstLine="420" w:firstLineChars="200"/>
        <w:rPr>
          <w:rFonts w:ascii="宋体" w:hAnsi="宋体" w:cs="宋体"/>
          <w:highlight w:val="none"/>
        </w:rPr>
      </w:pPr>
      <w:r>
        <w:rPr>
          <w:rFonts w:ascii="宋体" w:hAnsi="宋体" w:cs="宋体"/>
          <w:highlight w:val="none"/>
        </w:rPr>
        <w:t>6</w:t>
      </w:r>
      <w:r>
        <w:rPr>
          <w:rFonts w:hint="eastAsia" w:ascii="宋体" w:hAnsi="宋体" w:cs="宋体"/>
          <w:highlight w:val="none"/>
        </w:rPr>
        <w:t>.乙方在生产过程中，除了抓好员工日常安全环保教育培训之外，每班还必须认真开展班前班后会，确保乙方全体员工熟悉作业全过程存在的各项安全环保风险因素及防护措施。</w:t>
      </w:r>
    </w:p>
    <w:p w14:paraId="3E26D5E2">
      <w:pPr>
        <w:spacing w:line="440" w:lineRule="exact"/>
        <w:ind w:firstLine="420" w:firstLineChars="200"/>
        <w:rPr>
          <w:rFonts w:ascii="宋体" w:hAnsi="宋体" w:cs="宋体"/>
          <w:highlight w:val="none"/>
        </w:rPr>
      </w:pPr>
      <w:r>
        <w:rPr>
          <w:rFonts w:ascii="宋体" w:hAnsi="宋体" w:cs="宋体"/>
          <w:highlight w:val="none"/>
        </w:rPr>
        <w:t>7</w:t>
      </w:r>
      <w:r>
        <w:rPr>
          <w:rFonts w:hint="eastAsia" w:ascii="宋体" w:hAnsi="宋体" w:cs="宋体"/>
          <w:highlight w:val="none"/>
        </w:rPr>
        <w:t>.乙方必须扎实开展</w:t>
      </w:r>
      <w:r>
        <w:rPr>
          <w:rFonts w:hint="eastAsia"/>
          <w:highlight w:val="none"/>
        </w:rPr>
        <w:t>“</w:t>
      </w:r>
      <w:r>
        <w:rPr>
          <w:rFonts w:hint="eastAsia" w:ascii="宋体" w:hAnsi="宋体" w:cs="宋体"/>
          <w:highlight w:val="none"/>
        </w:rPr>
        <w:t>反三违</w:t>
      </w:r>
      <w:r>
        <w:rPr>
          <w:rFonts w:hint="eastAsia"/>
          <w:highlight w:val="none"/>
        </w:rPr>
        <w:t>”</w:t>
      </w:r>
      <w:r>
        <w:rPr>
          <w:rFonts w:hint="eastAsia" w:ascii="宋体" w:hAnsi="宋体" w:cs="宋体"/>
          <w:highlight w:val="none"/>
        </w:rPr>
        <w:t>等安全专项活动，不断消除生产经营过程中</w:t>
      </w:r>
      <w:r>
        <w:rPr>
          <w:rFonts w:hint="eastAsia"/>
          <w:highlight w:val="none"/>
        </w:rPr>
        <w:t>“</w:t>
      </w:r>
      <w:r>
        <w:rPr>
          <w:rFonts w:hint="eastAsia" w:ascii="宋体" w:hAnsi="宋体" w:cs="宋体"/>
          <w:highlight w:val="none"/>
        </w:rPr>
        <w:t>物的不安全状态、人的不安全行为和管理上的缺陷</w:t>
      </w:r>
      <w:r>
        <w:rPr>
          <w:rFonts w:hint="eastAsia"/>
          <w:highlight w:val="none"/>
        </w:rPr>
        <w:t>”</w:t>
      </w:r>
      <w:r>
        <w:rPr>
          <w:rFonts w:hint="eastAsia" w:ascii="宋体" w:hAnsi="宋体" w:cs="宋体"/>
          <w:highlight w:val="none"/>
        </w:rPr>
        <w:t>，杜绝</w:t>
      </w:r>
      <w:r>
        <w:rPr>
          <w:rFonts w:hint="eastAsia"/>
          <w:highlight w:val="none"/>
          <w:lang w:eastAsia="zh-CN"/>
        </w:rPr>
        <w:t>“</w:t>
      </w:r>
      <w:r>
        <w:rPr>
          <w:rFonts w:hint="eastAsia" w:ascii="宋体" w:hAnsi="宋体" w:cs="宋体"/>
          <w:highlight w:val="none"/>
        </w:rPr>
        <w:t>三违</w:t>
      </w:r>
      <w:r>
        <w:rPr>
          <w:rFonts w:hint="eastAsia"/>
          <w:highlight w:val="none"/>
          <w:lang w:eastAsia="zh-CN"/>
        </w:rPr>
        <w:t>”</w:t>
      </w:r>
      <w:r>
        <w:rPr>
          <w:rFonts w:hint="eastAsia" w:ascii="宋体" w:hAnsi="宋体" w:cs="宋体"/>
          <w:highlight w:val="none"/>
        </w:rPr>
        <w:t>发生，杜绝触电、火灾、机械伤害、职业健康伤害、环境污染等不安全事件发生。</w:t>
      </w:r>
    </w:p>
    <w:p w14:paraId="3BBEFE30">
      <w:pPr>
        <w:spacing w:line="440" w:lineRule="exact"/>
        <w:ind w:firstLine="420" w:firstLineChars="200"/>
        <w:rPr>
          <w:rFonts w:ascii="宋体" w:hAnsi="宋体" w:cs="宋体"/>
          <w:highlight w:val="none"/>
        </w:rPr>
      </w:pPr>
      <w:r>
        <w:rPr>
          <w:rFonts w:hint="eastAsia" w:ascii="宋体" w:hAnsi="宋体" w:cs="宋体"/>
          <w:highlight w:val="none"/>
        </w:rPr>
        <w:t>8.乙方已清楚并了解本合同执行中存在的各类风险及隐患，并针对各类风险及隐患做好相关保护措施，如果未落实或措施不当，发生各种不安全环保事件，由乙方承担全部责任。</w:t>
      </w:r>
    </w:p>
    <w:p w14:paraId="10D72013">
      <w:pPr>
        <w:spacing w:line="440" w:lineRule="exact"/>
        <w:ind w:firstLine="420" w:firstLineChars="200"/>
        <w:rPr>
          <w:rFonts w:eastAsiaTheme="minorEastAsia"/>
          <w:highlight w:val="none"/>
        </w:rPr>
      </w:pPr>
      <w:r>
        <w:rPr>
          <w:rFonts w:hint="eastAsia" w:ascii="宋体" w:hAnsi="宋体" w:cs="宋体"/>
          <w:highlight w:val="none"/>
        </w:rPr>
        <w:t>9.乙方作为行政相对人，必须承担本合同范围内法律责任（包括民事责任、行政责任），同时赔偿由此造成的甲方损失。</w:t>
      </w:r>
    </w:p>
    <w:p w14:paraId="2D0E7C59">
      <w:pPr>
        <w:spacing w:line="440" w:lineRule="exact"/>
        <w:ind w:firstLine="422" w:firstLineChars="200"/>
        <w:contextualSpacing/>
        <w:rPr>
          <w:rFonts w:cs="宋体" w:asciiTheme="minorEastAsia" w:hAnsiTheme="minorEastAsia"/>
          <w:b/>
          <w:highlight w:val="none"/>
        </w:rPr>
      </w:pPr>
      <w:r>
        <w:rPr>
          <w:rFonts w:hint="eastAsia" w:cs="宋体" w:asciiTheme="minorEastAsia" w:hAnsiTheme="minorEastAsia"/>
          <w:b/>
          <w:highlight w:val="none"/>
        </w:rPr>
        <w:t>四、安全环保风险抵押金</w:t>
      </w:r>
    </w:p>
    <w:p w14:paraId="1947DC93">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1.乙方应在开工</w:t>
      </w:r>
      <w:r>
        <w:rPr>
          <w:rFonts w:cs="宋体" w:asciiTheme="minorEastAsia" w:hAnsiTheme="minorEastAsia"/>
          <w:highlight w:val="none"/>
        </w:rPr>
        <w:t>前将安全环保风险抵押金缴纳</w:t>
      </w:r>
      <w:r>
        <w:rPr>
          <w:rFonts w:hint="eastAsia" w:cs="宋体" w:asciiTheme="minorEastAsia" w:hAnsiTheme="minorEastAsia"/>
          <w:highlight w:val="none"/>
        </w:rPr>
        <w:t>（</w:t>
      </w:r>
      <w:r>
        <w:rPr>
          <w:rFonts w:cs="宋体" w:asciiTheme="minorEastAsia" w:hAnsiTheme="minorEastAsia"/>
          <w:highlight w:val="none"/>
        </w:rPr>
        <w:t>以</w:t>
      </w:r>
      <w:r>
        <w:rPr>
          <w:rFonts w:hint="eastAsia" w:cs="宋体" w:asciiTheme="minorEastAsia" w:hAnsiTheme="minorEastAsia"/>
          <w:highlight w:val="none"/>
        </w:rPr>
        <w:t>银行</w:t>
      </w:r>
      <w:r>
        <w:rPr>
          <w:rFonts w:cs="宋体" w:asciiTheme="minorEastAsia" w:hAnsiTheme="minorEastAsia"/>
          <w:highlight w:val="none"/>
        </w:rPr>
        <w:t>转账</w:t>
      </w:r>
      <w:r>
        <w:rPr>
          <w:rFonts w:hint="eastAsia" w:cs="宋体" w:asciiTheme="minorEastAsia" w:hAnsiTheme="minorEastAsia"/>
          <w:highlight w:val="none"/>
        </w:rPr>
        <w:t>方式，银行转账时备注“</w:t>
      </w:r>
      <w:r>
        <w:rPr>
          <w:rFonts w:hint="eastAsia" w:ascii="宋体" w:hAnsi="宋体" w:cs="宋体"/>
          <w:highlight w:val="none"/>
        </w:rPr>
        <w:t>飞灰转移项目</w:t>
      </w:r>
      <w:r>
        <w:rPr>
          <w:rFonts w:hint="eastAsia" w:cs="宋体" w:asciiTheme="minorEastAsia" w:hAnsiTheme="minorEastAsia"/>
          <w:highlight w:val="none"/>
        </w:rPr>
        <w:t>安全</w:t>
      </w:r>
      <w:r>
        <w:rPr>
          <w:rFonts w:cs="宋体" w:asciiTheme="minorEastAsia" w:hAnsiTheme="minorEastAsia"/>
          <w:highlight w:val="none"/>
        </w:rPr>
        <w:t>环保风险</w:t>
      </w:r>
      <w:r>
        <w:rPr>
          <w:rFonts w:hint="eastAsia" w:cs="宋体" w:asciiTheme="minorEastAsia" w:hAnsiTheme="minorEastAsia"/>
          <w:highlight w:val="none"/>
        </w:rPr>
        <w:t>抵押</w:t>
      </w:r>
      <w:r>
        <w:rPr>
          <w:rFonts w:cs="宋体" w:asciiTheme="minorEastAsia" w:hAnsiTheme="minorEastAsia"/>
          <w:highlight w:val="none"/>
        </w:rPr>
        <w:t>金”）到甲方</w:t>
      </w:r>
      <w:r>
        <w:rPr>
          <w:rFonts w:hint="eastAsia" w:cs="宋体" w:asciiTheme="minorEastAsia" w:hAnsiTheme="minorEastAsia"/>
          <w:highlight w:val="none"/>
        </w:rPr>
        <w:t>银行账户</w:t>
      </w:r>
      <w:r>
        <w:rPr>
          <w:rFonts w:cs="宋体" w:asciiTheme="minorEastAsia" w:hAnsiTheme="minorEastAsia"/>
          <w:highlight w:val="none"/>
        </w:rPr>
        <w:t>；</w:t>
      </w:r>
      <w:r>
        <w:rPr>
          <w:rFonts w:hint="eastAsia" w:cs="宋体" w:asciiTheme="minorEastAsia" w:hAnsiTheme="minorEastAsia"/>
          <w:highlight w:val="none"/>
        </w:rPr>
        <w:t>未缴</w:t>
      </w:r>
      <w:r>
        <w:rPr>
          <w:rFonts w:cs="宋体" w:asciiTheme="minorEastAsia" w:hAnsiTheme="minorEastAsia"/>
          <w:highlight w:val="none"/>
        </w:rPr>
        <w:t>纳</w:t>
      </w:r>
      <w:r>
        <w:rPr>
          <w:rFonts w:hint="eastAsia" w:cs="宋体" w:asciiTheme="minorEastAsia" w:hAnsiTheme="minorEastAsia"/>
          <w:highlight w:val="none"/>
        </w:rPr>
        <w:t>不得进场施工作业，</w:t>
      </w:r>
      <w:r>
        <w:rPr>
          <w:rFonts w:cs="宋体" w:asciiTheme="minorEastAsia" w:hAnsiTheme="minorEastAsia"/>
          <w:highlight w:val="none"/>
        </w:rPr>
        <w:t>由此造成工期延误的责任由乙方承担。</w:t>
      </w:r>
    </w:p>
    <w:p w14:paraId="194CC950">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2.本合同安全环保风险抵押金按30000.00元（大写：叁万圆整）缴纳。</w:t>
      </w:r>
    </w:p>
    <w:p w14:paraId="149F112C">
      <w:pPr>
        <w:spacing w:line="440" w:lineRule="exact"/>
        <w:ind w:firstLine="420" w:firstLineChars="200"/>
        <w:contextualSpacing/>
        <w:rPr>
          <w:rFonts w:hAnsi="宋体" w:cs="宋体"/>
          <w:color w:val="FF0000"/>
          <w:highlight w:val="none"/>
        </w:rPr>
      </w:pPr>
      <w:r>
        <w:rPr>
          <w:rFonts w:cs="宋体" w:asciiTheme="minorEastAsia" w:hAnsiTheme="minorEastAsia"/>
          <w:highlight w:val="none"/>
        </w:rPr>
        <w:t>3</w:t>
      </w:r>
      <w:r>
        <w:rPr>
          <w:rFonts w:hint="eastAsia" w:cs="宋体" w:asciiTheme="minorEastAsia" w:hAnsiTheme="minorEastAsia"/>
          <w:highlight w:val="none"/>
        </w:rPr>
        <w:t>.</w:t>
      </w:r>
      <w:r>
        <w:rPr>
          <w:rFonts w:cs="宋体" w:asciiTheme="minorEastAsia" w:hAnsiTheme="minorEastAsia"/>
          <w:highlight w:val="none"/>
        </w:rPr>
        <w:t>如若乙方在合作过程中，按规定要求安全、文明施工，</w:t>
      </w:r>
      <w:r>
        <w:rPr>
          <w:rFonts w:hint="eastAsia" w:cs="宋体" w:asciiTheme="minorEastAsia" w:hAnsiTheme="minorEastAsia"/>
          <w:highlight w:val="none"/>
        </w:rPr>
        <w:t>未发</w:t>
      </w:r>
      <w:r>
        <w:rPr>
          <w:rFonts w:cs="宋体" w:asciiTheme="minorEastAsia" w:hAnsiTheme="minorEastAsia"/>
          <w:highlight w:val="none"/>
        </w:rPr>
        <w:t>生安全环保事故且未被甲方通报考核</w:t>
      </w:r>
      <w:r>
        <w:rPr>
          <w:rFonts w:hint="eastAsia" w:cs="宋体" w:asciiTheme="minorEastAsia" w:hAnsiTheme="minorEastAsia"/>
          <w:highlight w:val="none"/>
        </w:rPr>
        <w:t>（</w:t>
      </w:r>
      <w:r>
        <w:rPr>
          <w:rFonts w:cs="宋体" w:asciiTheme="minorEastAsia" w:hAnsiTheme="minorEastAsia"/>
          <w:highlight w:val="none"/>
        </w:rPr>
        <w:t>或处罚</w:t>
      </w:r>
      <w:r>
        <w:rPr>
          <w:rFonts w:hint="eastAsia" w:cs="宋体" w:asciiTheme="minorEastAsia" w:hAnsiTheme="minorEastAsia"/>
          <w:highlight w:val="none"/>
        </w:rPr>
        <w:t>款</w:t>
      </w:r>
      <w:r>
        <w:rPr>
          <w:rFonts w:cs="宋体" w:asciiTheme="minorEastAsia" w:hAnsiTheme="minorEastAsia"/>
          <w:highlight w:val="none"/>
        </w:rPr>
        <w:t>已</w:t>
      </w:r>
      <w:r>
        <w:rPr>
          <w:rFonts w:hint="eastAsia" w:cs="宋体" w:asciiTheme="minorEastAsia" w:hAnsiTheme="minorEastAsia"/>
          <w:highlight w:val="none"/>
        </w:rPr>
        <w:t>缴清</w:t>
      </w:r>
      <w:r>
        <w:rPr>
          <w:rFonts w:cs="宋体" w:asciiTheme="minorEastAsia" w:hAnsiTheme="minorEastAsia"/>
          <w:highlight w:val="none"/>
        </w:rPr>
        <w:t>），</w:t>
      </w:r>
      <w:r>
        <w:rPr>
          <w:rFonts w:hint="eastAsia" w:ascii="宋体" w:hAnsi="宋体" w:cs="宋体"/>
          <w:highlight w:val="none"/>
        </w:rPr>
        <w:t>合同期满</w:t>
      </w:r>
      <w:r>
        <w:rPr>
          <w:rFonts w:hint="eastAsia" w:cs="宋体" w:asciiTheme="minorEastAsia" w:hAnsiTheme="minorEastAsia"/>
          <w:highlight w:val="none"/>
        </w:rPr>
        <w:t>后，</w:t>
      </w:r>
      <w:r>
        <w:rPr>
          <w:rFonts w:hint="eastAsia" w:ascii="宋体" w:hAnsi="宋体" w:cs="宋体"/>
          <w:highlight w:val="none"/>
        </w:rPr>
        <w:t>经乙方申请，</w:t>
      </w:r>
      <w:r>
        <w:rPr>
          <w:rFonts w:hint="eastAsia" w:cs="宋体" w:asciiTheme="minorEastAsia" w:hAnsiTheme="minorEastAsia"/>
          <w:highlight w:val="none"/>
        </w:rPr>
        <w:t>甲方将</w:t>
      </w:r>
      <w:r>
        <w:rPr>
          <w:rFonts w:cs="宋体" w:asciiTheme="minorEastAsia" w:hAnsiTheme="minorEastAsia"/>
          <w:highlight w:val="none"/>
        </w:rPr>
        <w:t>安全环保风险抵押金</w:t>
      </w:r>
      <w:r>
        <w:rPr>
          <w:rFonts w:hint="eastAsia" w:cs="宋体" w:asciiTheme="minorEastAsia" w:hAnsiTheme="minorEastAsia"/>
          <w:highlight w:val="none"/>
        </w:rPr>
        <w:t>无息退回（</w:t>
      </w:r>
      <w:r>
        <w:rPr>
          <w:rFonts w:cs="宋体" w:asciiTheme="minorEastAsia" w:hAnsiTheme="minorEastAsia"/>
          <w:highlight w:val="none"/>
        </w:rPr>
        <w:t>以</w:t>
      </w:r>
      <w:r>
        <w:rPr>
          <w:rFonts w:hint="eastAsia" w:cs="宋体" w:asciiTheme="minorEastAsia" w:hAnsiTheme="minorEastAsia"/>
          <w:highlight w:val="none"/>
        </w:rPr>
        <w:t>银行</w:t>
      </w:r>
      <w:r>
        <w:rPr>
          <w:rFonts w:cs="宋体" w:asciiTheme="minorEastAsia" w:hAnsiTheme="minorEastAsia"/>
          <w:highlight w:val="none"/>
        </w:rPr>
        <w:t>转账</w:t>
      </w:r>
      <w:r>
        <w:rPr>
          <w:rFonts w:hint="eastAsia" w:cs="宋体" w:asciiTheme="minorEastAsia" w:hAnsiTheme="minorEastAsia"/>
          <w:highlight w:val="none"/>
        </w:rPr>
        <w:t>方式</w:t>
      </w:r>
      <w:r>
        <w:rPr>
          <w:rFonts w:cs="宋体" w:asciiTheme="minorEastAsia" w:hAnsiTheme="minorEastAsia"/>
          <w:highlight w:val="none"/>
        </w:rPr>
        <w:t>）</w:t>
      </w:r>
      <w:r>
        <w:rPr>
          <w:rFonts w:hint="eastAsia" w:cs="宋体" w:asciiTheme="minorEastAsia" w:hAnsiTheme="minorEastAsia"/>
          <w:highlight w:val="none"/>
        </w:rPr>
        <w:t>乙方。</w:t>
      </w:r>
      <w:r>
        <w:rPr>
          <w:rFonts w:cs="宋体" w:asciiTheme="minorEastAsia" w:hAnsiTheme="minorEastAsia"/>
          <w:highlight w:val="none"/>
        </w:rPr>
        <w:t>如若乙方</w:t>
      </w:r>
      <w:r>
        <w:rPr>
          <w:rFonts w:hint="eastAsia" w:cs="宋体" w:asciiTheme="minorEastAsia" w:hAnsiTheme="minorEastAsia"/>
          <w:highlight w:val="none"/>
        </w:rPr>
        <w:t>在</w:t>
      </w:r>
      <w:r>
        <w:rPr>
          <w:rFonts w:hint="eastAsia" w:ascii="宋体" w:hAnsi="宋体" w:cs="宋体"/>
          <w:highlight w:val="none"/>
        </w:rPr>
        <w:t>履约</w:t>
      </w:r>
      <w:r>
        <w:rPr>
          <w:rFonts w:cs="宋体" w:asciiTheme="minorEastAsia" w:hAnsiTheme="minorEastAsia"/>
          <w:highlight w:val="none"/>
        </w:rPr>
        <w:t>过程中，管理不到位，不按要求</w:t>
      </w:r>
      <w:r>
        <w:rPr>
          <w:rFonts w:hint="eastAsia" w:ascii="宋体" w:hAnsi="宋体" w:cs="宋体"/>
          <w:highlight w:val="none"/>
        </w:rPr>
        <w:t>作业</w:t>
      </w:r>
      <w:r>
        <w:rPr>
          <w:rFonts w:cs="宋体" w:asciiTheme="minorEastAsia" w:hAnsiTheme="minorEastAsia"/>
          <w:highlight w:val="none"/>
        </w:rPr>
        <w:t>，发生三违行为</w:t>
      </w:r>
      <w:r>
        <w:rPr>
          <w:rFonts w:hint="eastAsia" w:cs="宋体" w:asciiTheme="minorEastAsia" w:hAnsiTheme="minorEastAsia"/>
          <w:highlight w:val="none"/>
        </w:rPr>
        <w:t>，或违反本协议约定，</w:t>
      </w:r>
      <w:r>
        <w:rPr>
          <w:rFonts w:cs="宋体" w:asciiTheme="minorEastAsia" w:hAnsiTheme="minorEastAsia"/>
          <w:highlight w:val="none"/>
        </w:rPr>
        <w:t>甚至发生安全</w:t>
      </w:r>
      <w:r>
        <w:rPr>
          <w:rFonts w:hint="eastAsia" w:cs="宋体" w:asciiTheme="minorEastAsia" w:hAnsiTheme="minorEastAsia"/>
          <w:highlight w:val="none"/>
        </w:rPr>
        <w:t>环保</w:t>
      </w:r>
      <w:r>
        <w:rPr>
          <w:rFonts w:cs="宋体" w:asciiTheme="minorEastAsia" w:hAnsiTheme="minorEastAsia"/>
          <w:highlight w:val="none"/>
        </w:rPr>
        <w:t>事故，则</w:t>
      </w:r>
      <w:r>
        <w:rPr>
          <w:rFonts w:hint="eastAsia" w:cs="宋体" w:asciiTheme="minorEastAsia" w:hAnsiTheme="minorEastAsia"/>
          <w:highlight w:val="none"/>
        </w:rPr>
        <w:t>甲方</w:t>
      </w:r>
      <w:r>
        <w:rPr>
          <w:rFonts w:cs="宋体" w:asciiTheme="minorEastAsia" w:hAnsiTheme="minorEastAsia"/>
          <w:highlight w:val="none"/>
        </w:rPr>
        <w:t>有权没收全部或部分安全环保风险抵押金，</w:t>
      </w:r>
      <w:r>
        <w:rPr>
          <w:rFonts w:hint="eastAsia" w:cs="宋体" w:asciiTheme="minorEastAsia" w:hAnsiTheme="minorEastAsia"/>
          <w:highlight w:val="none"/>
        </w:rPr>
        <w:t>并追究乙方的违约责任，</w:t>
      </w:r>
      <w:r>
        <w:rPr>
          <w:rFonts w:cs="宋体" w:asciiTheme="minorEastAsia" w:hAnsiTheme="minorEastAsia"/>
          <w:highlight w:val="none"/>
        </w:rPr>
        <w:t>若</w:t>
      </w:r>
      <w:r>
        <w:rPr>
          <w:rFonts w:hint="eastAsia" w:cs="宋体" w:asciiTheme="minorEastAsia" w:hAnsiTheme="minorEastAsia"/>
          <w:highlight w:val="none"/>
        </w:rPr>
        <w:t>主</w:t>
      </w:r>
      <w:r>
        <w:rPr>
          <w:rFonts w:cs="宋体" w:asciiTheme="minorEastAsia" w:hAnsiTheme="minorEastAsia"/>
          <w:highlight w:val="none"/>
        </w:rPr>
        <w:t>合同未到期，则乙方需无条件继续</w:t>
      </w:r>
      <w:r>
        <w:rPr>
          <w:rFonts w:hint="eastAsia" w:cs="宋体" w:asciiTheme="minorEastAsia" w:hAnsiTheme="minorEastAsia"/>
          <w:highlight w:val="none"/>
        </w:rPr>
        <w:t>补</w:t>
      </w:r>
      <w:r>
        <w:rPr>
          <w:rFonts w:cs="宋体" w:asciiTheme="minorEastAsia" w:hAnsiTheme="minorEastAsia"/>
          <w:highlight w:val="none"/>
        </w:rPr>
        <w:t>足安全环保风险抵押金</w:t>
      </w:r>
      <w:r>
        <w:rPr>
          <w:rFonts w:hint="eastAsia" w:cs="宋体" w:asciiTheme="minorEastAsia" w:hAnsiTheme="minorEastAsia"/>
          <w:highlight w:val="none"/>
        </w:rPr>
        <w:t>，</w:t>
      </w:r>
      <w:r>
        <w:rPr>
          <w:rFonts w:hint="eastAsia" w:hAnsi="宋体" w:cs="宋体"/>
          <w:highlight w:val="none"/>
        </w:rPr>
        <w:t>如未补缴，则甲方有权从乙方合同结算金额中扣除。</w:t>
      </w:r>
    </w:p>
    <w:p w14:paraId="7FBA4422">
      <w:pPr>
        <w:spacing w:line="440" w:lineRule="exact"/>
        <w:ind w:firstLine="422" w:firstLineChars="200"/>
        <w:contextualSpacing/>
        <w:rPr>
          <w:rFonts w:cs="宋体" w:asciiTheme="minorEastAsia" w:hAnsiTheme="minorEastAsia"/>
          <w:b/>
          <w:highlight w:val="none"/>
        </w:rPr>
      </w:pPr>
      <w:r>
        <w:rPr>
          <w:rFonts w:hint="eastAsia" w:cs="宋体" w:asciiTheme="minorEastAsia" w:hAnsiTheme="minorEastAsia"/>
          <w:b/>
          <w:highlight w:val="none"/>
        </w:rPr>
        <w:t>五、违约责任</w:t>
      </w:r>
    </w:p>
    <w:p w14:paraId="2056729F">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1.乙方作为独立法人和本协议的相对人，承担以下原因导致法律责任及经济赔偿责任（包括人身伤害、经济赔偿、甲方损失等）及甲方因遭受行政处罚而遭受的损失等：</w:t>
      </w:r>
    </w:p>
    <w:p w14:paraId="3F9EFD9F">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（1）由于乙方或乙方的分包方原因造成直接安全生产、环境污染、职业危害事故或事件；</w:t>
      </w:r>
    </w:p>
    <w:p w14:paraId="10C73B62">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（2）由于乙方工作中管理不当或不到位，对第三方造成的相关伤害事件或安全事故。</w:t>
      </w:r>
    </w:p>
    <w:p w14:paraId="6A5EC35D">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2.乙方违反本协议第二条款约定的相关安全环保责任，或违反本协议约定，甲方可视乙方没有履约或履约不当，甲方有权要求解除主合同和本协议，追究乙方的违约责任，或向乙方下达整改通知书要求其立即或限期整改，并对乙方没有履行整改要求的具体情况和结果采取相应的管理和经济手段进行惩戒，以促使改进安全环保工作。</w:t>
      </w:r>
    </w:p>
    <w:p w14:paraId="44914548">
      <w:pPr>
        <w:spacing w:line="440" w:lineRule="exact"/>
        <w:ind w:firstLine="420" w:firstLineChars="200"/>
        <w:contextualSpacing/>
        <w:rPr>
          <w:rFonts w:cs="宋体" w:asciiTheme="minorEastAsia" w:hAnsiTheme="minorEastAsia"/>
          <w:highlight w:val="none"/>
        </w:rPr>
      </w:pPr>
      <w:r>
        <w:rPr>
          <w:rFonts w:cs="宋体" w:asciiTheme="minorEastAsia" w:hAnsiTheme="minorEastAsia"/>
          <w:highlight w:val="none"/>
        </w:rPr>
        <w:t>3</w:t>
      </w:r>
      <w:r>
        <w:rPr>
          <w:rFonts w:hint="eastAsia" w:cs="宋体" w:asciiTheme="minorEastAsia" w:hAnsiTheme="minorEastAsia"/>
          <w:highlight w:val="none"/>
        </w:rPr>
        <w:t>.</w:t>
      </w:r>
      <w:r>
        <w:rPr>
          <w:rFonts w:cs="宋体" w:asciiTheme="minorEastAsia" w:hAnsiTheme="minorEastAsia"/>
          <w:highlight w:val="none"/>
        </w:rPr>
        <w:t>乙方违反国家或地方的相关安全环保法律法规或者甲方的相关安全环保制度，甲方进行取证后将出具一式三联的处罚单据，甲方</w:t>
      </w:r>
      <w:r>
        <w:rPr>
          <w:rFonts w:hint="eastAsia" w:cs="宋体" w:asciiTheme="minorEastAsia" w:hAnsiTheme="minorEastAsia"/>
          <w:highlight w:val="none"/>
        </w:rPr>
        <w:t>对应管理</w:t>
      </w:r>
      <w:r>
        <w:rPr>
          <w:rFonts w:cs="宋体" w:asciiTheme="minorEastAsia" w:hAnsiTheme="minorEastAsia"/>
          <w:highlight w:val="none"/>
        </w:rPr>
        <w:t>部门留存一份，甲方财务部留存一份，交乙方一份，处罚金额</w:t>
      </w:r>
      <w:r>
        <w:rPr>
          <w:rFonts w:hint="eastAsia" w:cs="宋体" w:asciiTheme="minorEastAsia" w:hAnsiTheme="minorEastAsia"/>
          <w:highlight w:val="none"/>
        </w:rPr>
        <w:t>由乙方以</w:t>
      </w:r>
      <w:r>
        <w:rPr>
          <w:rFonts w:cs="宋体" w:asciiTheme="minorEastAsia" w:hAnsiTheme="minorEastAsia"/>
          <w:highlight w:val="none"/>
        </w:rPr>
        <w:t>现金</w:t>
      </w:r>
      <w:r>
        <w:rPr>
          <w:rFonts w:hint="eastAsia" w:cs="宋体" w:asciiTheme="minorEastAsia" w:hAnsiTheme="minorEastAsia"/>
          <w:highlight w:val="none"/>
        </w:rPr>
        <w:t>（</w:t>
      </w:r>
      <w:r>
        <w:rPr>
          <w:rFonts w:cs="宋体" w:asciiTheme="minorEastAsia" w:hAnsiTheme="minorEastAsia"/>
          <w:highlight w:val="none"/>
        </w:rPr>
        <w:t>或银行转账</w:t>
      </w:r>
      <w:r>
        <w:rPr>
          <w:rFonts w:hint="eastAsia" w:cs="宋体" w:asciiTheme="minorEastAsia" w:hAnsiTheme="minorEastAsia"/>
          <w:highlight w:val="none"/>
        </w:rPr>
        <w:t>方式</w:t>
      </w:r>
      <w:r>
        <w:rPr>
          <w:rFonts w:cs="宋体" w:asciiTheme="minorEastAsia" w:hAnsiTheme="minorEastAsia"/>
          <w:highlight w:val="none"/>
        </w:rPr>
        <w:t>）缴纳或</w:t>
      </w:r>
      <w:r>
        <w:rPr>
          <w:rFonts w:hint="eastAsia" w:cs="宋体" w:asciiTheme="minorEastAsia" w:hAnsiTheme="minorEastAsia"/>
          <w:highlight w:val="none"/>
        </w:rPr>
        <w:t>在结算</w:t>
      </w:r>
      <w:r>
        <w:rPr>
          <w:rFonts w:cs="宋体" w:asciiTheme="minorEastAsia" w:hAnsiTheme="minorEastAsia"/>
          <w:highlight w:val="none"/>
        </w:rPr>
        <w:t>后</w:t>
      </w:r>
      <w:r>
        <w:rPr>
          <w:rFonts w:hint="eastAsia" w:cs="宋体" w:asciiTheme="minorEastAsia" w:hAnsiTheme="minorEastAsia"/>
          <w:highlight w:val="none"/>
        </w:rPr>
        <w:t>的工</w:t>
      </w:r>
      <w:r>
        <w:rPr>
          <w:rFonts w:cs="宋体" w:asciiTheme="minorEastAsia" w:hAnsiTheme="minorEastAsia"/>
          <w:highlight w:val="none"/>
        </w:rPr>
        <w:t>程款支付时扣除。</w:t>
      </w:r>
    </w:p>
    <w:p w14:paraId="35AD85A6">
      <w:pPr>
        <w:spacing w:line="440" w:lineRule="exact"/>
        <w:ind w:firstLine="422" w:firstLineChars="200"/>
        <w:contextualSpacing/>
        <w:rPr>
          <w:rFonts w:cs="宋体" w:asciiTheme="minorEastAsia" w:hAnsiTheme="minorEastAsia"/>
          <w:b/>
          <w:highlight w:val="none"/>
        </w:rPr>
      </w:pPr>
      <w:r>
        <w:rPr>
          <w:rFonts w:hint="eastAsia" w:cs="宋体" w:asciiTheme="minorEastAsia" w:hAnsiTheme="minorEastAsia"/>
          <w:b/>
          <w:highlight w:val="none"/>
        </w:rPr>
        <w:t>六、其他约定事项</w:t>
      </w:r>
    </w:p>
    <w:p w14:paraId="20650FC9">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1.本协议自双方签字盖章之日起生效，甲、乙双方对本协议产生异议，可协商解决，如协商不能解决，应向甲方所在地法院诉讼解决。</w:t>
      </w:r>
    </w:p>
    <w:p w14:paraId="34DAC286">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2.本协议的执行情况，由甲方对应管理部门负责监督检查，并行使相关权力。</w:t>
      </w:r>
    </w:p>
    <w:p w14:paraId="51C67171">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3.本协议作为主合同的补充协议，与主合同具有同等法律效力，如主协议部分相关条款无效，本协议仍有效。</w:t>
      </w:r>
    </w:p>
    <w:p w14:paraId="1B5DDF9E">
      <w:pPr>
        <w:spacing w:line="440" w:lineRule="exact"/>
        <w:ind w:firstLine="420" w:firstLineChars="200"/>
        <w:contextualSpacing/>
        <w:rPr>
          <w:rFonts w:cs="宋体" w:asciiTheme="minorEastAsia" w:hAnsiTheme="minorEastAsia"/>
          <w:highlight w:val="none"/>
        </w:rPr>
      </w:pPr>
    </w:p>
    <w:p w14:paraId="469D60B6">
      <w:pPr>
        <w:spacing w:line="440" w:lineRule="exact"/>
        <w:ind w:firstLine="420" w:firstLineChars="200"/>
        <w:contextualSpacing/>
        <w:rPr>
          <w:rFonts w:cs="宋体" w:asciiTheme="minorEastAsia" w:hAnsiTheme="minorEastAsia"/>
          <w:highlight w:val="none"/>
        </w:rPr>
      </w:pPr>
    </w:p>
    <w:p w14:paraId="3E674970">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 xml:space="preserve">甲方（盖章）：                                     乙方（盖章）： </w:t>
      </w:r>
    </w:p>
    <w:p w14:paraId="381B1266">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甲方负责人签字：                                  乙方负责人签字：</w:t>
      </w:r>
    </w:p>
    <w:p w14:paraId="31392FEF">
      <w:pPr>
        <w:spacing w:line="440" w:lineRule="exact"/>
        <w:ind w:firstLine="420" w:firstLineChars="200"/>
        <w:rPr>
          <w:rFonts w:hint="eastAsia" w:cs="宋体" w:asciiTheme="minorEastAsia" w:hAnsiTheme="minorEastAsia"/>
          <w:highlight w:val="none"/>
        </w:rPr>
      </w:pPr>
      <w:r>
        <w:rPr>
          <w:rFonts w:hint="eastAsia" w:cs="宋体" w:asciiTheme="minorEastAsia" w:hAnsiTheme="minorEastAsia"/>
          <w:highlight w:val="none"/>
        </w:rPr>
        <w:t xml:space="preserve">    年   月    日                                      年    月    日</w:t>
      </w:r>
    </w:p>
    <w:p w14:paraId="5CCA76CF">
      <w:pPr>
        <w:rPr>
          <w:rFonts w:hint="eastAsia" w:cs="宋体" w:asciiTheme="minorEastAsia" w:hAnsiTheme="minorEastAsia"/>
          <w:highlight w:val="none"/>
        </w:rPr>
      </w:pPr>
      <w:r>
        <w:rPr>
          <w:rFonts w:hint="eastAsia" w:cs="宋体" w:asciiTheme="minorEastAsia" w:hAnsiTheme="minorEastAsia"/>
          <w:highlight w:val="none"/>
        </w:rPr>
        <w:br w:type="page"/>
      </w:r>
    </w:p>
    <w:p w14:paraId="2419DFA3">
      <w:pPr>
        <w:spacing w:line="360" w:lineRule="auto"/>
        <w:rPr>
          <w:highlight w:val="none"/>
        </w:rPr>
      </w:pPr>
      <w:r>
        <w:rPr>
          <w:rFonts w:hint="eastAsia"/>
          <w:highlight w:val="none"/>
        </w:rPr>
        <w:t>附件2.</w:t>
      </w:r>
    </w:p>
    <w:p w14:paraId="594187FD">
      <w:pPr>
        <w:spacing w:after="156" w:afterLines="50" w:line="360" w:lineRule="auto"/>
        <w:ind w:right="210" w:rightChars="100" w:firstLine="251" w:firstLineChars="78"/>
        <w:jc w:val="center"/>
        <w:rPr>
          <w:rFonts w:ascii="宋体" w:hAnsi="宋体" w:cs="宋体"/>
          <w:b/>
          <w:sz w:val="36"/>
          <w:szCs w:val="36"/>
          <w:highlight w:val="none"/>
        </w:rPr>
      </w:pPr>
      <w:r>
        <w:rPr>
          <w:rFonts w:hint="eastAsia" w:ascii="宋体" w:hAnsi="宋体" w:cs="宋体"/>
          <w:b/>
          <w:sz w:val="32"/>
          <w:szCs w:val="32"/>
          <w:highlight w:val="none"/>
        </w:rPr>
        <w:t>廉 洁 协 议</w:t>
      </w:r>
    </w:p>
    <w:p w14:paraId="71CD70AB">
      <w:pPr>
        <w:spacing w:line="400" w:lineRule="exact"/>
        <w:ind w:firstLine="420" w:firstLineChars="200"/>
        <w:rPr>
          <w:rFonts w:ascii="宋体" w:hAnsi="宋体" w:cs="宋体"/>
          <w:bCs/>
          <w:highlight w:val="none"/>
        </w:rPr>
      </w:pPr>
      <w:r>
        <w:rPr>
          <w:rFonts w:hint="eastAsia" w:ascii="宋体" w:hAnsi="宋体" w:cs="宋体"/>
          <w:bCs/>
          <w:highlight w:val="none"/>
        </w:rPr>
        <w:t xml:space="preserve">甲方： </w:t>
      </w:r>
    </w:p>
    <w:p w14:paraId="01E6C29C">
      <w:pPr>
        <w:spacing w:line="400" w:lineRule="exact"/>
        <w:ind w:firstLine="420" w:firstLineChars="200"/>
        <w:rPr>
          <w:rFonts w:ascii="宋体" w:hAnsi="宋体" w:cs="宋体"/>
          <w:highlight w:val="none"/>
        </w:rPr>
      </w:pPr>
      <w:r>
        <w:rPr>
          <w:rFonts w:hint="eastAsia" w:ascii="宋体" w:hAnsi="宋体" w:cs="宋体"/>
          <w:bCs/>
          <w:highlight w:val="none"/>
        </w:rPr>
        <w:t>乙方：</w:t>
      </w:r>
      <w:r>
        <w:rPr>
          <w:rFonts w:hint="eastAsia" w:ascii="宋体" w:hAnsi="宋体" w:cs="宋体"/>
          <w:highlight w:val="none"/>
        </w:rPr>
        <w:t xml:space="preserve"> </w:t>
      </w:r>
    </w:p>
    <w:p w14:paraId="7F24ACF6">
      <w:pPr>
        <w:spacing w:line="400" w:lineRule="exact"/>
        <w:ind w:firstLine="420" w:firstLineChars="200"/>
        <w:rPr>
          <w:rFonts w:ascii="宋体" w:hAnsi="宋体" w:cs="宋体"/>
          <w:highlight w:val="none"/>
        </w:rPr>
      </w:pPr>
      <w:r>
        <w:rPr>
          <w:rFonts w:hint="eastAsia" w:ascii="宋体" w:hAnsi="宋体" w:cs="宋体"/>
          <w:highlight w:val="none"/>
        </w:rPr>
        <w:t>根据党和国家有关法律法规的各项规定，为保持廉洁自律，倡导廉洁从业，有效遏制商业贿赂行为，防止在合同签订、履行中不廉洁行为的发生，经双方协商，订立本协议，相互约束。</w:t>
      </w:r>
    </w:p>
    <w:p w14:paraId="6041D437">
      <w:pPr>
        <w:spacing w:line="400" w:lineRule="exact"/>
        <w:ind w:firstLine="420" w:firstLineChars="200"/>
        <w:rPr>
          <w:rFonts w:ascii="宋体" w:hAnsi="宋体" w:cs="宋体"/>
          <w:highlight w:val="none"/>
        </w:rPr>
      </w:pPr>
      <w:r>
        <w:rPr>
          <w:rFonts w:hint="eastAsia" w:ascii="宋体" w:hAnsi="宋体" w:cs="宋体"/>
          <w:highlight w:val="none"/>
        </w:rPr>
        <w:t>第一条  双方应当自觉遵守党和国家有关法律法规和有关廉洁自律的各项规定。</w:t>
      </w:r>
    </w:p>
    <w:p w14:paraId="391FB418">
      <w:pPr>
        <w:spacing w:line="400" w:lineRule="exact"/>
        <w:ind w:firstLine="420" w:firstLineChars="200"/>
        <w:rPr>
          <w:rFonts w:ascii="宋体" w:hAnsi="宋体" w:cs="宋体"/>
          <w:highlight w:val="none"/>
        </w:rPr>
      </w:pPr>
      <w:r>
        <w:rPr>
          <w:rFonts w:hint="eastAsia" w:ascii="宋体" w:hAnsi="宋体" w:cs="宋体"/>
          <w:highlight w:val="none"/>
        </w:rPr>
        <w:t>第二条  甲方工作人员不得以任何形式向乙方索要和收受回扣等好处费。</w:t>
      </w:r>
    </w:p>
    <w:p w14:paraId="4542984E">
      <w:pPr>
        <w:spacing w:line="400" w:lineRule="exact"/>
        <w:ind w:firstLine="420" w:firstLineChars="200"/>
        <w:rPr>
          <w:rFonts w:ascii="宋体" w:hAnsi="宋体" w:cs="宋体"/>
          <w:highlight w:val="none"/>
        </w:rPr>
      </w:pPr>
      <w:r>
        <w:rPr>
          <w:rFonts w:hint="eastAsia" w:ascii="宋体" w:hAnsi="宋体" w:cs="宋体"/>
          <w:highlight w:val="none"/>
        </w:rPr>
        <w:t>第三条  甲方工作人员应当保持与乙方的正常工作和业务交往，不得接受乙方的礼金、有价证券和物品，不得在乙方报销任何应由私人支付的费用。</w:t>
      </w:r>
    </w:p>
    <w:p w14:paraId="6F841786">
      <w:pPr>
        <w:spacing w:line="400" w:lineRule="exact"/>
        <w:ind w:firstLine="420" w:firstLineChars="200"/>
        <w:rPr>
          <w:rFonts w:ascii="宋体" w:hAnsi="宋体" w:cs="宋体"/>
          <w:highlight w:val="none"/>
        </w:rPr>
      </w:pPr>
      <w:r>
        <w:rPr>
          <w:rFonts w:hint="eastAsia" w:ascii="宋体" w:hAnsi="宋体" w:cs="宋体"/>
          <w:highlight w:val="none"/>
        </w:rPr>
        <w:t>第四条  甲方工作人员不得参加乙方的宴请和娱乐活动，不得违反廉洁从业的有关规定，不得接受任何形式的商业贿赂。</w:t>
      </w:r>
    </w:p>
    <w:p w14:paraId="3F0936B3">
      <w:pPr>
        <w:spacing w:line="400" w:lineRule="exact"/>
        <w:ind w:firstLine="420" w:firstLineChars="200"/>
        <w:rPr>
          <w:rFonts w:ascii="宋体" w:hAnsi="宋体" w:cs="宋体"/>
          <w:highlight w:val="none"/>
        </w:rPr>
      </w:pPr>
      <w:r>
        <w:rPr>
          <w:rFonts w:hint="eastAsia" w:ascii="宋体" w:hAnsi="宋体" w:cs="宋体"/>
          <w:highlight w:val="none"/>
        </w:rPr>
        <w:t>第五条  甲方工作人员不得要求或者接受乙方为其住房装修、婚丧嫁娶、家属和子女的工作安排及出国等任何形式的不当利益。</w:t>
      </w:r>
    </w:p>
    <w:p w14:paraId="1B159350">
      <w:pPr>
        <w:spacing w:line="400" w:lineRule="exact"/>
        <w:ind w:firstLine="420" w:firstLineChars="200"/>
        <w:rPr>
          <w:rFonts w:ascii="宋体" w:hAnsi="宋体" w:cs="宋体"/>
          <w:highlight w:val="none"/>
        </w:rPr>
      </w:pPr>
      <w:r>
        <w:rPr>
          <w:rFonts w:hint="eastAsia" w:ascii="宋体" w:hAnsi="宋体" w:cs="宋体"/>
          <w:highlight w:val="none"/>
        </w:rPr>
        <w:t>第六条  甲方工作人员不得向乙方介绍家属或者亲友从事与本合同业务有关的经济活动。</w:t>
      </w:r>
    </w:p>
    <w:p w14:paraId="021AFD4F">
      <w:pPr>
        <w:spacing w:line="400" w:lineRule="exact"/>
        <w:ind w:firstLine="420" w:firstLineChars="200"/>
        <w:rPr>
          <w:rFonts w:ascii="宋体" w:hAnsi="宋体" w:cs="宋体"/>
          <w:highlight w:val="none"/>
        </w:rPr>
      </w:pPr>
      <w:r>
        <w:rPr>
          <w:rFonts w:hint="eastAsia" w:ascii="宋体" w:hAnsi="宋体" w:cs="宋体"/>
          <w:highlight w:val="none"/>
        </w:rPr>
        <w:t>第七条  乙方应当通过正常途径开展相关业务工作，不得向甲方工作人员赠送礼金、有价证券和物品。</w:t>
      </w:r>
    </w:p>
    <w:p w14:paraId="5EF662B7">
      <w:pPr>
        <w:spacing w:line="400" w:lineRule="exact"/>
        <w:ind w:firstLine="420" w:firstLineChars="200"/>
        <w:rPr>
          <w:rFonts w:ascii="宋体" w:hAnsi="宋体" w:cs="宋体"/>
          <w:highlight w:val="none"/>
        </w:rPr>
      </w:pPr>
      <w:r>
        <w:rPr>
          <w:rFonts w:hint="eastAsia" w:ascii="宋体" w:hAnsi="宋体" w:cs="宋体"/>
          <w:highlight w:val="none"/>
        </w:rPr>
        <w:t>第八条  乙方不得为谋取私利擅自与甲方工作人员私下商谈或者达成默契。</w:t>
      </w:r>
    </w:p>
    <w:p w14:paraId="2E3F9A27">
      <w:pPr>
        <w:spacing w:line="400" w:lineRule="exact"/>
        <w:ind w:firstLine="420" w:firstLineChars="200"/>
        <w:rPr>
          <w:rFonts w:ascii="宋体" w:hAnsi="宋体" w:cs="宋体"/>
          <w:highlight w:val="none"/>
        </w:rPr>
      </w:pPr>
      <w:r>
        <w:rPr>
          <w:rFonts w:hint="eastAsia" w:ascii="宋体" w:hAnsi="宋体" w:cs="宋体"/>
          <w:highlight w:val="none"/>
        </w:rPr>
        <w:t>第九条  乙方不得以汇报工作，洽谈业务、签订经济合同为借口，邀请甲方工作人员外出旅游、参加非正常交往的宴会、进入营业性娱乐场所。</w:t>
      </w:r>
    </w:p>
    <w:p w14:paraId="7780544C">
      <w:pPr>
        <w:spacing w:line="400" w:lineRule="exact"/>
        <w:ind w:firstLine="420" w:firstLineChars="200"/>
        <w:rPr>
          <w:rFonts w:ascii="宋体" w:hAnsi="宋体" w:cs="宋体"/>
          <w:highlight w:val="none"/>
        </w:rPr>
      </w:pPr>
      <w:r>
        <w:rPr>
          <w:rFonts w:hint="eastAsia" w:ascii="宋体" w:hAnsi="宋体" w:cs="宋体"/>
          <w:highlight w:val="none"/>
        </w:rPr>
        <w:t>第十条  乙方不得为甲方单位和个人购置或提供通讯工具、交通工具、家电、办公用品等。</w:t>
      </w:r>
    </w:p>
    <w:p w14:paraId="17048AFA">
      <w:pPr>
        <w:spacing w:line="400" w:lineRule="exact"/>
        <w:ind w:firstLine="420" w:firstLineChars="200"/>
        <w:rPr>
          <w:rFonts w:ascii="宋体" w:hAnsi="宋体" w:cs="宋体"/>
          <w:highlight w:val="none"/>
        </w:rPr>
      </w:pPr>
      <w:r>
        <w:rPr>
          <w:rFonts w:hint="eastAsia" w:ascii="宋体" w:hAnsi="宋体" w:cs="宋体"/>
          <w:highlight w:val="none"/>
        </w:rPr>
        <w:t>第十一条  乙方如发现甲方工作人员有违反上述协议者，应向甲方领导或甲方上级单位口头或书面举报。甲方不得找任何借口对乙方进行报复。</w:t>
      </w:r>
    </w:p>
    <w:p w14:paraId="23C8217C">
      <w:pPr>
        <w:spacing w:line="400" w:lineRule="exact"/>
        <w:ind w:firstLine="420" w:firstLineChars="200"/>
        <w:rPr>
          <w:rFonts w:ascii="宋体" w:hAnsi="宋体" w:cs="宋体"/>
          <w:highlight w:val="none"/>
        </w:rPr>
      </w:pPr>
      <w:r>
        <w:rPr>
          <w:rFonts w:hint="eastAsia" w:ascii="宋体" w:hAnsi="宋体" w:cs="宋体"/>
          <w:highlight w:val="none"/>
        </w:rPr>
        <w:t>第十二条  甲方发现乙方有违反本协议或者采用前述不正当的手段对甲方工作人员行贿或变相行贿，甲方根据具体情节和造成的后果追究乙方合同标的或合同总金额50%-100%的违约金，由此给甲方单位造成的损失均由乙方承担。乙方用不正当手段获取的非法所得由甲方单位予以追缴，甲方有权单方面终止合同，情节严重的，列入黑名单，三年内不得进入甲方公司市场。</w:t>
      </w:r>
    </w:p>
    <w:p w14:paraId="0490D780">
      <w:pPr>
        <w:spacing w:line="400" w:lineRule="exact"/>
        <w:ind w:firstLine="420" w:firstLineChars="200"/>
        <w:rPr>
          <w:rFonts w:ascii="宋体" w:hAnsi="宋体" w:cs="宋体"/>
          <w:highlight w:val="none"/>
        </w:rPr>
      </w:pPr>
      <w:r>
        <w:rPr>
          <w:rFonts w:hint="eastAsia" w:ascii="宋体" w:hAnsi="宋体" w:cs="宋体"/>
          <w:highlight w:val="none"/>
        </w:rPr>
        <w:t>第十三条  本协议作为合同的附件，与该合同具有同等的法律效力。</w:t>
      </w:r>
    </w:p>
    <w:p w14:paraId="13CF8A66">
      <w:pPr>
        <w:spacing w:line="400" w:lineRule="exact"/>
        <w:ind w:firstLine="420" w:firstLineChars="200"/>
        <w:rPr>
          <w:rFonts w:ascii="宋体" w:hAnsi="宋体" w:cs="宋体"/>
          <w:highlight w:val="none"/>
        </w:rPr>
      </w:pPr>
      <w:r>
        <w:rPr>
          <w:rFonts w:hint="eastAsia" w:ascii="宋体" w:hAnsi="宋体" w:cs="宋体"/>
          <w:highlight w:val="none"/>
        </w:rPr>
        <w:t>第十四条  本协议经双方法定代表人或委托代理人签字盖章后生效。</w:t>
      </w:r>
    </w:p>
    <w:p w14:paraId="22C2D6E8">
      <w:pPr>
        <w:spacing w:line="400" w:lineRule="exact"/>
        <w:ind w:firstLine="420" w:firstLineChars="200"/>
        <w:rPr>
          <w:rFonts w:ascii="宋体" w:hAnsi="宋体" w:cs="宋体"/>
          <w:highlight w:val="none"/>
        </w:rPr>
      </w:pPr>
    </w:p>
    <w:p w14:paraId="45984E8A">
      <w:pPr>
        <w:spacing w:line="400" w:lineRule="exact"/>
        <w:ind w:firstLine="420" w:firstLineChars="200"/>
        <w:rPr>
          <w:rFonts w:ascii="宋体" w:hAnsi="宋体" w:cs="宋体"/>
          <w:highlight w:val="none"/>
        </w:rPr>
      </w:pPr>
    </w:p>
    <w:p w14:paraId="758E8166">
      <w:pPr>
        <w:spacing w:line="400" w:lineRule="exact"/>
        <w:ind w:firstLine="420" w:firstLineChars="200"/>
        <w:rPr>
          <w:rFonts w:ascii="宋体" w:hAnsi="宋体" w:cs="宋体"/>
          <w:highlight w:val="none"/>
        </w:rPr>
      </w:pPr>
      <w:r>
        <w:rPr>
          <w:rFonts w:hint="eastAsia" w:ascii="宋体" w:hAnsi="宋体" w:cs="宋体"/>
          <w:highlight w:val="none"/>
        </w:rPr>
        <w:t xml:space="preserve">甲方（盖章）：                           乙方（盖章）： </w:t>
      </w:r>
    </w:p>
    <w:p w14:paraId="0300E724">
      <w:pPr>
        <w:spacing w:line="400" w:lineRule="exact"/>
        <w:ind w:firstLine="420" w:firstLineChars="200"/>
        <w:rPr>
          <w:rFonts w:ascii="宋体" w:hAnsi="宋体" w:cs="宋体"/>
          <w:highlight w:val="none"/>
        </w:rPr>
      </w:pPr>
      <w:r>
        <w:rPr>
          <w:rFonts w:hint="eastAsia" w:ascii="宋体" w:hAnsi="宋体" w:cs="宋体"/>
          <w:highlight w:val="none"/>
        </w:rPr>
        <w:t xml:space="preserve">甲方负责人签字：                       </w:t>
      </w:r>
      <w:r>
        <w:rPr>
          <w:rFonts w:hint="eastAsia" w:ascii="宋体" w:hAnsi="宋体" w:cs="宋体" w:eastAsiaTheme="minorEastAsia"/>
          <w:highlight w:val="none"/>
        </w:rPr>
        <w:t xml:space="preserve"> </w:t>
      </w:r>
      <w:r>
        <w:rPr>
          <w:rFonts w:hint="eastAsia" w:ascii="宋体" w:hAnsi="宋体" w:cs="宋体"/>
          <w:highlight w:val="none"/>
        </w:rPr>
        <w:t xml:space="preserve"> 乙方负责人签字：</w:t>
      </w:r>
    </w:p>
    <w:p w14:paraId="46182325">
      <w:pPr>
        <w:pStyle w:val="16"/>
        <w:ind w:firstLine="480" w:firstLineChars="200"/>
        <w:rPr>
          <w:rFonts w:eastAsiaTheme="minorEastAsia"/>
          <w:highlight w:val="none"/>
        </w:rPr>
      </w:pPr>
      <w:r>
        <w:rPr>
          <w:rFonts w:hint="eastAsia" w:ascii="宋体" w:hAnsi="宋体" w:cs="宋体"/>
          <w:szCs w:val="21"/>
          <w:highlight w:val="none"/>
        </w:rPr>
        <w:t xml:space="preserve">    年    月    日                           年    月    日</w:t>
      </w:r>
    </w:p>
    <w:p w14:paraId="5198DA7C">
      <w:pPr>
        <w:rPr>
          <w:highlight w:val="none"/>
        </w:rPr>
      </w:pPr>
      <w:r>
        <w:rPr>
          <w:highlight w:val="none"/>
        </w:rPr>
        <w:br w:type="page"/>
      </w:r>
    </w:p>
    <w:p w14:paraId="3E9C556E">
      <w:pPr>
        <w:spacing w:line="360" w:lineRule="auto"/>
        <w:rPr>
          <w:highlight w:val="none"/>
        </w:rPr>
      </w:pPr>
      <w:r>
        <w:rPr>
          <w:rFonts w:hint="eastAsia"/>
          <w:highlight w:val="none"/>
        </w:rPr>
        <w:t>附件3.</w:t>
      </w:r>
    </w:p>
    <w:p w14:paraId="29EAC418">
      <w:pPr>
        <w:spacing w:line="440" w:lineRule="exact"/>
        <w:jc w:val="center"/>
        <w:rPr>
          <w:b/>
          <w:bCs/>
          <w:sz w:val="32"/>
          <w:szCs w:val="32"/>
          <w:highlight w:val="none"/>
        </w:rPr>
      </w:pPr>
      <w:r>
        <w:rPr>
          <w:rFonts w:hint="eastAsia"/>
          <w:b/>
          <w:bCs/>
          <w:sz w:val="32"/>
          <w:szCs w:val="32"/>
          <w:highlight w:val="none"/>
        </w:rPr>
        <w:t>安全生产责任协议书</w:t>
      </w:r>
    </w:p>
    <w:p w14:paraId="4ED4C14E">
      <w:pPr>
        <w:pStyle w:val="56"/>
        <w:spacing w:line="440" w:lineRule="exact"/>
        <w:ind w:firstLine="0" w:firstLineChars="0"/>
        <w:rPr>
          <w:sz w:val="21"/>
          <w:szCs w:val="21"/>
          <w:highlight w:val="none"/>
          <w:lang w:val="en-US"/>
        </w:rPr>
      </w:pPr>
      <w:r>
        <w:rPr>
          <w:rFonts w:hint="eastAsia"/>
          <w:sz w:val="21"/>
          <w:szCs w:val="21"/>
          <w:highlight w:val="none"/>
          <w:lang w:val="en-US"/>
        </w:rPr>
        <w:t>甲方：</w:t>
      </w:r>
    </w:p>
    <w:p w14:paraId="42054BE1">
      <w:pPr>
        <w:pStyle w:val="56"/>
        <w:spacing w:line="440" w:lineRule="exact"/>
        <w:ind w:firstLine="0" w:firstLineChars="0"/>
        <w:rPr>
          <w:sz w:val="21"/>
          <w:szCs w:val="21"/>
          <w:highlight w:val="none"/>
          <w:lang w:val="en-US"/>
        </w:rPr>
      </w:pPr>
      <w:r>
        <w:rPr>
          <w:rFonts w:hint="eastAsia"/>
          <w:sz w:val="21"/>
          <w:szCs w:val="21"/>
          <w:highlight w:val="none"/>
          <w:lang w:val="en-US"/>
        </w:rPr>
        <w:t>乙方：</w:t>
      </w:r>
    </w:p>
    <w:p w14:paraId="0C3AB47E">
      <w:pPr>
        <w:pStyle w:val="56"/>
        <w:spacing w:line="440" w:lineRule="exact"/>
        <w:ind w:firstLine="0" w:firstLineChars="0"/>
        <w:rPr>
          <w:sz w:val="21"/>
          <w:szCs w:val="21"/>
          <w:highlight w:val="none"/>
          <w:lang w:val="en-US"/>
        </w:rPr>
      </w:pPr>
      <w:r>
        <w:rPr>
          <w:rFonts w:hint="eastAsia"/>
          <w:sz w:val="21"/>
          <w:szCs w:val="21"/>
          <w:highlight w:val="none"/>
          <w:lang w:val="en-US"/>
        </w:rPr>
        <w:t>项目名称：</w:t>
      </w:r>
    </w:p>
    <w:p w14:paraId="1C738B96">
      <w:pPr>
        <w:pStyle w:val="56"/>
        <w:spacing w:line="440" w:lineRule="exact"/>
        <w:ind w:firstLine="420"/>
        <w:rPr>
          <w:sz w:val="21"/>
          <w:szCs w:val="21"/>
          <w:highlight w:val="none"/>
          <w:lang w:val="en-US"/>
        </w:rPr>
      </w:pPr>
      <w:r>
        <w:rPr>
          <w:sz w:val="21"/>
          <w:szCs w:val="21"/>
          <w:highlight w:val="none"/>
          <w:lang w:val="en-US"/>
        </w:rPr>
        <w:t>为落实安全生产的管理要求，确保工程建设的顺利进行，按《浙江省建筑安全文明施工标准化工地管理办法》</w:t>
      </w:r>
      <w:r>
        <w:rPr>
          <w:rFonts w:hint="eastAsia"/>
          <w:sz w:val="21"/>
          <w:szCs w:val="21"/>
          <w:highlight w:val="none"/>
          <w:lang w:val="en-US"/>
        </w:rPr>
        <w:t>（</w:t>
      </w:r>
      <w:r>
        <w:rPr>
          <w:sz w:val="21"/>
          <w:szCs w:val="21"/>
          <w:highlight w:val="none"/>
          <w:lang w:val="en-US"/>
        </w:rPr>
        <w:t>浙建建[2005</w:t>
      </w:r>
      <w:r>
        <w:rPr>
          <w:rFonts w:hint="eastAsia"/>
          <w:sz w:val="21"/>
          <w:szCs w:val="21"/>
          <w:highlight w:val="none"/>
          <w:lang w:val="en-US"/>
        </w:rPr>
        <w:t>]</w:t>
      </w:r>
      <w:r>
        <w:rPr>
          <w:sz w:val="21"/>
          <w:szCs w:val="21"/>
          <w:highlight w:val="none"/>
          <w:lang w:val="en-US"/>
        </w:rPr>
        <w:t>141号</w:t>
      </w:r>
      <w:r>
        <w:rPr>
          <w:rFonts w:hint="eastAsia"/>
          <w:sz w:val="21"/>
          <w:szCs w:val="21"/>
          <w:highlight w:val="none"/>
          <w:lang w:val="en-US"/>
        </w:rPr>
        <w:t>）</w:t>
      </w:r>
      <w:r>
        <w:rPr>
          <w:sz w:val="21"/>
          <w:szCs w:val="21"/>
          <w:highlight w:val="none"/>
          <w:lang w:val="en-US"/>
        </w:rPr>
        <w:t>规定，甲乙方共同协商，一致同意如下</w:t>
      </w:r>
      <w:r>
        <w:rPr>
          <w:rFonts w:hint="eastAsia"/>
          <w:sz w:val="21"/>
          <w:szCs w:val="21"/>
          <w:highlight w:val="none"/>
          <w:lang w:val="en-US"/>
        </w:rPr>
        <w:t>：</w:t>
      </w:r>
    </w:p>
    <w:p w14:paraId="2677C380">
      <w:pPr>
        <w:pStyle w:val="56"/>
        <w:spacing w:line="440" w:lineRule="exact"/>
        <w:ind w:firstLine="420"/>
        <w:rPr>
          <w:sz w:val="21"/>
          <w:szCs w:val="21"/>
          <w:highlight w:val="none"/>
          <w:lang w:val="en-US"/>
        </w:rPr>
      </w:pPr>
      <w:r>
        <w:rPr>
          <w:sz w:val="21"/>
          <w:szCs w:val="21"/>
          <w:highlight w:val="none"/>
          <w:lang w:val="en-US"/>
        </w:rPr>
        <w:t>一、甲方在施工开始前向乙方提交必要的施工场地，明确乙方安全生产管理的责任区域和要求，乙方负责施工现场的安全管理工作，是施工现场安全管理的责任单位。乙方必须建立健全安全生产保证体系，建立健全应急救援体系其相关文件报甲方备案。</w:t>
      </w:r>
    </w:p>
    <w:p w14:paraId="7A4E2309">
      <w:pPr>
        <w:pStyle w:val="56"/>
        <w:spacing w:line="440" w:lineRule="exact"/>
        <w:ind w:firstLine="420"/>
        <w:rPr>
          <w:sz w:val="21"/>
          <w:szCs w:val="21"/>
          <w:highlight w:val="none"/>
          <w:lang w:val="en-US"/>
        </w:rPr>
      </w:pPr>
      <w:r>
        <w:rPr>
          <w:sz w:val="21"/>
          <w:szCs w:val="21"/>
          <w:highlight w:val="none"/>
          <w:lang w:val="en-US"/>
        </w:rPr>
        <w:t>二、甲方应积极组织和督促乙方开展安全达标活动，及时传达和部署上级的有关安全生产精神和要求，定期听取乙方的意见和要求。加强安全生产的指导和协调。</w:t>
      </w:r>
    </w:p>
    <w:p w14:paraId="47971969">
      <w:pPr>
        <w:pStyle w:val="56"/>
        <w:spacing w:line="440" w:lineRule="exact"/>
        <w:ind w:firstLine="420"/>
        <w:rPr>
          <w:sz w:val="21"/>
          <w:szCs w:val="21"/>
          <w:highlight w:val="none"/>
          <w:lang w:val="en-US"/>
        </w:rPr>
      </w:pPr>
      <w:r>
        <w:rPr>
          <w:sz w:val="21"/>
          <w:szCs w:val="21"/>
          <w:highlight w:val="none"/>
          <w:lang w:val="en-US"/>
        </w:rPr>
        <w:t>三、甲方负责组织对乙方安全规范作业、文明施工情况的检查，定期组织考核</w:t>
      </w:r>
      <w:r>
        <w:rPr>
          <w:rFonts w:hint="eastAsia"/>
          <w:sz w:val="21"/>
          <w:szCs w:val="21"/>
          <w:highlight w:val="none"/>
          <w:lang w:val="en-US"/>
        </w:rPr>
        <w:t>；</w:t>
      </w:r>
      <w:r>
        <w:rPr>
          <w:sz w:val="21"/>
          <w:szCs w:val="21"/>
          <w:highlight w:val="none"/>
          <w:lang w:val="en-US"/>
        </w:rPr>
        <w:t>对乙方及有关人员发生的违章、违法行为和存在的问题以及在安全生产、文明等创优达标活动中不积极配合的，甲方有权制止教育、责成其限期整改。</w:t>
      </w:r>
    </w:p>
    <w:p w14:paraId="5627FA67">
      <w:pPr>
        <w:pStyle w:val="56"/>
        <w:spacing w:line="440" w:lineRule="exact"/>
        <w:ind w:firstLine="420"/>
        <w:rPr>
          <w:sz w:val="21"/>
          <w:szCs w:val="21"/>
          <w:highlight w:val="none"/>
          <w:lang w:val="en-US"/>
        </w:rPr>
      </w:pPr>
      <w:r>
        <w:rPr>
          <w:sz w:val="21"/>
          <w:szCs w:val="21"/>
          <w:highlight w:val="none"/>
          <w:lang w:val="en-US"/>
        </w:rPr>
        <w:t>四、凡工地内发生生产事故或重大人员伤亡的，甲方派员参与劳动行政部门、司法机关调查处理。甲方可按其造成的后果及影响</w:t>
      </w:r>
      <w:r>
        <w:rPr>
          <w:rFonts w:hint="eastAsia"/>
          <w:sz w:val="21"/>
          <w:szCs w:val="21"/>
          <w:highlight w:val="none"/>
          <w:lang w:val="en-US"/>
        </w:rPr>
        <w:t>，</w:t>
      </w:r>
      <w:r>
        <w:rPr>
          <w:sz w:val="21"/>
          <w:szCs w:val="21"/>
          <w:highlight w:val="none"/>
          <w:lang w:val="en-US"/>
        </w:rPr>
        <w:t>对责任单位以按责任违约给予一次性经济的处理。责任违约的经济处理按约定扣除。事故造成的经济损失及因乙方责任给甲方造成的连带经济损失全部由乙方承担。</w:t>
      </w:r>
    </w:p>
    <w:p w14:paraId="76610E68">
      <w:pPr>
        <w:pStyle w:val="56"/>
        <w:spacing w:line="440" w:lineRule="exact"/>
        <w:ind w:firstLine="420"/>
        <w:rPr>
          <w:sz w:val="21"/>
          <w:szCs w:val="21"/>
          <w:highlight w:val="none"/>
          <w:lang w:val="en-US"/>
        </w:rPr>
      </w:pPr>
      <w:r>
        <w:rPr>
          <w:sz w:val="21"/>
          <w:szCs w:val="21"/>
          <w:highlight w:val="none"/>
          <w:lang w:val="en-US"/>
        </w:rPr>
        <w:t>五、乙方要求严格贯彻执行国家和市颁布的有关安全生产的法律、法规严格按照中华人民共和国建设部建标</w:t>
      </w:r>
      <w:r>
        <w:rPr>
          <w:rFonts w:hint="eastAsia"/>
          <w:sz w:val="21"/>
          <w:szCs w:val="21"/>
          <w:highlight w:val="none"/>
          <w:lang w:val="en-US"/>
        </w:rPr>
        <w:t>（</w:t>
      </w:r>
      <w:r>
        <w:rPr>
          <w:sz w:val="21"/>
          <w:szCs w:val="21"/>
          <w:highlight w:val="none"/>
          <w:lang w:val="en-US"/>
        </w:rPr>
        <w:t>99</w:t>
      </w:r>
      <w:r>
        <w:rPr>
          <w:rFonts w:hint="eastAsia"/>
          <w:sz w:val="21"/>
          <w:szCs w:val="21"/>
          <w:highlight w:val="none"/>
          <w:lang w:val="en-US"/>
        </w:rPr>
        <w:t>）</w:t>
      </w:r>
      <w:r>
        <w:rPr>
          <w:sz w:val="21"/>
          <w:szCs w:val="21"/>
          <w:highlight w:val="none"/>
          <w:lang w:val="en-US"/>
        </w:rPr>
        <w:t>79号</w:t>
      </w:r>
      <w:r>
        <w:rPr>
          <w:rFonts w:hint="eastAsia"/>
          <w:sz w:val="21"/>
          <w:szCs w:val="21"/>
          <w:highlight w:val="none"/>
          <w:lang w:val="en-US"/>
        </w:rPr>
        <w:t>“</w:t>
      </w:r>
      <w:r>
        <w:rPr>
          <w:sz w:val="21"/>
          <w:szCs w:val="21"/>
          <w:highlight w:val="none"/>
          <w:lang w:val="en-US"/>
        </w:rPr>
        <w:t>关于发布行业标准《建筑施工安全检查标准》的通知</w:t>
      </w:r>
      <w:r>
        <w:rPr>
          <w:rFonts w:hint="eastAsia"/>
          <w:sz w:val="21"/>
          <w:szCs w:val="21"/>
          <w:highlight w:val="none"/>
          <w:lang w:val="en-US"/>
        </w:rPr>
        <w:t>”（</w:t>
      </w:r>
      <w:r>
        <w:rPr>
          <w:sz w:val="21"/>
          <w:szCs w:val="21"/>
          <w:highlight w:val="none"/>
          <w:lang w:val="en-US"/>
        </w:rPr>
        <w:t>编号JGJ59-2011</w:t>
      </w:r>
      <w:r>
        <w:rPr>
          <w:rFonts w:hint="eastAsia"/>
          <w:sz w:val="21"/>
          <w:szCs w:val="21"/>
          <w:highlight w:val="none"/>
          <w:lang w:val="en-US"/>
        </w:rPr>
        <w:t>）</w:t>
      </w:r>
      <w:r>
        <w:rPr>
          <w:sz w:val="21"/>
          <w:szCs w:val="21"/>
          <w:highlight w:val="none"/>
          <w:lang w:val="en-US"/>
        </w:rPr>
        <w:t>的要求加强内部安全管理，落实各项安全防护措施，确保工程建设中不发生重大伤亡事故。</w:t>
      </w:r>
    </w:p>
    <w:p w14:paraId="2EB827B1">
      <w:pPr>
        <w:pStyle w:val="56"/>
        <w:spacing w:line="440" w:lineRule="exact"/>
        <w:ind w:firstLine="420"/>
        <w:rPr>
          <w:sz w:val="21"/>
          <w:szCs w:val="21"/>
          <w:highlight w:val="none"/>
          <w:lang w:val="en-US"/>
        </w:rPr>
      </w:pPr>
      <w:r>
        <w:rPr>
          <w:sz w:val="21"/>
          <w:szCs w:val="21"/>
          <w:highlight w:val="none"/>
          <w:lang w:val="en-US"/>
        </w:rPr>
        <w:t>六、乙方要按照安全作业规范针对本工程项目的特点、性质规模以及施工现场条件编制施工组织设计和施工方案，制定和组织落实各项的施工安全技术措施，并对全体施工人员进行安全技术交底。严格按照施工组织设计和有关安全要求施工。</w:t>
      </w:r>
    </w:p>
    <w:p w14:paraId="24099F82">
      <w:pPr>
        <w:pStyle w:val="56"/>
        <w:spacing w:line="440" w:lineRule="exact"/>
        <w:ind w:firstLine="420"/>
        <w:rPr>
          <w:sz w:val="21"/>
          <w:szCs w:val="21"/>
          <w:highlight w:val="none"/>
          <w:lang w:val="en-US"/>
        </w:rPr>
      </w:pPr>
      <w:r>
        <w:rPr>
          <w:sz w:val="21"/>
          <w:szCs w:val="21"/>
          <w:highlight w:val="none"/>
          <w:lang w:val="en-US"/>
        </w:rPr>
        <w:t>七、乙方进入工地后应明确落实施工现场安全生产第一责任人。根据建设部办公厅2000年10号文件要求配置专职安全管理人员。即施工人员超过50人的工地必须配置专职安全管理人员</w:t>
      </w:r>
      <w:r>
        <w:rPr>
          <w:rFonts w:hint="eastAsia"/>
          <w:sz w:val="21"/>
          <w:szCs w:val="21"/>
          <w:highlight w:val="none"/>
          <w:lang w:val="en-US"/>
        </w:rPr>
        <w:t>；</w:t>
      </w:r>
      <w:r>
        <w:rPr>
          <w:sz w:val="21"/>
          <w:szCs w:val="21"/>
          <w:highlight w:val="none"/>
          <w:lang w:val="en-US"/>
        </w:rPr>
        <w:t>工程造价在1000万元以上的工地，必须配置2-3名管理安全生产工作人员</w:t>
      </w:r>
      <w:r>
        <w:rPr>
          <w:rFonts w:hint="eastAsia"/>
          <w:sz w:val="21"/>
          <w:szCs w:val="21"/>
          <w:highlight w:val="none"/>
          <w:lang w:val="en-US"/>
        </w:rPr>
        <w:t>；</w:t>
      </w:r>
      <w:r>
        <w:rPr>
          <w:sz w:val="21"/>
          <w:szCs w:val="21"/>
          <w:highlight w:val="none"/>
          <w:lang w:val="en-US"/>
        </w:rPr>
        <w:t>工程造价在5000万元以上的工地，要按专业设置专职安全员，组成安全管理组负责工地的安全生产管理工作。并将名单报甲方备案。乙方要建立健全安全生产保证体系，落实各级安全责任制，完善各项安全生产制度</w:t>
      </w:r>
      <w:r>
        <w:rPr>
          <w:rFonts w:hint="eastAsia"/>
          <w:sz w:val="21"/>
          <w:szCs w:val="21"/>
          <w:highlight w:val="none"/>
          <w:lang w:val="en-US"/>
        </w:rPr>
        <w:t>（</w:t>
      </w:r>
      <w:r>
        <w:rPr>
          <w:sz w:val="21"/>
          <w:szCs w:val="21"/>
          <w:highlight w:val="none"/>
          <w:lang w:val="en-US"/>
        </w:rPr>
        <w:t>包括奖惩制度</w:t>
      </w:r>
      <w:r>
        <w:rPr>
          <w:rFonts w:hint="eastAsia"/>
          <w:sz w:val="21"/>
          <w:szCs w:val="21"/>
          <w:highlight w:val="none"/>
          <w:lang w:val="en-US"/>
        </w:rPr>
        <w:t>）：</w:t>
      </w:r>
      <w:r>
        <w:rPr>
          <w:sz w:val="21"/>
          <w:szCs w:val="21"/>
          <w:highlight w:val="none"/>
          <w:lang w:val="en-US"/>
        </w:rPr>
        <w:t>按照</w:t>
      </w:r>
      <w:r>
        <w:rPr>
          <w:rFonts w:hint="eastAsia"/>
          <w:sz w:val="21"/>
          <w:szCs w:val="21"/>
          <w:highlight w:val="none"/>
          <w:lang w:val="en-US"/>
        </w:rPr>
        <w:t>“</w:t>
      </w:r>
      <w:r>
        <w:rPr>
          <w:sz w:val="21"/>
          <w:szCs w:val="21"/>
          <w:highlight w:val="none"/>
          <w:lang w:val="en-US"/>
        </w:rPr>
        <w:t>谁施工谁负责</w:t>
      </w:r>
      <w:r>
        <w:rPr>
          <w:rFonts w:hint="eastAsia"/>
          <w:sz w:val="21"/>
          <w:szCs w:val="21"/>
          <w:highlight w:val="none"/>
          <w:lang w:val="en-US"/>
        </w:rPr>
        <w:t>”</w:t>
      </w:r>
      <w:r>
        <w:rPr>
          <w:sz w:val="21"/>
          <w:szCs w:val="21"/>
          <w:highlight w:val="none"/>
          <w:lang w:val="en-US"/>
        </w:rPr>
        <w:t>的原则，负责单位内部和施工责任区域的安全生产管理工作。</w:t>
      </w:r>
    </w:p>
    <w:p w14:paraId="0BDB1F05">
      <w:pPr>
        <w:pStyle w:val="56"/>
        <w:spacing w:line="440" w:lineRule="exact"/>
        <w:ind w:firstLine="420"/>
        <w:rPr>
          <w:sz w:val="21"/>
          <w:szCs w:val="21"/>
          <w:highlight w:val="none"/>
          <w:lang w:val="en-US"/>
        </w:rPr>
      </w:pPr>
      <w:r>
        <w:rPr>
          <w:sz w:val="21"/>
          <w:szCs w:val="21"/>
          <w:highlight w:val="none"/>
          <w:lang w:val="en-US"/>
        </w:rPr>
        <w:t>八、乙方对各分包单位及外聘人员的安全生产工作要纳入本单位统一管理的范围，明确要求，签订管理协议</w:t>
      </w:r>
      <w:r>
        <w:rPr>
          <w:rFonts w:hint="eastAsia"/>
          <w:sz w:val="21"/>
          <w:szCs w:val="21"/>
          <w:highlight w:val="none"/>
          <w:lang w:val="en-US"/>
        </w:rPr>
        <w:t>；</w:t>
      </w:r>
      <w:r>
        <w:rPr>
          <w:sz w:val="21"/>
          <w:szCs w:val="21"/>
          <w:highlight w:val="none"/>
          <w:lang w:val="en-US"/>
        </w:rPr>
        <w:t>要加强对全体施工人员安全作业、文明施工和自我保护的宣传教育</w:t>
      </w:r>
      <w:r>
        <w:rPr>
          <w:rFonts w:hint="eastAsia"/>
          <w:sz w:val="21"/>
          <w:szCs w:val="21"/>
          <w:highlight w:val="none"/>
          <w:lang w:val="en-US"/>
        </w:rPr>
        <w:t>；</w:t>
      </w:r>
      <w:r>
        <w:rPr>
          <w:sz w:val="21"/>
          <w:szCs w:val="21"/>
          <w:highlight w:val="none"/>
          <w:lang w:val="en-US"/>
        </w:rPr>
        <w:t>做好上岗前的安全培训</w:t>
      </w:r>
      <w:r>
        <w:rPr>
          <w:rFonts w:hint="eastAsia"/>
          <w:sz w:val="21"/>
          <w:szCs w:val="21"/>
          <w:highlight w:val="none"/>
          <w:lang w:val="en-US"/>
        </w:rPr>
        <w:t>；</w:t>
      </w:r>
      <w:r>
        <w:rPr>
          <w:sz w:val="21"/>
          <w:szCs w:val="21"/>
          <w:highlight w:val="none"/>
          <w:lang w:val="en-US"/>
        </w:rPr>
        <w:t>特殊工种作业人员必须做到持证上岗，进入本市施工的外市特殊作业人员，还必须经本市有关特种作业考核站进审证教育，禁止实习、学习人员现场作业。严格执行各种安全操作规程，确保施工安全</w:t>
      </w:r>
      <w:r>
        <w:rPr>
          <w:rFonts w:hint="eastAsia"/>
          <w:sz w:val="21"/>
          <w:szCs w:val="21"/>
          <w:highlight w:val="none"/>
          <w:lang w:val="en-US"/>
        </w:rPr>
        <w:t>。</w:t>
      </w:r>
    </w:p>
    <w:p w14:paraId="5A8B762D">
      <w:pPr>
        <w:pStyle w:val="56"/>
        <w:spacing w:line="440" w:lineRule="exact"/>
        <w:ind w:firstLine="420"/>
        <w:rPr>
          <w:sz w:val="21"/>
          <w:szCs w:val="21"/>
          <w:highlight w:val="none"/>
          <w:lang w:val="en-US"/>
        </w:rPr>
      </w:pPr>
      <w:r>
        <w:rPr>
          <w:sz w:val="21"/>
          <w:szCs w:val="21"/>
          <w:highlight w:val="none"/>
          <w:lang w:val="en-US"/>
        </w:rPr>
        <w:t>九、乙方要按照</w:t>
      </w:r>
      <w:r>
        <w:rPr>
          <w:rFonts w:hint="eastAsia"/>
          <w:sz w:val="21"/>
          <w:szCs w:val="21"/>
          <w:highlight w:val="none"/>
          <w:lang w:val="en-US"/>
        </w:rPr>
        <w:t>“</w:t>
      </w:r>
      <w:r>
        <w:rPr>
          <w:sz w:val="21"/>
          <w:szCs w:val="21"/>
          <w:highlight w:val="none"/>
          <w:lang w:val="en-US"/>
        </w:rPr>
        <w:t>安全自查，隐患自改、责任自负</w:t>
      </w:r>
      <w:r>
        <w:rPr>
          <w:rFonts w:hint="eastAsia"/>
          <w:sz w:val="21"/>
          <w:szCs w:val="21"/>
          <w:highlight w:val="none"/>
          <w:lang w:val="en-US"/>
        </w:rPr>
        <w:t>”</w:t>
      </w:r>
      <w:r>
        <w:rPr>
          <w:sz w:val="21"/>
          <w:szCs w:val="21"/>
          <w:highlight w:val="none"/>
          <w:lang w:val="en-US"/>
        </w:rPr>
        <w:t>的原则加强对施工责任区的日常安全检查。及时制止和处理各类违章违法行为。对查获的隐患要及时落实整改措施，消除隐患。</w:t>
      </w:r>
    </w:p>
    <w:p w14:paraId="0AD2941D">
      <w:pPr>
        <w:pStyle w:val="56"/>
        <w:spacing w:line="440" w:lineRule="exact"/>
        <w:ind w:firstLine="420"/>
        <w:rPr>
          <w:sz w:val="21"/>
          <w:szCs w:val="21"/>
          <w:highlight w:val="none"/>
          <w:lang w:val="en-US"/>
        </w:rPr>
      </w:pPr>
      <w:r>
        <w:rPr>
          <w:sz w:val="21"/>
          <w:szCs w:val="21"/>
          <w:highlight w:val="none"/>
          <w:lang w:val="en-US"/>
        </w:rPr>
        <w:t>十、乙方应主动接受甲方在安全生产工作上的业务指导。检查和督促，服从管理</w:t>
      </w:r>
      <w:r>
        <w:rPr>
          <w:rFonts w:hint="eastAsia"/>
          <w:sz w:val="21"/>
          <w:szCs w:val="21"/>
          <w:highlight w:val="none"/>
          <w:lang w:val="en-US"/>
        </w:rPr>
        <w:t>；</w:t>
      </w:r>
      <w:r>
        <w:rPr>
          <w:sz w:val="21"/>
          <w:szCs w:val="21"/>
          <w:highlight w:val="none"/>
          <w:lang w:val="en-US"/>
        </w:rPr>
        <w:t>对甲方的工作布置和组织的活动要积极贯彻实施和参加。对甲方给予因责任违约的经济处理如有异议可要求复核。对甲方工作人员利用职权营私舞弊、有意刁难的违法行为，有权检举揭发，要求处理。</w:t>
      </w:r>
    </w:p>
    <w:p w14:paraId="7DA0984A">
      <w:pPr>
        <w:pStyle w:val="56"/>
        <w:spacing w:line="440" w:lineRule="exact"/>
        <w:ind w:firstLine="420"/>
        <w:rPr>
          <w:sz w:val="21"/>
          <w:szCs w:val="21"/>
          <w:highlight w:val="none"/>
          <w:lang w:val="en-US"/>
        </w:rPr>
      </w:pPr>
      <w:r>
        <w:rPr>
          <w:sz w:val="21"/>
          <w:szCs w:val="21"/>
          <w:highlight w:val="none"/>
          <w:lang w:val="en-US"/>
        </w:rPr>
        <w:t>十一、乙方因疏于管理违章违法作业发生安全事故或造成人员伤亡的，应在积极抢救受伤人员、保护现场的同时，严格按安全事故上报的规定时限向甲方和当地劳动行政部门汇报，不得迟报瞒报。</w:t>
      </w:r>
    </w:p>
    <w:p w14:paraId="1FB3839B">
      <w:pPr>
        <w:pStyle w:val="56"/>
        <w:spacing w:line="440" w:lineRule="exact"/>
        <w:ind w:firstLine="420"/>
        <w:rPr>
          <w:sz w:val="21"/>
          <w:szCs w:val="21"/>
          <w:highlight w:val="none"/>
          <w:lang w:val="en-US"/>
        </w:rPr>
      </w:pPr>
      <w:r>
        <w:rPr>
          <w:sz w:val="21"/>
          <w:szCs w:val="21"/>
          <w:highlight w:val="none"/>
          <w:lang w:val="en-US"/>
        </w:rPr>
        <w:t>十二、本协议中未涉及的有关条款，甲乙双方可根据需要协商补充修改。</w:t>
      </w:r>
    </w:p>
    <w:p w14:paraId="54ED8942">
      <w:pPr>
        <w:pStyle w:val="56"/>
        <w:spacing w:line="440" w:lineRule="exact"/>
        <w:ind w:firstLine="420"/>
        <w:rPr>
          <w:sz w:val="21"/>
          <w:szCs w:val="21"/>
          <w:highlight w:val="none"/>
          <w:lang w:val="en-US"/>
        </w:rPr>
      </w:pPr>
      <w:r>
        <w:rPr>
          <w:sz w:val="21"/>
          <w:szCs w:val="21"/>
          <w:highlight w:val="none"/>
          <w:lang w:val="en-US"/>
        </w:rPr>
        <w:t>如遇有国家和本市的有关法规不符的，应按国家和本市的有关法规执行。</w:t>
      </w:r>
    </w:p>
    <w:p w14:paraId="3612A7F9">
      <w:pPr>
        <w:pStyle w:val="56"/>
        <w:spacing w:line="440" w:lineRule="exact"/>
        <w:ind w:firstLine="420"/>
        <w:rPr>
          <w:sz w:val="21"/>
          <w:szCs w:val="21"/>
          <w:highlight w:val="none"/>
          <w:lang w:val="en-US"/>
        </w:rPr>
      </w:pPr>
      <w:r>
        <w:rPr>
          <w:rFonts w:hint="eastAsia"/>
          <w:sz w:val="21"/>
          <w:szCs w:val="21"/>
          <w:highlight w:val="none"/>
          <w:lang w:val="en-US"/>
        </w:rPr>
        <w:t>十三、</w:t>
      </w:r>
      <w:r>
        <w:rPr>
          <w:sz w:val="21"/>
          <w:szCs w:val="21"/>
          <w:highlight w:val="none"/>
          <w:lang w:val="en-US"/>
        </w:rPr>
        <w:t>本协议作为甲乙双方工程承包合同的附件，在工程承包合同签约后生效，与工程承包合同具有同等法律效力。工程承包合同期满，本协议终止。</w:t>
      </w:r>
    </w:p>
    <w:p w14:paraId="62E453D7">
      <w:pPr>
        <w:pStyle w:val="56"/>
        <w:ind w:firstLine="0" w:firstLineChars="0"/>
        <w:rPr>
          <w:sz w:val="21"/>
          <w:szCs w:val="21"/>
          <w:highlight w:val="none"/>
          <w:lang w:val="en-US"/>
        </w:rPr>
      </w:pPr>
    </w:p>
    <w:p w14:paraId="7AA6ABCD">
      <w:pPr>
        <w:pStyle w:val="56"/>
        <w:ind w:firstLine="0" w:firstLineChars="0"/>
        <w:rPr>
          <w:sz w:val="21"/>
          <w:szCs w:val="21"/>
          <w:highlight w:val="none"/>
          <w:lang w:val="en-US"/>
        </w:rPr>
      </w:pPr>
    </w:p>
    <w:p w14:paraId="154A2B30">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 xml:space="preserve">甲方（盖章）：                                     乙方（盖章）： </w:t>
      </w:r>
    </w:p>
    <w:p w14:paraId="2B34ADCA">
      <w:pPr>
        <w:spacing w:line="440" w:lineRule="exact"/>
        <w:ind w:firstLine="420" w:firstLineChars="200"/>
        <w:contextualSpacing/>
        <w:rPr>
          <w:rFonts w:cs="宋体" w:asciiTheme="minorEastAsia" w:hAnsiTheme="minorEastAsia"/>
          <w:highlight w:val="none"/>
        </w:rPr>
      </w:pPr>
      <w:r>
        <w:rPr>
          <w:rFonts w:hint="eastAsia" w:cs="宋体" w:asciiTheme="minorEastAsia" w:hAnsiTheme="minorEastAsia"/>
          <w:highlight w:val="none"/>
        </w:rPr>
        <w:t>甲方负责人签字：                                  乙方负责人签字：</w:t>
      </w:r>
    </w:p>
    <w:p w14:paraId="01FDAD05">
      <w:pPr>
        <w:spacing w:line="440" w:lineRule="exact"/>
        <w:ind w:firstLine="420" w:firstLineChars="200"/>
        <w:rPr>
          <w:rFonts w:hAnsi="宋体" w:cs="宋体"/>
          <w:highlight w:val="none"/>
        </w:rPr>
      </w:pPr>
      <w:r>
        <w:rPr>
          <w:rFonts w:hint="eastAsia" w:cs="宋体" w:asciiTheme="minorEastAsia" w:hAnsiTheme="minorEastAsia"/>
          <w:highlight w:val="none"/>
        </w:rPr>
        <w:t xml:space="preserve">    年   月    日                                      年    月    日</w:t>
      </w:r>
    </w:p>
    <w:p w14:paraId="6CF3C156">
      <w:pPr>
        <w:rPr>
          <w:rFonts w:ascii="宋体" w:hAnsi="宋体"/>
          <w:color w:val="auto"/>
          <w:szCs w:val="21"/>
          <w:highlight w:val="none"/>
        </w:rPr>
      </w:pPr>
    </w:p>
    <w:p w14:paraId="21762C0B">
      <w:pPr>
        <w:pStyle w:val="3"/>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84" w:name="_Toc11248"/>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84"/>
    </w:p>
    <w:p w14:paraId="10AD4C96">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5" w:name="_Toc32372"/>
      <w:r>
        <w:rPr>
          <w:rFonts w:hint="eastAsia" w:ascii="宋体" w:hAnsi="宋体" w:eastAsia="宋体" w:cs="宋体"/>
          <w:color w:val="auto"/>
          <w:sz w:val="21"/>
          <w:szCs w:val="21"/>
          <w:highlight w:val="none"/>
        </w:rPr>
        <w:t>一、资格响应文件、商务技术响应文件部分格式</w:t>
      </w:r>
      <w:bookmarkEnd w:id="85"/>
    </w:p>
    <w:p w14:paraId="39A8E749">
      <w:pP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285CE4E6">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2.义乌市国企采购项目投标承诺书</w:t>
      </w:r>
    </w:p>
    <w:p w14:paraId="67D274E1">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3.服务质量承诺书</w:t>
      </w:r>
    </w:p>
    <w:p w14:paraId="3144CF28">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4.规范偏离表</w:t>
      </w:r>
    </w:p>
    <w:p w14:paraId="61A36C60">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5.设备及工具材料简要说明一览表</w:t>
      </w:r>
    </w:p>
    <w:p w14:paraId="325F875E">
      <w:pPr>
        <w:tabs>
          <w:tab w:val="left" w:pos="1050"/>
        </w:tabs>
        <w:spacing w:line="520" w:lineRule="exact"/>
        <w:ind w:left="52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cs="宋体"/>
          <w:b w:val="0"/>
          <w:bCs w:val="0"/>
          <w:color w:val="000000"/>
          <w:sz w:val="21"/>
          <w:szCs w:val="21"/>
          <w:highlight w:val="none"/>
        </w:rPr>
        <w:t>拟投入本项目</w:t>
      </w:r>
      <w:r>
        <w:rPr>
          <w:rFonts w:hint="eastAsia" w:ascii="宋体" w:hAnsi="宋体" w:cs="宋体"/>
          <w:b w:val="0"/>
          <w:bCs w:val="0"/>
          <w:color w:val="000000"/>
          <w:sz w:val="21"/>
          <w:szCs w:val="21"/>
          <w:highlight w:val="none"/>
          <w:lang w:val="en-US" w:eastAsia="zh-CN"/>
        </w:rPr>
        <w:t>工作</w:t>
      </w:r>
      <w:r>
        <w:rPr>
          <w:rFonts w:hint="eastAsia" w:ascii="宋体" w:hAnsi="宋体" w:cs="宋体"/>
          <w:b w:val="0"/>
          <w:bCs w:val="0"/>
          <w:color w:val="000000"/>
          <w:sz w:val="21"/>
          <w:szCs w:val="21"/>
          <w:highlight w:val="none"/>
        </w:rPr>
        <w:t>人员</w:t>
      </w:r>
      <w:r>
        <w:rPr>
          <w:rFonts w:hint="eastAsia" w:ascii="宋体" w:hAnsi="宋体" w:cs="宋体"/>
          <w:b w:val="0"/>
          <w:bCs w:val="0"/>
          <w:color w:val="000000"/>
          <w:sz w:val="21"/>
          <w:szCs w:val="21"/>
          <w:highlight w:val="none"/>
          <w:lang w:val="en-US" w:eastAsia="zh-CN"/>
        </w:rPr>
        <w:t>一览表</w:t>
      </w:r>
    </w:p>
    <w:p w14:paraId="529D8BE8">
      <w:pPr>
        <w:tabs>
          <w:tab w:val="left" w:pos="1050"/>
        </w:tabs>
        <w:spacing w:line="520" w:lineRule="exact"/>
        <w:ind w:left="528"/>
        <w:rPr>
          <w:rFonts w:hint="eastAsia" w:ascii="宋体" w:hAnsi="宋体" w:eastAsia="宋体" w:cs="宋体"/>
          <w:color w:val="auto"/>
          <w:sz w:val="21"/>
          <w:szCs w:val="21"/>
          <w:highlight w:val="none"/>
        </w:rPr>
      </w:pPr>
    </w:p>
    <w:p w14:paraId="6F25F891">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6" w:name="_Toc20107"/>
      <w:r>
        <w:rPr>
          <w:rFonts w:hint="eastAsia" w:ascii="宋体" w:hAnsi="宋体" w:eastAsia="宋体" w:cs="宋体"/>
          <w:color w:val="auto"/>
          <w:sz w:val="21"/>
          <w:szCs w:val="21"/>
          <w:highlight w:val="none"/>
        </w:rPr>
        <w:t>二、报价响应文件部分格式</w:t>
      </w:r>
      <w:bookmarkEnd w:id="86"/>
    </w:p>
    <w:p w14:paraId="4B771880">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1025DA52">
      <w:pPr>
        <w:spacing w:line="340" w:lineRule="exact"/>
        <w:rPr>
          <w:rFonts w:hint="eastAsia" w:ascii="宋体" w:hAnsi="宋体" w:eastAsia="宋体" w:cs="宋体"/>
          <w:color w:val="auto"/>
          <w:sz w:val="21"/>
          <w:szCs w:val="21"/>
          <w:highlight w:val="none"/>
        </w:rPr>
      </w:pPr>
    </w:p>
    <w:p w14:paraId="759F6377">
      <w:pPr>
        <w:spacing w:line="340" w:lineRule="exact"/>
        <w:rPr>
          <w:rFonts w:hint="eastAsia" w:ascii="宋体" w:hAnsi="宋体" w:eastAsia="宋体" w:cs="宋体"/>
          <w:color w:val="auto"/>
          <w:sz w:val="21"/>
          <w:szCs w:val="21"/>
          <w:highlight w:val="none"/>
        </w:rPr>
      </w:pPr>
    </w:p>
    <w:p w14:paraId="7FF1AF84">
      <w:pPr>
        <w:pStyle w:val="2"/>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7" w:name="_Toc27345"/>
      <w:r>
        <w:rPr>
          <w:rFonts w:hint="eastAsia" w:ascii="宋体" w:hAnsi="宋体" w:eastAsia="宋体" w:cs="宋体"/>
          <w:color w:val="auto"/>
          <w:sz w:val="21"/>
          <w:szCs w:val="21"/>
          <w:highlight w:val="none"/>
        </w:rPr>
        <w:t>三、质疑函范本</w:t>
      </w:r>
      <w:bookmarkEnd w:id="87"/>
    </w:p>
    <w:p w14:paraId="0D1AAC81">
      <w:pPr>
        <w:spacing w:line="340" w:lineRule="exact"/>
        <w:rPr>
          <w:rFonts w:hint="eastAsia" w:ascii="宋体" w:hAnsi="宋体" w:eastAsia="宋体" w:cs="宋体"/>
          <w:color w:val="auto"/>
          <w:sz w:val="21"/>
          <w:szCs w:val="21"/>
          <w:highlight w:val="none"/>
        </w:rPr>
      </w:pPr>
    </w:p>
    <w:p w14:paraId="06175C66">
      <w:pPr>
        <w:spacing w:line="340" w:lineRule="exact"/>
        <w:rPr>
          <w:rFonts w:hint="eastAsia" w:ascii="宋体" w:hAnsi="宋体" w:eastAsia="宋体" w:cs="宋体"/>
          <w:color w:val="auto"/>
          <w:sz w:val="21"/>
          <w:szCs w:val="21"/>
          <w:highlight w:val="none"/>
        </w:rPr>
      </w:pPr>
    </w:p>
    <w:p w14:paraId="42FAA674">
      <w:pPr>
        <w:spacing w:line="340" w:lineRule="exact"/>
        <w:rPr>
          <w:rFonts w:ascii="宋体" w:cs="宋体"/>
          <w:color w:val="auto"/>
          <w:sz w:val="24"/>
          <w:highlight w:val="none"/>
        </w:rPr>
      </w:pPr>
    </w:p>
    <w:p w14:paraId="6EA23886">
      <w:pPr>
        <w:spacing w:line="340" w:lineRule="exact"/>
        <w:rPr>
          <w:rFonts w:ascii="宋体" w:cs="宋体"/>
          <w:color w:val="auto"/>
          <w:sz w:val="24"/>
          <w:highlight w:val="none"/>
        </w:rPr>
      </w:pPr>
    </w:p>
    <w:p w14:paraId="64FA693A">
      <w:pPr>
        <w:spacing w:line="340" w:lineRule="exact"/>
        <w:rPr>
          <w:rFonts w:ascii="宋体" w:cs="宋体"/>
          <w:color w:val="auto"/>
          <w:sz w:val="24"/>
          <w:highlight w:val="none"/>
        </w:rPr>
      </w:pPr>
    </w:p>
    <w:p w14:paraId="57BA445A">
      <w:pPr>
        <w:spacing w:line="340" w:lineRule="exact"/>
        <w:rPr>
          <w:rFonts w:ascii="宋体" w:cs="宋体"/>
          <w:color w:val="auto"/>
          <w:sz w:val="24"/>
          <w:highlight w:val="none"/>
        </w:rPr>
      </w:pPr>
    </w:p>
    <w:p w14:paraId="55756C3E">
      <w:pPr>
        <w:spacing w:line="340" w:lineRule="exact"/>
        <w:rPr>
          <w:rFonts w:ascii="宋体" w:cs="宋体"/>
          <w:color w:val="auto"/>
          <w:sz w:val="24"/>
          <w:highlight w:val="none"/>
        </w:rPr>
      </w:pPr>
    </w:p>
    <w:p w14:paraId="0470CC66">
      <w:pPr>
        <w:spacing w:line="340" w:lineRule="exact"/>
        <w:rPr>
          <w:rFonts w:ascii="宋体" w:cs="宋体"/>
          <w:color w:val="auto"/>
          <w:sz w:val="24"/>
          <w:highlight w:val="none"/>
        </w:rPr>
      </w:pPr>
    </w:p>
    <w:p w14:paraId="3BDB7164">
      <w:pPr>
        <w:spacing w:line="340" w:lineRule="exact"/>
        <w:rPr>
          <w:rFonts w:ascii="宋体" w:cs="宋体"/>
          <w:color w:val="auto"/>
          <w:sz w:val="24"/>
          <w:highlight w:val="none"/>
        </w:rPr>
      </w:pPr>
    </w:p>
    <w:p w14:paraId="23D3091D">
      <w:pPr>
        <w:spacing w:line="340" w:lineRule="exact"/>
        <w:rPr>
          <w:rFonts w:ascii="宋体" w:cs="宋体"/>
          <w:color w:val="auto"/>
          <w:sz w:val="24"/>
          <w:highlight w:val="none"/>
        </w:rPr>
      </w:pPr>
    </w:p>
    <w:p w14:paraId="0CF94EDA">
      <w:pPr>
        <w:spacing w:line="340" w:lineRule="exact"/>
        <w:rPr>
          <w:rFonts w:ascii="宋体" w:cs="宋体"/>
          <w:color w:val="auto"/>
          <w:sz w:val="24"/>
          <w:highlight w:val="none"/>
        </w:rPr>
      </w:pPr>
    </w:p>
    <w:p w14:paraId="4B742674">
      <w:pPr>
        <w:spacing w:line="340" w:lineRule="exact"/>
        <w:rPr>
          <w:rFonts w:ascii="宋体" w:cs="宋体"/>
          <w:color w:val="auto"/>
          <w:sz w:val="24"/>
          <w:highlight w:val="none"/>
        </w:rPr>
      </w:pPr>
    </w:p>
    <w:p w14:paraId="6E36E8C8">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5F0D4A47">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75250D5C">
      <w:pPr>
        <w:jc w:val="right"/>
        <w:rPr>
          <w:rFonts w:hint="eastAsia" w:ascii="宋体" w:hAnsi="宋体"/>
          <w:b/>
          <w:color w:val="auto"/>
          <w:sz w:val="30"/>
          <w:szCs w:val="30"/>
          <w:highlight w:val="none"/>
        </w:rPr>
      </w:pPr>
    </w:p>
    <w:p w14:paraId="4A3FCCEA">
      <w:pPr>
        <w:jc w:val="center"/>
        <w:rPr>
          <w:rFonts w:hint="eastAsia" w:ascii="宋体" w:hAnsi="宋体"/>
          <w:color w:val="auto"/>
          <w:sz w:val="24"/>
          <w:highlight w:val="none"/>
          <w:u w:val="single"/>
        </w:rPr>
      </w:pPr>
    </w:p>
    <w:p w14:paraId="59402FBE">
      <w:pPr>
        <w:jc w:val="center"/>
        <w:rPr>
          <w:rFonts w:hint="eastAsia" w:ascii="宋体" w:hAnsi="宋体"/>
          <w:color w:val="auto"/>
          <w:sz w:val="24"/>
          <w:highlight w:val="none"/>
          <w:u w:val="single"/>
        </w:rPr>
      </w:pPr>
    </w:p>
    <w:p w14:paraId="0B140DB0">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2FB78ABF">
      <w:pPr>
        <w:rPr>
          <w:rFonts w:hint="eastAsia" w:ascii="宋体" w:hAnsi="宋体"/>
          <w:color w:val="auto"/>
          <w:sz w:val="52"/>
          <w:highlight w:val="none"/>
        </w:rPr>
      </w:pPr>
    </w:p>
    <w:p w14:paraId="304A694C">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28401915">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656D8E27">
      <w:pPr>
        <w:jc w:val="center"/>
        <w:rPr>
          <w:rFonts w:hint="eastAsia" w:ascii="宋体" w:hAnsi="宋体"/>
          <w:b/>
          <w:bCs/>
          <w:color w:val="auto"/>
          <w:sz w:val="28"/>
          <w:highlight w:val="none"/>
        </w:rPr>
      </w:pPr>
    </w:p>
    <w:p w14:paraId="4505954B">
      <w:pPr>
        <w:jc w:val="center"/>
        <w:rPr>
          <w:rFonts w:hint="eastAsia" w:ascii="宋体" w:hAnsi="宋体"/>
          <w:b/>
          <w:bCs/>
          <w:color w:val="auto"/>
          <w:sz w:val="28"/>
          <w:highlight w:val="none"/>
        </w:rPr>
      </w:pPr>
    </w:p>
    <w:p w14:paraId="7BD9C43B">
      <w:pPr>
        <w:jc w:val="center"/>
        <w:rPr>
          <w:rFonts w:hint="eastAsia" w:ascii="宋体" w:hAnsi="宋体"/>
          <w:b/>
          <w:bCs/>
          <w:color w:val="auto"/>
          <w:sz w:val="28"/>
          <w:highlight w:val="none"/>
        </w:rPr>
      </w:pPr>
    </w:p>
    <w:p w14:paraId="0486495D">
      <w:pPr>
        <w:jc w:val="center"/>
        <w:rPr>
          <w:rFonts w:hint="eastAsia" w:ascii="宋体" w:hAnsi="宋体"/>
          <w:b/>
          <w:bCs/>
          <w:color w:val="auto"/>
          <w:sz w:val="28"/>
          <w:highlight w:val="none"/>
        </w:rPr>
      </w:pPr>
    </w:p>
    <w:p w14:paraId="6E2145C3">
      <w:pPr>
        <w:rPr>
          <w:rFonts w:hint="eastAsia" w:ascii="宋体" w:hAnsi="宋体"/>
          <w:b/>
          <w:bCs/>
          <w:color w:val="auto"/>
          <w:sz w:val="28"/>
          <w:highlight w:val="none"/>
        </w:rPr>
      </w:pPr>
    </w:p>
    <w:p w14:paraId="547CADCB">
      <w:pPr>
        <w:jc w:val="center"/>
        <w:rPr>
          <w:rFonts w:hint="eastAsia" w:ascii="宋体" w:hAnsi="宋体"/>
          <w:b/>
          <w:bCs/>
          <w:color w:val="auto"/>
          <w:sz w:val="28"/>
          <w:highlight w:val="none"/>
        </w:rPr>
      </w:pPr>
    </w:p>
    <w:p w14:paraId="6527E203">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28B514B7">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38DA7117">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4549A14E">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5C92B280">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4C375E16">
      <w:pPr>
        <w:spacing w:line="480" w:lineRule="auto"/>
        <w:jc w:val="center"/>
        <w:rPr>
          <w:rFonts w:hint="eastAsia" w:ascii="宋体" w:hAnsi="宋体" w:cs="宋体"/>
          <w:b/>
          <w:color w:val="auto"/>
          <w:sz w:val="48"/>
          <w:highlight w:val="none"/>
        </w:rPr>
      </w:pPr>
    </w:p>
    <w:p w14:paraId="58A43A5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09E89D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04ADFEEF">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9844BE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5BE17E6C">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45619D9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181540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763AE3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BE1B253">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753A8CEE">
      <w:pPr>
        <w:spacing w:line="360" w:lineRule="auto"/>
        <w:rPr>
          <w:rFonts w:hint="eastAsia" w:ascii="宋体" w:hAnsi="宋体" w:cs="宋体"/>
          <w:color w:val="auto"/>
          <w:sz w:val="24"/>
          <w:highlight w:val="none"/>
        </w:rPr>
      </w:pPr>
    </w:p>
    <w:p w14:paraId="3CE0DB63">
      <w:pPr>
        <w:spacing w:line="360" w:lineRule="auto"/>
        <w:rPr>
          <w:rFonts w:hint="eastAsia" w:ascii="宋体" w:hAnsi="宋体" w:cs="宋体"/>
          <w:color w:val="auto"/>
          <w:sz w:val="24"/>
          <w:highlight w:val="none"/>
        </w:rPr>
      </w:pPr>
    </w:p>
    <w:p w14:paraId="6FB2E3B4">
      <w:pPr>
        <w:spacing w:line="360" w:lineRule="auto"/>
        <w:rPr>
          <w:rFonts w:hint="eastAsia" w:ascii="宋体" w:hAnsi="宋体" w:cs="宋体"/>
          <w:color w:val="auto"/>
          <w:sz w:val="24"/>
          <w:highlight w:val="none"/>
        </w:rPr>
      </w:pPr>
    </w:p>
    <w:p w14:paraId="3E3869BA">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6AB9573E">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44219DF9">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4AA21BE">
      <w:pPr>
        <w:spacing w:line="360" w:lineRule="auto"/>
        <w:rPr>
          <w:rFonts w:hint="eastAsia" w:ascii="宋体" w:hAnsi="宋体" w:cs="宋体"/>
          <w:color w:val="auto"/>
          <w:sz w:val="24"/>
          <w:highlight w:val="none"/>
        </w:rPr>
      </w:pPr>
    </w:p>
    <w:p w14:paraId="7253B1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5C99D58C">
      <w:pPr>
        <w:jc w:val="center"/>
        <w:rPr>
          <w:rFonts w:hint="eastAsia" w:ascii="宋体" w:hAnsi="宋体" w:cs="宋体"/>
          <w:b/>
          <w:bCs/>
          <w:color w:val="auto"/>
          <w:sz w:val="36"/>
          <w:highlight w:val="none"/>
        </w:rPr>
      </w:pPr>
    </w:p>
    <w:p w14:paraId="3F017E36">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5471B56C">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1F1F609D">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4F718BC9">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760F2BBA">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2C82162A">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6E4E4814">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1F19F91A">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30F33412">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75C8BAFC">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35815603">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4CD370BA">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676566E2">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08822AF6">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30DEEA74">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1E272169">
      <w:pPr>
        <w:pStyle w:val="17"/>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24B00001">
      <w:pPr>
        <w:rPr>
          <w:rFonts w:hint="eastAsia"/>
          <w:color w:val="auto"/>
          <w:sz w:val="24"/>
          <w:szCs w:val="24"/>
          <w:highlight w:val="none"/>
        </w:rPr>
      </w:pPr>
    </w:p>
    <w:p w14:paraId="2919032C">
      <w:pPr>
        <w:pStyle w:val="17"/>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w:t>
      </w:r>
    </w:p>
    <w:p w14:paraId="42CF557F">
      <w:pPr>
        <w:pStyle w:val="17"/>
        <w:spacing w:line="380" w:lineRule="exact"/>
        <w:rPr>
          <w:rFonts w:hint="eastAsia" w:hAnsi="宋体" w:cs="宋体"/>
          <w:color w:val="auto"/>
          <w:sz w:val="24"/>
          <w:szCs w:val="24"/>
          <w:highlight w:val="none"/>
        </w:rPr>
      </w:pPr>
      <w:r>
        <w:rPr>
          <w:rFonts w:hint="eastAsia" w:hAnsi="宋体" w:cs="宋体"/>
          <w:color w:val="auto"/>
          <w:sz w:val="24"/>
          <w:szCs w:val="24"/>
          <w:highlight w:val="none"/>
        </w:rPr>
        <w:t>法定代表人或其授权的委托代理人（签字或盖章）：   年   月   日</w:t>
      </w:r>
    </w:p>
    <w:p w14:paraId="25E91632">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36689120">
      <w:pPr>
        <w:spacing w:line="360" w:lineRule="auto"/>
        <w:jc w:val="center"/>
        <w:outlineLvl w:val="2"/>
        <w:rPr>
          <w:rFonts w:ascii="宋体"/>
          <w:sz w:val="24"/>
          <w:highlight w:val="none"/>
        </w:rPr>
      </w:pPr>
      <w:r>
        <w:rPr>
          <w:rFonts w:hint="eastAsia" w:ascii="宋体" w:hAnsi="宋体"/>
          <w:b/>
          <w:bCs/>
          <w:sz w:val="36"/>
          <w:szCs w:val="36"/>
          <w:highlight w:val="none"/>
        </w:rPr>
        <w:t>服务质量保证承诺书</w:t>
      </w:r>
    </w:p>
    <w:p w14:paraId="621B6FE5">
      <w:pPr>
        <w:pStyle w:val="31"/>
        <w:snapToGrid w:val="0"/>
        <w:spacing w:line="500" w:lineRule="atLeast"/>
        <w:ind w:firstLine="480" w:firstLineChars="200"/>
        <w:rPr>
          <w:highlight w:val="none"/>
        </w:rPr>
      </w:pPr>
      <w:r>
        <w:rPr>
          <w:rFonts w:hint="eastAsia"/>
          <w:highlight w:val="none"/>
        </w:rPr>
        <w:t>根据贵方为</w:t>
      </w:r>
      <w:r>
        <w:rPr>
          <w:rFonts w:hint="eastAsia"/>
          <w:highlight w:val="none"/>
          <w:u w:val="single"/>
        </w:rPr>
        <w:t xml:space="preserve">      </w:t>
      </w:r>
      <w:r>
        <w:rPr>
          <w:rFonts w:hint="eastAsia"/>
          <w:highlight w:val="none"/>
        </w:rPr>
        <w:t xml:space="preserve">年 </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rPr>
        <w:t>（招标内容）招标项目的投标邀请，我方对该项目做出如下服务质量承诺：</w:t>
      </w:r>
    </w:p>
    <w:p w14:paraId="37DD4416">
      <w:pPr>
        <w:spacing w:line="360" w:lineRule="auto"/>
        <w:ind w:left="540"/>
        <w:rPr>
          <w:rFonts w:ascii="宋体" w:hAnsi="宋体" w:cs="宋体"/>
          <w:sz w:val="24"/>
          <w:highlight w:val="none"/>
        </w:rPr>
      </w:pPr>
      <w:r>
        <w:rPr>
          <w:rFonts w:hint="eastAsia" w:ascii="宋体" w:hAnsi="宋体" w:cs="宋体"/>
          <w:sz w:val="24"/>
          <w:highlight w:val="none"/>
        </w:rPr>
        <w:t>1、人员配置：</w:t>
      </w:r>
    </w:p>
    <w:p w14:paraId="1D709B0A">
      <w:pPr>
        <w:spacing w:line="360" w:lineRule="auto"/>
        <w:rPr>
          <w:rFonts w:ascii="宋体" w:hAnsi="宋体" w:cs="宋体"/>
          <w:sz w:val="24"/>
          <w:highlight w:val="none"/>
        </w:rPr>
      </w:pPr>
    </w:p>
    <w:p w14:paraId="0EAEF7FC">
      <w:pPr>
        <w:spacing w:line="360" w:lineRule="auto"/>
        <w:rPr>
          <w:rFonts w:ascii="宋体" w:hAnsi="宋体" w:cs="宋体"/>
          <w:sz w:val="24"/>
          <w:highlight w:val="none"/>
        </w:rPr>
      </w:pPr>
    </w:p>
    <w:p w14:paraId="6554973F">
      <w:pPr>
        <w:spacing w:line="360" w:lineRule="auto"/>
        <w:rPr>
          <w:rFonts w:ascii="宋体" w:hAnsi="宋体" w:cs="宋体"/>
          <w:sz w:val="24"/>
          <w:highlight w:val="none"/>
        </w:rPr>
      </w:pPr>
    </w:p>
    <w:p w14:paraId="29DD3516">
      <w:pPr>
        <w:spacing w:line="360" w:lineRule="auto"/>
        <w:ind w:left="480"/>
        <w:rPr>
          <w:rFonts w:ascii="宋体" w:hAnsi="宋体" w:cs="宋体"/>
          <w:sz w:val="24"/>
          <w:highlight w:val="none"/>
        </w:rPr>
      </w:pPr>
      <w:r>
        <w:rPr>
          <w:rFonts w:hint="eastAsia" w:ascii="宋体" w:hAnsi="宋体" w:cs="宋体"/>
          <w:sz w:val="24"/>
          <w:highlight w:val="none"/>
        </w:rPr>
        <w:t>2、设备配置：</w:t>
      </w:r>
    </w:p>
    <w:p w14:paraId="1319AE23">
      <w:pPr>
        <w:spacing w:line="360" w:lineRule="auto"/>
        <w:ind w:left="480"/>
        <w:rPr>
          <w:rFonts w:ascii="宋体" w:hAnsi="宋体" w:cs="宋体"/>
          <w:sz w:val="24"/>
          <w:highlight w:val="none"/>
        </w:rPr>
      </w:pPr>
    </w:p>
    <w:p w14:paraId="44AAD560">
      <w:pPr>
        <w:spacing w:line="360" w:lineRule="auto"/>
        <w:ind w:left="480"/>
        <w:rPr>
          <w:rFonts w:ascii="宋体" w:hAnsi="宋体" w:cs="宋体"/>
          <w:sz w:val="24"/>
          <w:highlight w:val="none"/>
        </w:rPr>
      </w:pPr>
    </w:p>
    <w:p w14:paraId="053C92D5">
      <w:pPr>
        <w:spacing w:line="360" w:lineRule="auto"/>
        <w:ind w:left="480"/>
        <w:rPr>
          <w:rFonts w:ascii="宋体" w:hAnsi="宋体" w:cs="宋体"/>
          <w:sz w:val="24"/>
          <w:highlight w:val="none"/>
        </w:rPr>
      </w:pPr>
    </w:p>
    <w:p w14:paraId="3752DA00">
      <w:pPr>
        <w:spacing w:line="360" w:lineRule="auto"/>
        <w:ind w:left="480"/>
        <w:rPr>
          <w:rFonts w:ascii="宋体" w:hAnsi="宋体" w:cs="宋体"/>
          <w:sz w:val="24"/>
          <w:highlight w:val="none"/>
        </w:rPr>
      </w:pPr>
      <w:r>
        <w:rPr>
          <w:rFonts w:hint="eastAsia" w:ascii="宋体" w:hAnsi="宋体" w:cs="宋体"/>
          <w:sz w:val="24"/>
          <w:highlight w:val="none"/>
        </w:rPr>
        <w:t>3、其它：</w:t>
      </w:r>
    </w:p>
    <w:p w14:paraId="13D6445D">
      <w:pPr>
        <w:spacing w:line="360" w:lineRule="auto"/>
        <w:rPr>
          <w:rFonts w:ascii="宋体"/>
          <w:sz w:val="24"/>
          <w:highlight w:val="none"/>
        </w:rPr>
      </w:pPr>
      <w:r>
        <w:rPr>
          <w:rFonts w:ascii="宋体"/>
          <w:sz w:val="24"/>
          <w:highlight w:val="none"/>
        </w:rPr>
        <w:t xml:space="preserve">                       </w:t>
      </w:r>
    </w:p>
    <w:p w14:paraId="18B062B9">
      <w:pPr>
        <w:spacing w:line="360" w:lineRule="auto"/>
        <w:rPr>
          <w:rFonts w:ascii="宋体"/>
          <w:sz w:val="24"/>
          <w:highlight w:val="none"/>
        </w:rPr>
      </w:pPr>
    </w:p>
    <w:p w14:paraId="5888E1E5">
      <w:pPr>
        <w:spacing w:line="360" w:lineRule="auto"/>
        <w:jc w:val="center"/>
        <w:rPr>
          <w:rFonts w:ascii="宋体"/>
          <w:sz w:val="24"/>
          <w:highlight w:val="none"/>
          <w:u w:val="single"/>
        </w:rPr>
      </w:pPr>
      <w:r>
        <w:rPr>
          <w:rFonts w:hint="eastAsia" w:ascii="宋体"/>
          <w:sz w:val="24"/>
          <w:highlight w:val="none"/>
        </w:rPr>
        <w:t>企业名称（盖电子签章）：</w:t>
      </w:r>
      <w:r>
        <w:rPr>
          <w:rFonts w:ascii="宋体"/>
          <w:sz w:val="24"/>
          <w:highlight w:val="none"/>
          <w:u w:val="single"/>
        </w:rPr>
        <w:t xml:space="preserve">                           </w:t>
      </w:r>
    </w:p>
    <w:p w14:paraId="56CFDCD9">
      <w:pPr>
        <w:spacing w:line="360" w:lineRule="auto"/>
        <w:jc w:val="center"/>
        <w:rPr>
          <w:rFonts w:ascii="宋体"/>
          <w:sz w:val="24"/>
          <w:highlight w:val="none"/>
        </w:rPr>
      </w:pPr>
      <w:r>
        <w:rPr>
          <w:rFonts w:hint="eastAsia" w:ascii="宋体"/>
          <w:sz w:val="24"/>
          <w:highlight w:val="none"/>
        </w:rPr>
        <w:t xml:space="preserve">              签字代表：</w:t>
      </w:r>
      <w:r>
        <w:rPr>
          <w:rFonts w:ascii="宋体"/>
          <w:sz w:val="24"/>
          <w:highlight w:val="none"/>
          <w:u w:val="single"/>
        </w:rPr>
        <w:t xml:space="preserve">                            </w:t>
      </w:r>
      <w:r>
        <w:rPr>
          <w:rFonts w:ascii="宋体"/>
          <w:sz w:val="24"/>
          <w:highlight w:val="none"/>
        </w:rPr>
        <w:t xml:space="preserve">           </w:t>
      </w:r>
    </w:p>
    <w:p w14:paraId="1FC62350">
      <w:pPr>
        <w:pStyle w:val="35"/>
        <w:ind w:left="2100" w:firstLine="0" w:firstLineChars="0"/>
        <w:jc w:val="right"/>
        <w:rPr>
          <w:rFonts w:ascii="宋体"/>
          <w:sz w:val="24"/>
          <w:highlight w:val="none"/>
        </w:rPr>
        <w:sectPr>
          <w:pgSz w:w="11906" w:h="16838"/>
          <w:pgMar w:top="1246" w:right="1134" w:bottom="1440" w:left="1418" w:header="851" w:footer="992" w:gutter="0"/>
          <w:cols w:space="720" w:num="1"/>
          <w:titlePg/>
          <w:docGrid w:type="lines" w:linePitch="312" w:charSpace="0"/>
        </w:sectPr>
      </w:pPr>
      <w:r>
        <w:rPr>
          <w:rFonts w:hint="eastAsia" w:ascii="宋体"/>
          <w:sz w:val="24"/>
          <w:highlight w:val="none"/>
        </w:rPr>
        <w:t>年</w:t>
      </w:r>
      <w:r>
        <w:rPr>
          <w:rFonts w:ascii="宋体"/>
          <w:sz w:val="24"/>
          <w:highlight w:val="none"/>
        </w:rPr>
        <w:t xml:space="preserve">      </w:t>
      </w:r>
      <w:r>
        <w:rPr>
          <w:rFonts w:hint="eastAsia" w:ascii="宋体"/>
          <w:sz w:val="24"/>
          <w:highlight w:val="none"/>
        </w:rPr>
        <w:t>月</w:t>
      </w:r>
      <w:r>
        <w:rPr>
          <w:rFonts w:ascii="宋体"/>
          <w:sz w:val="24"/>
          <w:highlight w:val="none"/>
        </w:rPr>
        <w:t xml:space="preserve">      </w:t>
      </w:r>
      <w:r>
        <w:rPr>
          <w:rFonts w:hint="eastAsia" w:ascii="宋体"/>
          <w:sz w:val="24"/>
          <w:highlight w:val="none"/>
        </w:rPr>
        <w:t>日</w:t>
      </w:r>
    </w:p>
    <w:p w14:paraId="6AD62EB8">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2A6E48C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521E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6CC24E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1815891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310B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0FCF3F8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2CA33B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1D52FDD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14A550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642DF4B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1320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0DA5CD3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1F7763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25B961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ED63639">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E25A5EB">
            <w:pPr>
              <w:spacing w:line="360" w:lineRule="auto"/>
              <w:rPr>
                <w:rFonts w:hint="eastAsia" w:ascii="宋体" w:hAnsi="宋体" w:eastAsia="宋体" w:cs="宋体"/>
                <w:color w:val="auto"/>
                <w:sz w:val="24"/>
                <w:highlight w:val="none"/>
              </w:rPr>
            </w:pPr>
          </w:p>
        </w:tc>
      </w:tr>
      <w:tr w14:paraId="75CE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E52EAB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C3C0DE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622128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F32A31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22B3158">
            <w:pPr>
              <w:spacing w:line="360" w:lineRule="auto"/>
              <w:rPr>
                <w:rFonts w:hint="eastAsia" w:ascii="宋体" w:hAnsi="宋体" w:eastAsia="宋体" w:cs="宋体"/>
                <w:color w:val="auto"/>
                <w:sz w:val="24"/>
                <w:highlight w:val="none"/>
              </w:rPr>
            </w:pPr>
          </w:p>
        </w:tc>
      </w:tr>
      <w:tr w14:paraId="1A6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C47FAE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DEC17A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9A42A4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FA5469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70BDDDD">
            <w:pPr>
              <w:spacing w:line="360" w:lineRule="auto"/>
              <w:rPr>
                <w:rFonts w:hint="eastAsia" w:ascii="宋体" w:hAnsi="宋体" w:eastAsia="宋体" w:cs="宋体"/>
                <w:color w:val="auto"/>
                <w:sz w:val="24"/>
                <w:highlight w:val="none"/>
              </w:rPr>
            </w:pPr>
          </w:p>
        </w:tc>
      </w:tr>
      <w:tr w14:paraId="70B4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EB7E9C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B8DB84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A3D1BD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328E94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4C43119">
            <w:pPr>
              <w:spacing w:line="360" w:lineRule="auto"/>
              <w:rPr>
                <w:rFonts w:hint="eastAsia" w:ascii="宋体" w:hAnsi="宋体" w:eastAsia="宋体" w:cs="宋体"/>
                <w:color w:val="auto"/>
                <w:sz w:val="24"/>
                <w:highlight w:val="none"/>
              </w:rPr>
            </w:pPr>
          </w:p>
        </w:tc>
      </w:tr>
      <w:tr w14:paraId="0B2C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4E7755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43E005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E63570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B00544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81D33D0">
            <w:pPr>
              <w:spacing w:line="360" w:lineRule="auto"/>
              <w:rPr>
                <w:rFonts w:hint="eastAsia" w:ascii="宋体" w:hAnsi="宋体" w:eastAsia="宋体" w:cs="宋体"/>
                <w:color w:val="auto"/>
                <w:sz w:val="24"/>
                <w:highlight w:val="none"/>
              </w:rPr>
            </w:pPr>
          </w:p>
        </w:tc>
      </w:tr>
      <w:tr w14:paraId="18AF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5A6E82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B078F5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2A6AAB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16F141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488F36F">
            <w:pPr>
              <w:spacing w:line="360" w:lineRule="auto"/>
              <w:rPr>
                <w:rFonts w:hint="eastAsia" w:ascii="宋体" w:hAnsi="宋体" w:eastAsia="宋体" w:cs="宋体"/>
                <w:color w:val="auto"/>
                <w:sz w:val="24"/>
                <w:highlight w:val="none"/>
              </w:rPr>
            </w:pPr>
          </w:p>
        </w:tc>
      </w:tr>
      <w:tr w14:paraId="093A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1EAE73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28AA17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8BFC41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B0E2E7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6D2BDC0">
            <w:pPr>
              <w:spacing w:line="360" w:lineRule="auto"/>
              <w:rPr>
                <w:rFonts w:hint="eastAsia" w:ascii="宋体" w:hAnsi="宋体" w:eastAsia="宋体" w:cs="宋体"/>
                <w:color w:val="auto"/>
                <w:sz w:val="24"/>
                <w:highlight w:val="none"/>
              </w:rPr>
            </w:pPr>
          </w:p>
        </w:tc>
      </w:tr>
      <w:tr w14:paraId="0221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1F1DED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8229BBB">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04D597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F245F2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2C157F5">
            <w:pPr>
              <w:spacing w:line="360" w:lineRule="auto"/>
              <w:rPr>
                <w:rFonts w:hint="eastAsia" w:ascii="宋体" w:hAnsi="宋体" w:eastAsia="宋体" w:cs="宋体"/>
                <w:color w:val="auto"/>
                <w:sz w:val="24"/>
                <w:highlight w:val="none"/>
              </w:rPr>
            </w:pPr>
          </w:p>
        </w:tc>
      </w:tr>
      <w:tr w14:paraId="271E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38822C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32ED7F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D78EF8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7E0AB8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C902670">
            <w:pPr>
              <w:spacing w:line="360" w:lineRule="auto"/>
              <w:rPr>
                <w:rFonts w:hint="eastAsia" w:ascii="宋体" w:hAnsi="宋体" w:eastAsia="宋体" w:cs="宋体"/>
                <w:color w:val="auto"/>
                <w:sz w:val="24"/>
                <w:highlight w:val="none"/>
              </w:rPr>
            </w:pPr>
          </w:p>
        </w:tc>
      </w:tr>
      <w:tr w14:paraId="4512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726D925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823075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BDDD85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2AA766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718E502">
            <w:pPr>
              <w:spacing w:line="360" w:lineRule="auto"/>
              <w:rPr>
                <w:rFonts w:hint="eastAsia" w:ascii="宋体" w:hAnsi="宋体" w:eastAsia="宋体" w:cs="宋体"/>
                <w:color w:val="auto"/>
                <w:sz w:val="24"/>
                <w:highlight w:val="none"/>
              </w:rPr>
            </w:pPr>
          </w:p>
        </w:tc>
      </w:tr>
      <w:tr w14:paraId="699A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61A215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BE3A8C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BD0741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C107AA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5794750">
            <w:pPr>
              <w:spacing w:line="360" w:lineRule="auto"/>
              <w:rPr>
                <w:rFonts w:hint="eastAsia" w:ascii="宋体" w:hAnsi="宋体" w:eastAsia="宋体" w:cs="宋体"/>
                <w:color w:val="auto"/>
                <w:sz w:val="24"/>
                <w:highlight w:val="none"/>
              </w:rPr>
            </w:pPr>
          </w:p>
        </w:tc>
      </w:tr>
      <w:tr w14:paraId="4B2D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93A2CE5">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81F9F5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EF8BD6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8CD0E9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F0C60BF">
            <w:pPr>
              <w:spacing w:line="360" w:lineRule="auto"/>
              <w:rPr>
                <w:rFonts w:hint="eastAsia" w:ascii="宋体" w:hAnsi="宋体" w:eastAsia="宋体" w:cs="宋体"/>
                <w:color w:val="auto"/>
                <w:sz w:val="24"/>
                <w:highlight w:val="none"/>
              </w:rPr>
            </w:pPr>
          </w:p>
        </w:tc>
      </w:tr>
      <w:tr w14:paraId="4ABF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CAACE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5E0D8E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DB6B86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D667C9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F237BE5">
            <w:pPr>
              <w:spacing w:line="360" w:lineRule="auto"/>
              <w:rPr>
                <w:rFonts w:hint="eastAsia" w:ascii="宋体" w:hAnsi="宋体" w:eastAsia="宋体" w:cs="宋体"/>
                <w:color w:val="auto"/>
                <w:sz w:val="24"/>
                <w:highlight w:val="none"/>
              </w:rPr>
            </w:pPr>
          </w:p>
        </w:tc>
      </w:tr>
      <w:tr w14:paraId="177C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F49127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D9D6FD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53E43A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3688D19">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E9F8030">
            <w:pPr>
              <w:spacing w:line="360" w:lineRule="auto"/>
              <w:rPr>
                <w:rFonts w:hint="eastAsia" w:ascii="宋体" w:hAnsi="宋体" w:eastAsia="宋体" w:cs="宋体"/>
                <w:color w:val="auto"/>
                <w:sz w:val="24"/>
                <w:highlight w:val="none"/>
              </w:rPr>
            </w:pPr>
          </w:p>
        </w:tc>
      </w:tr>
    </w:tbl>
    <w:p w14:paraId="45B04C3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0C317D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2034F02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12F1F9C6">
      <w:pPr>
        <w:spacing w:line="360" w:lineRule="auto"/>
        <w:rPr>
          <w:rFonts w:hint="eastAsia" w:ascii="宋体" w:hAnsi="宋体" w:cs="宋体"/>
          <w:color w:val="auto"/>
          <w:sz w:val="24"/>
          <w:highlight w:val="none"/>
        </w:rPr>
      </w:pPr>
    </w:p>
    <w:p w14:paraId="1864DFB7">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2DA81140">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0F014AC9">
      <w:pPr>
        <w:spacing w:line="360" w:lineRule="auto"/>
        <w:rPr>
          <w:rFonts w:hint="eastAsia" w:ascii="宋体" w:hAnsi="宋体" w:cs="宋体"/>
          <w:color w:val="auto"/>
          <w:sz w:val="24"/>
          <w:highlight w:val="none"/>
          <w:lang w:eastAsia="zh-CN"/>
        </w:rPr>
        <w:sectPr>
          <w:footerReference r:id="rId9" w:type="first"/>
          <w:headerReference r:id="rId7" w:type="default"/>
          <w:footerReference r:id="rId8" w:type="default"/>
          <w:pgSz w:w="11906" w:h="16838"/>
          <w:pgMar w:top="1246" w:right="1134" w:bottom="1440" w:left="1418" w:header="851" w:footer="992" w:gutter="0"/>
          <w:cols w:space="720" w:num="1"/>
          <w:titlePg/>
          <w:docGrid w:type="lines" w:linePitch="312" w:charSpace="0"/>
        </w:sectPr>
      </w:pPr>
      <w:r>
        <w:rPr>
          <w:rFonts w:hint="eastAsia" w:ascii="宋体" w:hAnsi="宋体" w:cs="宋体"/>
          <w:color w:val="auto"/>
          <w:sz w:val="24"/>
          <w:highlight w:val="none"/>
        </w:rPr>
        <w:t>3.此表在不改变表式内容的情况下可自行制作</w:t>
      </w:r>
      <w:r>
        <w:rPr>
          <w:rFonts w:hint="eastAsia" w:ascii="宋体" w:hAnsi="宋体" w:cs="宋体"/>
          <w:color w:val="auto"/>
          <w:sz w:val="24"/>
          <w:highlight w:val="none"/>
          <w:lang w:eastAsia="zh-CN"/>
        </w:rPr>
        <w:t>。</w:t>
      </w:r>
    </w:p>
    <w:p w14:paraId="5F2669DD">
      <w:pPr>
        <w:spacing w:line="360" w:lineRule="auto"/>
        <w:jc w:val="center"/>
        <w:outlineLvl w:val="2"/>
        <w:rPr>
          <w:rFonts w:ascii="宋体" w:hAnsi="宋体"/>
          <w:b/>
          <w:bCs/>
          <w:sz w:val="36"/>
          <w:szCs w:val="36"/>
          <w:highlight w:val="none"/>
        </w:rPr>
      </w:pPr>
      <w:r>
        <w:rPr>
          <w:rFonts w:hint="eastAsia" w:ascii="宋体" w:hAnsi="宋体"/>
          <w:b/>
          <w:bCs/>
          <w:sz w:val="36"/>
          <w:szCs w:val="36"/>
          <w:highlight w:val="none"/>
        </w:rPr>
        <w:t>设备及工具材料简要说明一览表</w:t>
      </w:r>
    </w:p>
    <w:p w14:paraId="2C866023">
      <w:pPr>
        <w:rPr>
          <w:highlight w:val="none"/>
        </w:rPr>
      </w:pPr>
    </w:p>
    <w:p w14:paraId="130A8856">
      <w:pPr>
        <w:pStyle w:val="33"/>
        <w:jc w:val="left"/>
        <w:outlineLvl w:val="9"/>
        <w:rPr>
          <w:rFonts w:asciiTheme="minorEastAsia" w:hAnsiTheme="minorEastAsia" w:eastAsiaTheme="minorEastAsia" w:cstheme="minorEastAsia"/>
          <w:sz w:val="21"/>
          <w:szCs w:val="21"/>
          <w:highlight w:val="none"/>
          <w:u w:val="single"/>
        </w:rPr>
      </w:pPr>
      <w:r>
        <w:rPr>
          <w:rFonts w:hint="eastAsia"/>
          <w:sz w:val="21"/>
          <w:szCs w:val="21"/>
          <w:highlight w:val="none"/>
        </w:rPr>
        <w:t>投标人名称（电子签章）：</w:t>
      </w:r>
      <w:r>
        <w:rPr>
          <w:rFonts w:hint="eastAsia" w:asciiTheme="minorEastAsia" w:hAnsiTheme="minorEastAsia" w:eastAsiaTheme="minorEastAsia" w:cstheme="minorEastAsia"/>
          <w:sz w:val="21"/>
          <w:szCs w:val="21"/>
          <w:highlight w:val="none"/>
          <w:u w:val="single"/>
        </w:rPr>
        <w:t xml:space="preserve">          </w:t>
      </w:r>
    </w:p>
    <w:p w14:paraId="041281D8">
      <w:pPr>
        <w:rPr>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5"/>
        <w:gridCol w:w="1595"/>
        <w:gridCol w:w="1595"/>
        <w:gridCol w:w="1595"/>
        <w:gridCol w:w="1595"/>
      </w:tblGrid>
      <w:tr w14:paraId="474E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1595" w:type="dxa"/>
            <w:vAlign w:val="center"/>
          </w:tcPr>
          <w:p w14:paraId="0E23E09C">
            <w:pPr>
              <w:pStyle w:val="33"/>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序号</w:t>
            </w:r>
          </w:p>
        </w:tc>
        <w:tc>
          <w:tcPr>
            <w:tcW w:w="1595" w:type="dxa"/>
            <w:vAlign w:val="center"/>
          </w:tcPr>
          <w:p w14:paraId="4DC126FB">
            <w:pPr>
              <w:pStyle w:val="33"/>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设备、工具名称</w:t>
            </w:r>
          </w:p>
        </w:tc>
        <w:tc>
          <w:tcPr>
            <w:tcW w:w="1595" w:type="dxa"/>
            <w:vAlign w:val="center"/>
          </w:tcPr>
          <w:p w14:paraId="492CFBFC">
            <w:pPr>
              <w:pStyle w:val="33"/>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单位</w:t>
            </w:r>
          </w:p>
        </w:tc>
        <w:tc>
          <w:tcPr>
            <w:tcW w:w="1595" w:type="dxa"/>
            <w:vAlign w:val="center"/>
          </w:tcPr>
          <w:p w14:paraId="2FC10380">
            <w:pPr>
              <w:pStyle w:val="33"/>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数量</w:t>
            </w:r>
          </w:p>
        </w:tc>
        <w:tc>
          <w:tcPr>
            <w:tcW w:w="1595" w:type="dxa"/>
            <w:vAlign w:val="center"/>
          </w:tcPr>
          <w:p w14:paraId="6B416661">
            <w:pPr>
              <w:pStyle w:val="33"/>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品牌型号</w:t>
            </w:r>
          </w:p>
        </w:tc>
        <w:tc>
          <w:tcPr>
            <w:tcW w:w="1595" w:type="dxa"/>
            <w:vAlign w:val="center"/>
          </w:tcPr>
          <w:p w14:paraId="24F3E1DD">
            <w:pPr>
              <w:pStyle w:val="33"/>
              <w:keepNext w:val="0"/>
              <w:keepLines w:val="0"/>
              <w:pageBreakBefore w:val="0"/>
              <w:widowControl w:val="0"/>
              <w:kinsoku/>
              <w:wordWrap/>
              <w:overflowPunct/>
              <w:topLinePunct w:val="0"/>
              <w:autoSpaceDE/>
              <w:autoSpaceDN/>
              <w:bidi w:val="0"/>
              <w:adjustRightInd/>
              <w:snapToGrid/>
              <w:spacing w:before="0" w:after="0"/>
              <w:ind w:firstLine="0"/>
              <w:textAlignment w:val="auto"/>
              <w:outlineLvl w:val="9"/>
              <w:rPr>
                <w:sz w:val="21"/>
                <w:szCs w:val="21"/>
                <w:highlight w:val="none"/>
              </w:rPr>
            </w:pPr>
            <w:r>
              <w:rPr>
                <w:rFonts w:hint="eastAsia"/>
                <w:sz w:val="21"/>
                <w:szCs w:val="21"/>
                <w:highlight w:val="none"/>
              </w:rPr>
              <w:t>备注</w:t>
            </w:r>
          </w:p>
        </w:tc>
      </w:tr>
      <w:tr w14:paraId="459B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F4FDC4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67BD9C1">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E15FD65">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833829A">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A380195">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22913F1">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1E65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65EE4A14">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1B23E1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4E8FC64">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A0B2F0D">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002A9F7A">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80B50C7">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34D6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95D067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5287620">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2AE813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5AC3EFA">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95BF57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D013DD8">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7EA8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82B9763">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01C2B74">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4B2B78E">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3FF91E6">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8B313E1">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597BD3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58D2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D44DE78">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A291A0F">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9E1A5E8">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0E34662">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28D8E4A">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BFC399C">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2A3E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FC24083">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883BF3C">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93FBF26">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3ED7024">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1406FFD">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A604B6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462A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2ACECA1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E3D0864">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0A018C8">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636450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B8A8491">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2746B54">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4A35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723F8316">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CDCD47F">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E3693CF">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8B1A682">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D5A0C2D">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410C85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1A95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B7B0F2C">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077E8B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3E873D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6433A6E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DF1F7B3">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F8187E3">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018F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F92CDF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11D11B8">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C665E93">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75FD544">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477A9829">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7ECC57F2">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r w14:paraId="74E6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CAA0E88">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18544FDB">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2580849F">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10B262C">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5741F67F">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c>
          <w:tcPr>
            <w:tcW w:w="1595" w:type="dxa"/>
          </w:tcPr>
          <w:p w14:paraId="3A193021">
            <w:pPr>
              <w:pStyle w:val="33"/>
              <w:keepNext w:val="0"/>
              <w:keepLines w:val="0"/>
              <w:pageBreakBefore w:val="0"/>
              <w:widowControl w:val="0"/>
              <w:kinsoku/>
              <w:wordWrap/>
              <w:overflowPunct/>
              <w:topLinePunct w:val="0"/>
              <w:autoSpaceDE/>
              <w:autoSpaceDN/>
              <w:bidi w:val="0"/>
              <w:adjustRightInd/>
              <w:snapToGrid/>
              <w:ind w:firstLine="0"/>
              <w:textAlignment w:val="auto"/>
              <w:outlineLvl w:val="9"/>
              <w:rPr>
                <w:sz w:val="21"/>
                <w:szCs w:val="21"/>
                <w:highlight w:val="none"/>
              </w:rPr>
            </w:pPr>
          </w:p>
        </w:tc>
      </w:tr>
    </w:tbl>
    <w:p w14:paraId="49393A9E">
      <w:pPr>
        <w:pStyle w:val="33"/>
        <w:outlineLvl w:val="9"/>
        <w:rPr>
          <w:highlight w:val="none"/>
        </w:rPr>
      </w:pPr>
    </w:p>
    <w:p w14:paraId="37515A8D">
      <w:pPr>
        <w:rPr>
          <w:highlight w:val="none"/>
        </w:rPr>
      </w:pPr>
      <w:r>
        <w:rPr>
          <w:rFonts w:hint="eastAsia"/>
          <w:highlight w:val="none"/>
        </w:rPr>
        <w:t>投标人代表签字：</w:t>
      </w:r>
    </w:p>
    <w:p w14:paraId="2CB530B7">
      <w:pPr>
        <w:rPr>
          <w:highlight w:val="none"/>
        </w:rPr>
      </w:pPr>
      <w:r>
        <w:rPr>
          <w:rFonts w:hint="eastAsia"/>
          <w:highlight w:val="none"/>
        </w:rPr>
        <w:t>职务：</w:t>
      </w:r>
    </w:p>
    <w:p w14:paraId="1E1AA4A3">
      <w:pPr>
        <w:rPr>
          <w:highlight w:val="none"/>
        </w:rPr>
      </w:pPr>
      <w:r>
        <w:rPr>
          <w:rFonts w:hint="eastAsia"/>
          <w:highlight w:val="none"/>
        </w:rPr>
        <w:t>日 期：      年    月   日</w:t>
      </w:r>
    </w:p>
    <w:p w14:paraId="07FDA623">
      <w:pPr>
        <w:pStyle w:val="33"/>
        <w:outlineLvl w:val="9"/>
        <w:rPr>
          <w:highlight w:val="none"/>
        </w:rPr>
      </w:pPr>
    </w:p>
    <w:p w14:paraId="6F2723B0">
      <w:pPr>
        <w:rPr>
          <w:highlight w:val="none"/>
        </w:rPr>
      </w:pPr>
      <w:r>
        <w:rPr>
          <w:rFonts w:hint="eastAsia"/>
          <w:highlight w:val="none"/>
        </w:rPr>
        <w:t>备注：1.此表可在不改变格式的情况下自行制作；</w:t>
      </w:r>
    </w:p>
    <w:p w14:paraId="4AD09F2F">
      <w:pPr>
        <w:pStyle w:val="33"/>
        <w:jc w:val="both"/>
        <w:outlineLvl w:val="9"/>
        <w:rPr>
          <w:rFonts w:ascii="Times New Roman" w:hAnsi="Times New Roman"/>
          <w:b w:val="0"/>
          <w:bCs w:val="0"/>
          <w:sz w:val="21"/>
          <w:szCs w:val="24"/>
          <w:highlight w:val="none"/>
        </w:rPr>
        <w:sectPr>
          <w:pgSz w:w="11906" w:h="16838"/>
          <w:pgMar w:top="1246" w:right="1134" w:bottom="1440" w:left="1418" w:header="851" w:footer="992" w:gutter="0"/>
          <w:cols w:space="720" w:num="1"/>
          <w:titlePg/>
          <w:docGrid w:type="lines" w:linePitch="312" w:charSpace="0"/>
        </w:sectPr>
      </w:pPr>
      <w:r>
        <w:rPr>
          <w:rFonts w:hint="eastAsia" w:ascii="Times New Roman" w:hAnsi="Times New Roman"/>
          <w:b w:val="0"/>
          <w:bCs w:val="0"/>
          <w:sz w:val="21"/>
          <w:szCs w:val="24"/>
          <w:highlight w:val="none"/>
        </w:rPr>
        <w:t>2.投标人应按每项材料进行填列；</w:t>
      </w:r>
    </w:p>
    <w:p w14:paraId="3A569F2C">
      <w:pPr>
        <w:jc w:val="center"/>
        <w:outlineLvl w:val="2"/>
        <w:rPr>
          <w:rFonts w:hint="eastAsia" w:ascii="宋体" w:hAnsi="宋体" w:cs="宋体"/>
          <w:b/>
          <w:bCs/>
          <w:color w:val="000000"/>
          <w:sz w:val="36"/>
          <w:highlight w:val="none"/>
        </w:rPr>
      </w:pPr>
      <w:r>
        <w:rPr>
          <w:rFonts w:hint="eastAsia" w:ascii="宋体" w:hAnsi="宋体" w:cs="宋体"/>
          <w:b/>
          <w:bCs/>
          <w:color w:val="000000"/>
          <w:sz w:val="36"/>
          <w:highlight w:val="none"/>
        </w:rPr>
        <w:t>拟投入本项目</w:t>
      </w:r>
      <w:r>
        <w:rPr>
          <w:rFonts w:hint="eastAsia" w:ascii="宋体" w:hAnsi="宋体" w:cs="宋体"/>
          <w:b/>
          <w:bCs/>
          <w:color w:val="000000"/>
          <w:sz w:val="36"/>
          <w:highlight w:val="none"/>
          <w:lang w:val="en-US" w:eastAsia="zh-CN"/>
        </w:rPr>
        <w:t>工作</w:t>
      </w:r>
      <w:r>
        <w:rPr>
          <w:rFonts w:hint="eastAsia" w:ascii="宋体" w:hAnsi="宋体" w:cs="宋体"/>
          <w:b/>
          <w:bCs/>
          <w:color w:val="000000"/>
          <w:sz w:val="36"/>
          <w:highlight w:val="none"/>
        </w:rPr>
        <w:t>人员</w:t>
      </w:r>
      <w:r>
        <w:rPr>
          <w:rFonts w:hint="eastAsia" w:ascii="宋体" w:hAnsi="宋体" w:cs="宋体"/>
          <w:b/>
          <w:bCs/>
          <w:color w:val="000000"/>
          <w:sz w:val="36"/>
          <w:highlight w:val="none"/>
          <w:lang w:val="en-US" w:eastAsia="zh-CN"/>
        </w:rPr>
        <w:t>一览表</w:t>
      </w:r>
      <w:r>
        <w:rPr>
          <w:rFonts w:hint="eastAsia" w:ascii="宋体" w:hAnsi="宋体" w:cs="宋体"/>
          <w:b/>
          <w:bCs/>
          <w:color w:val="000000"/>
          <w:sz w:val="36"/>
          <w:highlight w:val="none"/>
        </w:rPr>
        <w:t>（格式）</w:t>
      </w:r>
    </w:p>
    <w:p w14:paraId="149285D0">
      <w:pPr>
        <w:tabs>
          <w:tab w:val="left" w:pos="360"/>
        </w:tabs>
        <w:spacing w:line="360" w:lineRule="auto"/>
        <w:rPr>
          <w:rFonts w:hint="eastAsia" w:ascii="宋体" w:hAnsi="宋体" w:cs="宋体"/>
          <w:b/>
          <w:bCs/>
          <w:color w:val="000000"/>
          <w:highlight w:val="none"/>
        </w:rPr>
      </w:pPr>
      <w:r>
        <w:rPr>
          <w:rFonts w:hint="eastAsia" w:ascii="宋体" w:hAnsi="宋体" w:cs="宋体"/>
          <w:bCs/>
          <w:color w:val="000000"/>
          <w:sz w:val="24"/>
          <w:szCs w:val="28"/>
          <w:highlight w:val="none"/>
        </w:rPr>
        <w:t>投标人（公章）：</w:t>
      </w:r>
      <w:r>
        <w:rPr>
          <w:rFonts w:hint="eastAsia" w:ascii="宋体" w:hAnsi="宋体" w:cs="宋体"/>
          <w:bCs/>
          <w:color w:val="000000"/>
          <w:sz w:val="24"/>
          <w:szCs w:val="28"/>
          <w:highlight w:val="none"/>
          <w:u w:val="single"/>
        </w:rPr>
        <w:t xml:space="preserve">                          </w:t>
      </w:r>
    </w:p>
    <w:tbl>
      <w:tblPr>
        <w:tblStyle w:val="38"/>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1440"/>
        <w:gridCol w:w="1460"/>
        <w:gridCol w:w="2680"/>
        <w:gridCol w:w="1542"/>
      </w:tblGrid>
      <w:tr w14:paraId="7FE2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4AA5429B">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姓名</w:t>
            </w:r>
          </w:p>
        </w:tc>
        <w:tc>
          <w:tcPr>
            <w:tcW w:w="900" w:type="dxa"/>
            <w:noWrap w:val="0"/>
            <w:vAlign w:val="center"/>
          </w:tcPr>
          <w:p w14:paraId="647F3715">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性别</w:t>
            </w:r>
          </w:p>
        </w:tc>
        <w:tc>
          <w:tcPr>
            <w:tcW w:w="1440" w:type="dxa"/>
            <w:noWrap w:val="0"/>
            <w:vAlign w:val="center"/>
          </w:tcPr>
          <w:p w14:paraId="037235BE">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职称</w:t>
            </w:r>
          </w:p>
        </w:tc>
        <w:tc>
          <w:tcPr>
            <w:tcW w:w="1460" w:type="dxa"/>
            <w:noWrap w:val="0"/>
            <w:vAlign w:val="center"/>
          </w:tcPr>
          <w:p w14:paraId="73332E78">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从事岗位</w:t>
            </w:r>
          </w:p>
        </w:tc>
        <w:tc>
          <w:tcPr>
            <w:tcW w:w="2680" w:type="dxa"/>
            <w:noWrap w:val="0"/>
            <w:vAlign w:val="center"/>
          </w:tcPr>
          <w:p w14:paraId="6ABE5DA0">
            <w:pPr>
              <w:tabs>
                <w:tab w:val="left" w:pos="360"/>
              </w:tabs>
              <w:spacing w:line="460" w:lineRule="exact"/>
              <w:jc w:val="center"/>
              <w:rPr>
                <w:rFonts w:hint="eastAsia" w:ascii="宋体" w:hAnsi="宋体" w:cs="宋体"/>
                <w:color w:val="000000"/>
                <w:sz w:val="24"/>
                <w:highlight w:val="none"/>
              </w:rPr>
            </w:pPr>
            <w:r>
              <w:rPr>
                <w:rFonts w:hint="eastAsia" w:ascii="宋体" w:hAnsi="宋体" w:cs="宋体"/>
                <w:color w:val="000000"/>
                <w:sz w:val="24"/>
                <w:highlight w:val="none"/>
              </w:rPr>
              <w:t>联系电话</w:t>
            </w:r>
          </w:p>
        </w:tc>
        <w:tc>
          <w:tcPr>
            <w:tcW w:w="1542" w:type="dxa"/>
            <w:noWrap w:val="0"/>
            <w:vAlign w:val="center"/>
          </w:tcPr>
          <w:p w14:paraId="65C3CA2C">
            <w:pPr>
              <w:tabs>
                <w:tab w:val="left" w:pos="360"/>
              </w:tabs>
              <w:jc w:val="center"/>
              <w:rPr>
                <w:rFonts w:hint="eastAsia" w:ascii="宋体" w:hAnsi="宋体" w:cs="宋体"/>
                <w:color w:val="000000"/>
                <w:sz w:val="24"/>
                <w:highlight w:val="none"/>
              </w:rPr>
            </w:pPr>
            <w:r>
              <w:rPr>
                <w:rFonts w:hint="eastAsia" w:ascii="宋体" w:hAnsi="宋体" w:cs="宋体"/>
                <w:color w:val="000000"/>
                <w:sz w:val="24"/>
                <w:highlight w:val="none"/>
              </w:rPr>
              <w:t>从事</w:t>
            </w:r>
          </w:p>
          <w:p w14:paraId="01D0983A">
            <w:pPr>
              <w:tabs>
                <w:tab w:val="left" w:pos="360"/>
              </w:tabs>
              <w:jc w:val="center"/>
              <w:rPr>
                <w:rFonts w:hint="eastAsia" w:ascii="宋体" w:hAnsi="宋体" w:cs="宋体"/>
                <w:color w:val="000000"/>
                <w:sz w:val="24"/>
                <w:highlight w:val="none"/>
              </w:rPr>
            </w:pPr>
            <w:r>
              <w:rPr>
                <w:rFonts w:hint="eastAsia" w:ascii="宋体" w:hAnsi="宋体" w:cs="宋体"/>
                <w:color w:val="000000"/>
                <w:sz w:val="24"/>
                <w:highlight w:val="none"/>
              </w:rPr>
              <w:t>工作时间</w:t>
            </w:r>
          </w:p>
        </w:tc>
      </w:tr>
      <w:tr w14:paraId="5404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2633DC68">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774736C5">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4106EDCC">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0FCC91CA">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3A39F72F">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47E1921F">
            <w:pPr>
              <w:tabs>
                <w:tab w:val="left" w:pos="360"/>
              </w:tabs>
              <w:spacing w:line="460" w:lineRule="exact"/>
              <w:jc w:val="center"/>
              <w:rPr>
                <w:rFonts w:hint="eastAsia" w:ascii="宋体" w:hAnsi="宋体" w:cs="宋体"/>
                <w:color w:val="000000"/>
                <w:sz w:val="24"/>
                <w:highlight w:val="none"/>
              </w:rPr>
            </w:pPr>
          </w:p>
        </w:tc>
      </w:tr>
      <w:tr w14:paraId="665E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5152AB5B">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6256E9D2">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2FA31471">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2340D96C">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3E721D22">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27E6ABF7">
            <w:pPr>
              <w:tabs>
                <w:tab w:val="left" w:pos="360"/>
              </w:tabs>
              <w:spacing w:line="460" w:lineRule="exact"/>
              <w:jc w:val="center"/>
              <w:rPr>
                <w:rFonts w:hint="eastAsia" w:ascii="宋体" w:hAnsi="宋体" w:cs="宋体"/>
                <w:color w:val="000000"/>
                <w:sz w:val="24"/>
                <w:highlight w:val="none"/>
              </w:rPr>
            </w:pPr>
          </w:p>
        </w:tc>
      </w:tr>
      <w:tr w14:paraId="2DF5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728D6C6D">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659C6424">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20B77C0F">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1D850EDD">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5E026337">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40CA8B97">
            <w:pPr>
              <w:tabs>
                <w:tab w:val="left" w:pos="360"/>
              </w:tabs>
              <w:spacing w:line="460" w:lineRule="exact"/>
              <w:jc w:val="center"/>
              <w:rPr>
                <w:rFonts w:hint="eastAsia" w:ascii="宋体" w:hAnsi="宋体" w:cs="宋体"/>
                <w:color w:val="000000"/>
                <w:sz w:val="24"/>
                <w:highlight w:val="none"/>
              </w:rPr>
            </w:pPr>
          </w:p>
        </w:tc>
      </w:tr>
      <w:tr w14:paraId="14D1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4496AB66">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20913235">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0E4C620A">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03AB1217">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14444E3A">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2FEAFA24">
            <w:pPr>
              <w:tabs>
                <w:tab w:val="left" w:pos="360"/>
              </w:tabs>
              <w:spacing w:line="460" w:lineRule="exact"/>
              <w:jc w:val="center"/>
              <w:rPr>
                <w:rFonts w:hint="eastAsia" w:ascii="宋体" w:hAnsi="宋体" w:cs="宋体"/>
                <w:color w:val="000000"/>
                <w:sz w:val="24"/>
                <w:highlight w:val="none"/>
              </w:rPr>
            </w:pPr>
          </w:p>
        </w:tc>
      </w:tr>
      <w:tr w14:paraId="6D9B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4AEF1DA8">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0DE35C30">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105F90B5">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30DA55C7">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09949162">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7CA23B62">
            <w:pPr>
              <w:tabs>
                <w:tab w:val="left" w:pos="360"/>
              </w:tabs>
              <w:spacing w:line="460" w:lineRule="exact"/>
              <w:jc w:val="center"/>
              <w:rPr>
                <w:rFonts w:hint="eastAsia" w:ascii="宋体" w:hAnsi="宋体" w:cs="宋体"/>
                <w:color w:val="000000"/>
                <w:sz w:val="24"/>
                <w:highlight w:val="none"/>
              </w:rPr>
            </w:pPr>
          </w:p>
        </w:tc>
      </w:tr>
      <w:tr w14:paraId="385E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538E5647">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690C2EC1">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16E7203C">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76A6B780">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613E37B3">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5C2B1C73">
            <w:pPr>
              <w:tabs>
                <w:tab w:val="left" w:pos="360"/>
              </w:tabs>
              <w:spacing w:line="460" w:lineRule="exact"/>
              <w:jc w:val="center"/>
              <w:rPr>
                <w:rFonts w:hint="eastAsia" w:ascii="宋体" w:hAnsi="宋体" w:cs="宋体"/>
                <w:color w:val="000000"/>
                <w:sz w:val="24"/>
                <w:highlight w:val="none"/>
              </w:rPr>
            </w:pPr>
          </w:p>
        </w:tc>
      </w:tr>
      <w:tr w14:paraId="3304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02022C4">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3580F26A">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24A77911">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5B6C134D">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6B4D31E4">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2410747B">
            <w:pPr>
              <w:tabs>
                <w:tab w:val="left" w:pos="360"/>
              </w:tabs>
              <w:spacing w:line="460" w:lineRule="exact"/>
              <w:jc w:val="center"/>
              <w:rPr>
                <w:rFonts w:hint="eastAsia" w:ascii="宋体" w:hAnsi="宋体" w:cs="宋体"/>
                <w:color w:val="000000"/>
                <w:sz w:val="24"/>
                <w:highlight w:val="none"/>
              </w:rPr>
            </w:pPr>
          </w:p>
        </w:tc>
      </w:tr>
      <w:tr w14:paraId="17D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095B80AE">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7DDBF85A">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3243F404">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0A983395">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0CC21969">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7056218C">
            <w:pPr>
              <w:tabs>
                <w:tab w:val="left" w:pos="360"/>
              </w:tabs>
              <w:spacing w:line="460" w:lineRule="exact"/>
              <w:jc w:val="center"/>
              <w:rPr>
                <w:rFonts w:hint="eastAsia" w:ascii="宋体" w:hAnsi="宋体" w:cs="宋体"/>
                <w:color w:val="000000"/>
                <w:sz w:val="24"/>
                <w:highlight w:val="none"/>
              </w:rPr>
            </w:pPr>
          </w:p>
        </w:tc>
      </w:tr>
      <w:tr w14:paraId="3E98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B6E282A">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141D6B41">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5F034971">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1EB75F66">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6B7D8A4F">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43FD6386">
            <w:pPr>
              <w:tabs>
                <w:tab w:val="left" w:pos="360"/>
              </w:tabs>
              <w:spacing w:line="460" w:lineRule="exact"/>
              <w:jc w:val="center"/>
              <w:rPr>
                <w:rFonts w:hint="eastAsia" w:ascii="宋体" w:hAnsi="宋体" w:cs="宋体"/>
                <w:color w:val="000000"/>
                <w:sz w:val="24"/>
                <w:highlight w:val="none"/>
              </w:rPr>
            </w:pPr>
          </w:p>
        </w:tc>
      </w:tr>
      <w:tr w14:paraId="5F34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65F0C491">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1F9E12FC">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67E1C59B">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02654A93">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3E8446FA">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297C1B27">
            <w:pPr>
              <w:tabs>
                <w:tab w:val="left" w:pos="360"/>
              </w:tabs>
              <w:spacing w:line="460" w:lineRule="exact"/>
              <w:jc w:val="center"/>
              <w:rPr>
                <w:rFonts w:hint="eastAsia" w:ascii="宋体" w:hAnsi="宋体" w:cs="宋体"/>
                <w:color w:val="000000"/>
                <w:sz w:val="24"/>
                <w:highlight w:val="none"/>
              </w:rPr>
            </w:pPr>
          </w:p>
        </w:tc>
      </w:tr>
      <w:tr w14:paraId="14E3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794E43DE">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22A29BA8">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3074A90E">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5B681C6B">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6087B970">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66E2E5C3">
            <w:pPr>
              <w:tabs>
                <w:tab w:val="left" w:pos="360"/>
              </w:tabs>
              <w:spacing w:line="460" w:lineRule="exact"/>
              <w:jc w:val="center"/>
              <w:rPr>
                <w:rFonts w:hint="eastAsia" w:ascii="宋体" w:hAnsi="宋体" w:cs="宋体"/>
                <w:color w:val="000000"/>
                <w:sz w:val="24"/>
                <w:highlight w:val="none"/>
              </w:rPr>
            </w:pPr>
          </w:p>
        </w:tc>
      </w:tr>
      <w:tr w14:paraId="1401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065209FE">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3007BEBE">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27AAB283">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32EC8754">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2209F8C2">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38C0257C">
            <w:pPr>
              <w:tabs>
                <w:tab w:val="left" w:pos="360"/>
              </w:tabs>
              <w:spacing w:line="460" w:lineRule="exact"/>
              <w:jc w:val="center"/>
              <w:rPr>
                <w:rFonts w:hint="eastAsia" w:ascii="宋体" w:hAnsi="宋体" w:cs="宋体"/>
                <w:color w:val="000000"/>
                <w:sz w:val="24"/>
                <w:highlight w:val="none"/>
              </w:rPr>
            </w:pPr>
          </w:p>
        </w:tc>
      </w:tr>
      <w:tr w14:paraId="5C33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1CAA6D5E">
            <w:pPr>
              <w:tabs>
                <w:tab w:val="left" w:pos="360"/>
              </w:tabs>
              <w:spacing w:line="460" w:lineRule="exact"/>
              <w:jc w:val="center"/>
              <w:rPr>
                <w:rFonts w:hint="eastAsia" w:ascii="宋体" w:hAnsi="宋体" w:cs="宋体"/>
                <w:color w:val="000000"/>
                <w:sz w:val="24"/>
                <w:highlight w:val="none"/>
              </w:rPr>
            </w:pPr>
          </w:p>
        </w:tc>
        <w:tc>
          <w:tcPr>
            <w:tcW w:w="900" w:type="dxa"/>
            <w:noWrap w:val="0"/>
            <w:vAlign w:val="center"/>
          </w:tcPr>
          <w:p w14:paraId="5242D825">
            <w:pPr>
              <w:tabs>
                <w:tab w:val="left" w:pos="360"/>
              </w:tabs>
              <w:spacing w:line="460" w:lineRule="exact"/>
              <w:jc w:val="center"/>
              <w:rPr>
                <w:rFonts w:hint="eastAsia" w:ascii="宋体" w:hAnsi="宋体" w:cs="宋体"/>
                <w:color w:val="000000"/>
                <w:sz w:val="24"/>
                <w:highlight w:val="none"/>
              </w:rPr>
            </w:pPr>
          </w:p>
        </w:tc>
        <w:tc>
          <w:tcPr>
            <w:tcW w:w="1440" w:type="dxa"/>
            <w:noWrap w:val="0"/>
            <w:vAlign w:val="center"/>
          </w:tcPr>
          <w:p w14:paraId="3FF97571">
            <w:pPr>
              <w:tabs>
                <w:tab w:val="left" w:pos="360"/>
              </w:tabs>
              <w:spacing w:line="460" w:lineRule="exact"/>
              <w:jc w:val="center"/>
              <w:rPr>
                <w:rFonts w:hint="eastAsia" w:ascii="宋体" w:hAnsi="宋体" w:cs="宋体"/>
                <w:color w:val="000000"/>
                <w:sz w:val="24"/>
                <w:highlight w:val="none"/>
              </w:rPr>
            </w:pPr>
          </w:p>
        </w:tc>
        <w:tc>
          <w:tcPr>
            <w:tcW w:w="1460" w:type="dxa"/>
            <w:noWrap w:val="0"/>
            <w:vAlign w:val="center"/>
          </w:tcPr>
          <w:p w14:paraId="2BDA7EDF">
            <w:pPr>
              <w:tabs>
                <w:tab w:val="left" w:pos="360"/>
              </w:tabs>
              <w:spacing w:line="460" w:lineRule="exact"/>
              <w:jc w:val="center"/>
              <w:rPr>
                <w:rFonts w:hint="eastAsia" w:ascii="宋体" w:hAnsi="宋体" w:cs="宋体"/>
                <w:color w:val="000000"/>
                <w:sz w:val="24"/>
                <w:highlight w:val="none"/>
              </w:rPr>
            </w:pPr>
          </w:p>
        </w:tc>
        <w:tc>
          <w:tcPr>
            <w:tcW w:w="2680" w:type="dxa"/>
            <w:noWrap w:val="0"/>
            <w:vAlign w:val="center"/>
          </w:tcPr>
          <w:p w14:paraId="0DDEFEBF">
            <w:pPr>
              <w:tabs>
                <w:tab w:val="left" w:pos="360"/>
              </w:tabs>
              <w:spacing w:line="460" w:lineRule="exact"/>
              <w:jc w:val="center"/>
              <w:rPr>
                <w:rFonts w:hint="eastAsia" w:ascii="宋体" w:hAnsi="宋体" w:cs="宋体"/>
                <w:color w:val="000000"/>
                <w:sz w:val="24"/>
                <w:highlight w:val="none"/>
              </w:rPr>
            </w:pPr>
          </w:p>
        </w:tc>
        <w:tc>
          <w:tcPr>
            <w:tcW w:w="1542" w:type="dxa"/>
            <w:noWrap w:val="0"/>
            <w:vAlign w:val="center"/>
          </w:tcPr>
          <w:p w14:paraId="1A6442F0">
            <w:pPr>
              <w:tabs>
                <w:tab w:val="left" w:pos="360"/>
              </w:tabs>
              <w:spacing w:line="460" w:lineRule="exact"/>
              <w:jc w:val="center"/>
              <w:rPr>
                <w:rFonts w:hint="eastAsia" w:ascii="宋体" w:hAnsi="宋体" w:cs="宋体"/>
                <w:color w:val="000000"/>
                <w:sz w:val="24"/>
                <w:highlight w:val="none"/>
              </w:rPr>
            </w:pPr>
          </w:p>
        </w:tc>
      </w:tr>
    </w:tbl>
    <w:p w14:paraId="05D93415">
      <w:pPr>
        <w:tabs>
          <w:tab w:val="left" w:pos="360"/>
        </w:tabs>
        <w:spacing w:line="500" w:lineRule="exact"/>
        <w:rPr>
          <w:rFonts w:hint="eastAsia" w:ascii="宋体" w:hAnsi="宋体" w:cs="宋体"/>
          <w:color w:val="000000"/>
          <w:sz w:val="24"/>
          <w:highlight w:val="none"/>
        </w:rPr>
      </w:pPr>
    </w:p>
    <w:p w14:paraId="637AA0D7">
      <w:pPr>
        <w:tabs>
          <w:tab w:val="left" w:pos="360"/>
        </w:tabs>
        <w:spacing w:line="500" w:lineRule="exact"/>
        <w:rPr>
          <w:rFonts w:hint="eastAsia" w:ascii="宋体" w:hAnsi="宋体" w:cs="宋体"/>
          <w:color w:val="000000"/>
          <w:sz w:val="24"/>
          <w:highlight w:val="none"/>
          <w:u w:val="single"/>
        </w:rPr>
      </w:pPr>
      <w:r>
        <w:rPr>
          <w:rFonts w:hint="eastAsia" w:ascii="宋体" w:hAnsi="宋体" w:cs="宋体"/>
          <w:color w:val="000000"/>
          <w:sz w:val="24"/>
          <w:highlight w:val="none"/>
        </w:rPr>
        <w:t>全权代表（签字或盖章）：                 职 务：            日 期：</w:t>
      </w:r>
      <w:r>
        <w:rPr>
          <w:rFonts w:hint="eastAsia" w:ascii="宋体" w:hAnsi="宋体" w:cs="宋体"/>
          <w:color w:val="000000"/>
          <w:sz w:val="24"/>
          <w:highlight w:val="none"/>
          <w:u w:val="single"/>
        </w:rPr>
        <w:t xml:space="preserve">           </w:t>
      </w:r>
    </w:p>
    <w:p w14:paraId="7E89B536">
      <w:pPr>
        <w:tabs>
          <w:tab w:val="left" w:pos="360"/>
        </w:tabs>
        <w:spacing w:line="460" w:lineRule="exact"/>
        <w:rPr>
          <w:rFonts w:hint="eastAsia" w:ascii="宋体" w:hAnsi="宋体" w:cs="宋体"/>
          <w:color w:val="000000"/>
          <w:sz w:val="24"/>
          <w:highlight w:val="none"/>
        </w:rPr>
      </w:pPr>
      <w:r>
        <w:rPr>
          <w:rFonts w:hint="eastAsia" w:ascii="宋体" w:hAnsi="宋体" w:cs="宋体"/>
          <w:color w:val="000000"/>
          <w:sz w:val="24"/>
          <w:highlight w:val="none"/>
        </w:rPr>
        <w:t>注：1</w:t>
      </w:r>
      <w:r>
        <w:rPr>
          <w:rFonts w:hint="eastAsia" w:ascii="宋体" w:hAnsi="宋体" w:cs="宋体"/>
          <w:color w:val="000000"/>
          <w:kern w:val="0"/>
          <w:sz w:val="24"/>
          <w:highlight w:val="none"/>
        </w:rPr>
        <w:t>.</w:t>
      </w:r>
      <w:r>
        <w:rPr>
          <w:rFonts w:hint="eastAsia" w:ascii="宋体" w:hAnsi="宋体" w:cs="宋体"/>
          <w:color w:val="000000"/>
          <w:sz w:val="24"/>
          <w:highlight w:val="none"/>
        </w:rPr>
        <w:t>此表在不改变表式的情况下，可自行制作。</w:t>
      </w:r>
    </w:p>
    <w:p w14:paraId="53209F05">
      <w:pPr>
        <w:tabs>
          <w:tab w:val="left" w:pos="360"/>
        </w:tabs>
        <w:spacing w:line="46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kern w:val="0"/>
          <w:sz w:val="24"/>
          <w:highlight w:val="none"/>
        </w:rPr>
        <w:t>.</w:t>
      </w:r>
      <w:r>
        <w:rPr>
          <w:rFonts w:hint="eastAsia" w:ascii="宋体" w:hAnsi="宋体" w:cs="宋体"/>
          <w:color w:val="000000"/>
          <w:sz w:val="24"/>
          <w:highlight w:val="none"/>
        </w:rPr>
        <w:t>有资格、职称人员须附相关职称证书和资格证书复印件（加盖公章）。</w:t>
      </w:r>
    </w:p>
    <w:p w14:paraId="6A883E92">
      <w:pPr>
        <w:rPr>
          <w:rFonts w:hint="eastAsia" w:ascii="宋体" w:hAnsi="宋体" w:cs="宋体"/>
          <w:color w:val="000000"/>
          <w:sz w:val="24"/>
          <w:highlight w:val="none"/>
        </w:rPr>
      </w:pPr>
      <w:r>
        <w:rPr>
          <w:rFonts w:hint="eastAsia" w:ascii="宋体" w:hAnsi="宋体" w:cs="宋体"/>
          <w:color w:val="000000"/>
          <w:sz w:val="24"/>
          <w:highlight w:val="none"/>
        </w:rPr>
        <w:br w:type="page"/>
      </w:r>
    </w:p>
    <w:p w14:paraId="6CAFA69D">
      <w:pPr>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r>
        <w:rPr>
          <w:rFonts w:hint="eastAsia" w:ascii="宋体" w:hAnsi="宋体" w:cs="宋体"/>
          <w:b/>
          <w:bCs/>
          <w:color w:val="auto"/>
          <w:kern w:val="0"/>
          <w:sz w:val="36"/>
          <w:szCs w:val="36"/>
          <w:highlight w:val="none"/>
          <w:lang w:eastAsia="zh-CN"/>
        </w:rPr>
        <w:t>（</w:t>
      </w:r>
      <w:r>
        <w:rPr>
          <w:rFonts w:hint="eastAsia" w:ascii="宋体" w:hAnsi="宋体" w:cs="宋体"/>
          <w:b/>
          <w:bCs/>
          <w:color w:val="auto"/>
          <w:kern w:val="0"/>
          <w:sz w:val="36"/>
          <w:szCs w:val="36"/>
          <w:highlight w:val="none"/>
          <w:lang w:val="en-US" w:eastAsia="zh-CN"/>
        </w:rPr>
        <w:t>140天承包费用</w:t>
      </w:r>
      <w:r>
        <w:rPr>
          <w:rFonts w:hint="eastAsia" w:ascii="宋体" w:hAnsi="宋体" w:cs="宋体"/>
          <w:b/>
          <w:bCs/>
          <w:color w:val="auto"/>
          <w:kern w:val="0"/>
          <w:sz w:val="36"/>
          <w:szCs w:val="36"/>
          <w:highlight w:val="none"/>
          <w:lang w:eastAsia="zh-CN"/>
        </w:rPr>
        <w:t>）</w:t>
      </w:r>
    </w:p>
    <w:p w14:paraId="5CF54325">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240D112E">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C955D7E">
      <w:pPr>
        <w:spacing w:line="480" w:lineRule="exact"/>
        <w:ind w:firstLine="210" w:firstLineChars="100"/>
        <w:rPr>
          <w:rFonts w:hint="eastAsia"/>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p>
    <w:tbl>
      <w:tblPr>
        <w:tblStyle w:val="38"/>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1134"/>
        <w:gridCol w:w="875"/>
        <w:gridCol w:w="1110"/>
        <w:gridCol w:w="1417"/>
        <w:gridCol w:w="1417"/>
        <w:gridCol w:w="909"/>
      </w:tblGrid>
      <w:tr w14:paraId="4297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71DC68E8">
            <w:pPr>
              <w:spacing w:line="360" w:lineRule="auto"/>
              <w:jc w:val="center"/>
              <w:rPr>
                <w:rFonts w:hint="eastAsia"/>
                <w:color w:val="auto"/>
                <w:sz w:val="24"/>
                <w:highlight w:val="none"/>
              </w:rPr>
            </w:pPr>
            <w:r>
              <w:rPr>
                <w:rFonts w:hint="eastAsia"/>
                <w:color w:val="auto"/>
                <w:sz w:val="24"/>
                <w:highlight w:val="none"/>
              </w:rPr>
              <w:t>序号</w:t>
            </w:r>
          </w:p>
        </w:tc>
        <w:tc>
          <w:tcPr>
            <w:tcW w:w="2268" w:type="dxa"/>
            <w:noWrap w:val="0"/>
            <w:vAlign w:val="center"/>
          </w:tcPr>
          <w:p w14:paraId="1E3A5041">
            <w:pPr>
              <w:spacing w:line="360" w:lineRule="auto"/>
              <w:jc w:val="center"/>
              <w:rPr>
                <w:rFonts w:hint="eastAsia"/>
                <w:color w:val="auto"/>
                <w:sz w:val="24"/>
                <w:highlight w:val="none"/>
              </w:rPr>
            </w:pPr>
            <w:r>
              <w:rPr>
                <w:rFonts w:hint="eastAsia"/>
                <w:color w:val="auto"/>
                <w:sz w:val="24"/>
                <w:highlight w:val="none"/>
              </w:rPr>
              <w:t>项目费用</w:t>
            </w:r>
          </w:p>
        </w:tc>
        <w:tc>
          <w:tcPr>
            <w:tcW w:w="1134" w:type="dxa"/>
            <w:noWrap w:val="0"/>
            <w:vAlign w:val="center"/>
          </w:tcPr>
          <w:p w14:paraId="30979409">
            <w:pPr>
              <w:spacing w:line="360" w:lineRule="auto"/>
              <w:jc w:val="center"/>
              <w:rPr>
                <w:rFonts w:hint="eastAsia"/>
                <w:color w:val="auto"/>
                <w:sz w:val="24"/>
                <w:highlight w:val="none"/>
              </w:rPr>
            </w:pPr>
            <w:r>
              <w:rPr>
                <w:rFonts w:hint="eastAsia"/>
                <w:color w:val="auto"/>
                <w:sz w:val="24"/>
                <w:highlight w:val="none"/>
              </w:rPr>
              <w:t>数量</w:t>
            </w:r>
          </w:p>
        </w:tc>
        <w:tc>
          <w:tcPr>
            <w:tcW w:w="875" w:type="dxa"/>
            <w:noWrap w:val="0"/>
            <w:vAlign w:val="center"/>
          </w:tcPr>
          <w:p w14:paraId="27BE9274">
            <w:pPr>
              <w:spacing w:line="360" w:lineRule="auto"/>
              <w:jc w:val="center"/>
              <w:rPr>
                <w:rFonts w:hint="eastAsia" w:eastAsia="宋体"/>
                <w:color w:val="auto"/>
                <w:sz w:val="24"/>
                <w:highlight w:val="none"/>
                <w:lang w:eastAsia="zh-CN"/>
              </w:rPr>
            </w:pPr>
            <w:r>
              <w:rPr>
                <w:rFonts w:hint="eastAsia"/>
                <w:color w:val="auto"/>
                <w:sz w:val="24"/>
                <w:highlight w:val="none"/>
                <w:lang w:val="en-US" w:eastAsia="zh-CN"/>
              </w:rPr>
              <w:t xml:space="preserve"> 单位</w:t>
            </w:r>
          </w:p>
        </w:tc>
        <w:tc>
          <w:tcPr>
            <w:tcW w:w="1110" w:type="dxa"/>
            <w:noWrap w:val="0"/>
            <w:vAlign w:val="center"/>
          </w:tcPr>
          <w:p w14:paraId="11933AFB">
            <w:pPr>
              <w:spacing w:line="360" w:lineRule="auto"/>
              <w:jc w:val="center"/>
              <w:rPr>
                <w:rFonts w:hint="default"/>
                <w:color w:val="auto"/>
                <w:sz w:val="24"/>
                <w:highlight w:val="none"/>
                <w:lang w:val="en-US" w:eastAsia="zh-CN"/>
              </w:rPr>
            </w:pPr>
            <w:r>
              <w:rPr>
                <w:rFonts w:hint="eastAsia"/>
                <w:color w:val="auto"/>
                <w:sz w:val="24"/>
                <w:highlight w:val="none"/>
                <w:lang w:val="en-US" w:eastAsia="zh-CN"/>
              </w:rPr>
              <w:t>承包期</w:t>
            </w:r>
          </w:p>
        </w:tc>
        <w:tc>
          <w:tcPr>
            <w:tcW w:w="1417" w:type="dxa"/>
            <w:noWrap w:val="0"/>
            <w:vAlign w:val="top"/>
          </w:tcPr>
          <w:p w14:paraId="1EAD2791">
            <w:pPr>
              <w:spacing w:line="360" w:lineRule="auto"/>
              <w:jc w:val="center"/>
              <w:rPr>
                <w:rFonts w:hint="eastAsia"/>
                <w:color w:val="auto"/>
                <w:sz w:val="24"/>
                <w:highlight w:val="none"/>
              </w:rPr>
            </w:pPr>
            <w:r>
              <w:rPr>
                <w:rFonts w:hint="eastAsia"/>
                <w:color w:val="auto"/>
                <w:sz w:val="24"/>
                <w:highlight w:val="none"/>
              </w:rPr>
              <w:t>单价</w:t>
            </w:r>
          </w:p>
        </w:tc>
        <w:tc>
          <w:tcPr>
            <w:tcW w:w="1417" w:type="dxa"/>
            <w:noWrap w:val="0"/>
            <w:vAlign w:val="center"/>
          </w:tcPr>
          <w:p w14:paraId="6AD72FFF">
            <w:pPr>
              <w:spacing w:line="360" w:lineRule="auto"/>
              <w:jc w:val="center"/>
              <w:rPr>
                <w:rFonts w:hint="eastAsia"/>
                <w:color w:val="auto"/>
                <w:sz w:val="24"/>
                <w:highlight w:val="none"/>
              </w:rPr>
            </w:pPr>
            <w:r>
              <w:rPr>
                <w:rFonts w:hint="eastAsia"/>
                <w:color w:val="auto"/>
                <w:sz w:val="24"/>
                <w:highlight w:val="none"/>
              </w:rPr>
              <w:t>总价（元）</w:t>
            </w:r>
          </w:p>
        </w:tc>
        <w:tc>
          <w:tcPr>
            <w:tcW w:w="909" w:type="dxa"/>
            <w:noWrap w:val="0"/>
            <w:vAlign w:val="center"/>
          </w:tcPr>
          <w:p w14:paraId="11E9FFE5">
            <w:pPr>
              <w:spacing w:line="360" w:lineRule="auto"/>
              <w:jc w:val="center"/>
              <w:rPr>
                <w:rFonts w:hint="eastAsia"/>
                <w:color w:val="auto"/>
                <w:sz w:val="24"/>
                <w:highlight w:val="none"/>
              </w:rPr>
            </w:pPr>
            <w:r>
              <w:rPr>
                <w:rFonts w:hint="eastAsia"/>
                <w:color w:val="auto"/>
                <w:sz w:val="24"/>
                <w:highlight w:val="none"/>
              </w:rPr>
              <w:t>备注</w:t>
            </w:r>
          </w:p>
        </w:tc>
      </w:tr>
      <w:tr w14:paraId="555A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240FF28A">
            <w:pPr>
              <w:jc w:val="center"/>
              <w:rPr>
                <w:rFonts w:hint="eastAsia"/>
                <w:color w:val="auto"/>
                <w:sz w:val="24"/>
                <w:highlight w:val="none"/>
              </w:rPr>
            </w:pPr>
            <w:r>
              <w:rPr>
                <w:rStyle w:val="61"/>
                <w:rFonts w:hint="default"/>
                <w:color w:val="auto"/>
                <w:szCs w:val="21"/>
                <w:highlight w:val="none"/>
              </w:rPr>
              <w:t>1</w:t>
            </w:r>
          </w:p>
        </w:tc>
        <w:tc>
          <w:tcPr>
            <w:tcW w:w="2268" w:type="dxa"/>
            <w:noWrap w:val="0"/>
            <w:vAlign w:val="center"/>
          </w:tcPr>
          <w:p w14:paraId="4C5487D6">
            <w:pPr>
              <w:spacing w:line="360" w:lineRule="auto"/>
              <w:jc w:val="center"/>
              <w:rPr>
                <w:rFonts w:hint="eastAsia"/>
                <w:color w:val="auto"/>
                <w:sz w:val="24"/>
                <w:highlight w:val="none"/>
              </w:rPr>
            </w:pPr>
          </w:p>
        </w:tc>
        <w:tc>
          <w:tcPr>
            <w:tcW w:w="1134" w:type="dxa"/>
            <w:noWrap w:val="0"/>
            <w:vAlign w:val="center"/>
          </w:tcPr>
          <w:p w14:paraId="47283C6B">
            <w:pPr>
              <w:spacing w:line="360" w:lineRule="auto"/>
              <w:jc w:val="center"/>
              <w:rPr>
                <w:rFonts w:hint="default" w:eastAsia="宋体"/>
                <w:color w:val="auto"/>
                <w:sz w:val="24"/>
                <w:highlight w:val="none"/>
                <w:lang w:val="en-US" w:eastAsia="zh-CN"/>
              </w:rPr>
            </w:pPr>
          </w:p>
        </w:tc>
        <w:tc>
          <w:tcPr>
            <w:tcW w:w="875" w:type="dxa"/>
            <w:noWrap w:val="0"/>
            <w:vAlign w:val="center"/>
          </w:tcPr>
          <w:p w14:paraId="1B157C13">
            <w:pPr>
              <w:spacing w:line="360" w:lineRule="auto"/>
              <w:jc w:val="center"/>
              <w:rPr>
                <w:rFonts w:hint="eastAsia"/>
                <w:color w:val="auto"/>
                <w:sz w:val="24"/>
                <w:highlight w:val="none"/>
              </w:rPr>
            </w:pPr>
            <w:r>
              <w:rPr>
                <w:rFonts w:hint="eastAsia"/>
                <w:color w:val="auto"/>
                <w:sz w:val="24"/>
                <w:highlight w:val="none"/>
                <w:lang w:val="en-US" w:eastAsia="zh-CN"/>
              </w:rPr>
              <w:t xml:space="preserve"> </w:t>
            </w:r>
          </w:p>
        </w:tc>
        <w:tc>
          <w:tcPr>
            <w:tcW w:w="1110" w:type="dxa"/>
            <w:noWrap w:val="0"/>
            <w:vAlign w:val="center"/>
          </w:tcPr>
          <w:p w14:paraId="1D748861">
            <w:pPr>
              <w:spacing w:line="360" w:lineRule="auto"/>
              <w:jc w:val="center"/>
              <w:rPr>
                <w:rFonts w:hint="eastAsia"/>
                <w:color w:val="auto"/>
                <w:sz w:val="24"/>
                <w:highlight w:val="none"/>
                <w:lang w:val="en-US" w:eastAsia="zh-CN"/>
              </w:rPr>
            </w:pPr>
          </w:p>
        </w:tc>
        <w:tc>
          <w:tcPr>
            <w:tcW w:w="1417" w:type="dxa"/>
            <w:noWrap w:val="0"/>
            <w:vAlign w:val="top"/>
          </w:tcPr>
          <w:p w14:paraId="43003DBD">
            <w:pPr>
              <w:spacing w:line="360" w:lineRule="auto"/>
              <w:jc w:val="center"/>
              <w:rPr>
                <w:rFonts w:hint="eastAsia"/>
                <w:color w:val="auto"/>
                <w:sz w:val="24"/>
                <w:highlight w:val="none"/>
              </w:rPr>
            </w:pPr>
          </w:p>
        </w:tc>
        <w:tc>
          <w:tcPr>
            <w:tcW w:w="1417" w:type="dxa"/>
            <w:noWrap w:val="0"/>
            <w:vAlign w:val="center"/>
          </w:tcPr>
          <w:p w14:paraId="0D3C7AF6">
            <w:pPr>
              <w:spacing w:line="360" w:lineRule="auto"/>
              <w:jc w:val="center"/>
              <w:rPr>
                <w:rFonts w:hint="eastAsia"/>
                <w:color w:val="auto"/>
                <w:sz w:val="24"/>
                <w:highlight w:val="none"/>
              </w:rPr>
            </w:pPr>
          </w:p>
        </w:tc>
        <w:tc>
          <w:tcPr>
            <w:tcW w:w="909" w:type="dxa"/>
            <w:noWrap w:val="0"/>
            <w:vAlign w:val="center"/>
          </w:tcPr>
          <w:p w14:paraId="0326A01C">
            <w:pPr>
              <w:spacing w:line="360" w:lineRule="auto"/>
              <w:jc w:val="center"/>
              <w:rPr>
                <w:rFonts w:hint="eastAsia"/>
                <w:color w:val="auto"/>
                <w:sz w:val="24"/>
                <w:highlight w:val="none"/>
              </w:rPr>
            </w:pPr>
          </w:p>
        </w:tc>
      </w:tr>
      <w:tr w14:paraId="4BAB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17" w:type="dxa"/>
            <w:noWrap w:val="0"/>
            <w:vAlign w:val="center"/>
          </w:tcPr>
          <w:p w14:paraId="42D3667C">
            <w:pPr>
              <w:jc w:val="center"/>
              <w:rPr>
                <w:rStyle w:val="61"/>
                <w:rFonts w:hint="default"/>
                <w:color w:val="auto"/>
                <w:szCs w:val="21"/>
                <w:highlight w:val="none"/>
              </w:rPr>
            </w:pPr>
            <w:r>
              <w:rPr>
                <w:rStyle w:val="61"/>
                <w:rFonts w:hint="default"/>
                <w:color w:val="auto"/>
                <w:szCs w:val="21"/>
                <w:highlight w:val="none"/>
              </w:rPr>
              <w:t>2</w:t>
            </w:r>
          </w:p>
        </w:tc>
        <w:tc>
          <w:tcPr>
            <w:tcW w:w="2268" w:type="dxa"/>
            <w:noWrap w:val="0"/>
            <w:vAlign w:val="center"/>
          </w:tcPr>
          <w:p w14:paraId="37CFF68E">
            <w:pPr>
              <w:spacing w:line="360" w:lineRule="auto"/>
              <w:jc w:val="center"/>
              <w:rPr>
                <w:rFonts w:hint="eastAsia"/>
                <w:color w:val="auto"/>
                <w:sz w:val="24"/>
                <w:highlight w:val="none"/>
              </w:rPr>
            </w:pPr>
          </w:p>
        </w:tc>
        <w:tc>
          <w:tcPr>
            <w:tcW w:w="1134" w:type="dxa"/>
            <w:noWrap w:val="0"/>
            <w:vAlign w:val="center"/>
          </w:tcPr>
          <w:p w14:paraId="7799E2EC">
            <w:pPr>
              <w:spacing w:line="360" w:lineRule="auto"/>
              <w:jc w:val="center"/>
              <w:rPr>
                <w:rFonts w:hint="eastAsia"/>
                <w:color w:val="auto"/>
                <w:sz w:val="24"/>
                <w:highlight w:val="none"/>
              </w:rPr>
            </w:pPr>
          </w:p>
        </w:tc>
        <w:tc>
          <w:tcPr>
            <w:tcW w:w="875" w:type="dxa"/>
            <w:noWrap w:val="0"/>
            <w:vAlign w:val="center"/>
          </w:tcPr>
          <w:p w14:paraId="781DF811">
            <w:pPr>
              <w:spacing w:line="360" w:lineRule="auto"/>
              <w:jc w:val="center"/>
              <w:rPr>
                <w:rFonts w:hint="eastAsia"/>
                <w:color w:val="auto"/>
                <w:sz w:val="24"/>
                <w:highlight w:val="none"/>
              </w:rPr>
            </w:pPr>
          </w:p>
        </w:tc>
        <w:tc>
          <w:tcPr>
            <w:tcW w:w="1110" w:type="dxa"/>
            <w:noWrap w:val="0"/>
            <w:vAlign w:val="center"/>
          </w:tcPr>
          <w:p w14:paraId="7527F7D2">
            <w:pPr>
              <w:spacing w:line="360" w:lineRule="auto"/>
              <w:jc w:val="center"/>
              <w:rPr>
                <w:rFonts w:hint="eastAsia"/>
                <w:color w:val="auto"/>
                <w:sz w:val="24"/>
                <w:highlight w:val="none"/>
              </w:rPr>
            </w:pPr>
          </w:p>
        </w:tc>
        <w:tc>
          <w:tcPr>
            <w:tcW w:w="1417" w:type="dxa"/>
            <w:noWrap w:val="0"/>
            <w:vAlign w:val="top"/>
          </w:tcPr>
          <w:p w14:paraId="082DB359">
            <w:pPr>
              <w:spacing w:line="360" w:lineRule="auto"/>
              <w:jc w:val="center"/>
              <w:rPr>
                <w:rFonts w:hint="eastAsia"/>
                <w:color w:val="auto"/>
                <w:sz w:val="24"/>
                <w:highlight w:val="none"/>
              </w:rPr>
            </w:pPr>
          </w:p>
        </w:tc>
        <w:tc>
          <w:tcPr>
            <w:tcW w:w="1417" w:type="dxa"/>
            <w:noWrap w:val="0"/>
            <w:vAlign w:val="center"/>
          </w:tcPr>
          <w:p w14:paraId="087A7FD2">
            <w:pPr>
              <w:spacing w:line="360" w:lineRule="auto"/>
              <w:jc w:val="center"/>
              <w:rPr>
                <w:rFonts w:hint="eastAsia"/>
                <w:color w:val="auto"/>
                <w:sz w:val="24"/>
                <w:highlight w:val="none"/>
              </w:rPr>
            </w:pPr>
          </w:p>
        </w:tc>
        <w:tc>
          <w:tcPr>
            <w:tcW w:w="909" w:type="dxa"/>
            <w:noWrap w:val="0"/>
            <w:vAlign w:val="center"/>
          </w:tcPr>
          <w:p w14:paraId="267D3081">
            <w:pPr>
              <w:spacing w:line="360" w:lineRule="auto"/>
              <w:jc w:val="center"/>
              <w:rPr>
                <w:rFonts w:hint="eastAsia"/>
                <w:color w:val="auto"/>
                <w:sz w:val="24"/>
                <w:highlight w:val="none"/>
              </w:rPr>
            </w:pPr>
          </w:p>
        </w:tc>
      </w:tr>
      <w:tr w14:paraId="7843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noWrap w:val="0"/>
            <w:vAlign w:val="center"/>
          </w:tcPr>
          <w:p w14:paraId="7C73EBF3">
            <w:pPr>
              <w:jc w:val="center"/>
              <w:rPr>
                <w:rStyle w:val="61"/>
                <w:rFonts w:hint="default"/>
                <w:color w:val="auto"/>
                <w:szCs w:val="21"/>
                <w:highlight w:val="none"/>
              </w:rPr>
            </w:pPr>
            <w:r>
              <w:rPr>
                <w:rStyle w:val="61"/>
                <w:rFonts w:hint="default"/>
                <w:color w:val="auto"/>
                <w:szCs w:val="21"/>
                <w:highlight w:val="none"/>
              </w:rPr>
              <w:t>3</w:t>
            </w:r>
          </w:p>
        </w:tc>
        <w:tc>
          <w:tcPr>
            <w:tcW w:w="2268" w:type="dxa"/>
            <w:noWrap w:val="0"/>
            <w:vAlign w:val="center"/>
          </w:tcPr>
          <w:p w14:paraId="131C555C">
            <w:pPr>
              <w:spacing w:line="360" w:lineRule="auto"/>
              <w:jc w:val="center"/>
              <w:rPr>
                <w:rFonts w:hint="eastAsia"/>
                <w:color w:val="auto"/>
                <w:sz w:val="24"/>
                <w:highlight w:val="none"/>
              </w:rPr>
            </w:pPr>
          </w:p>
        </w:tc>
        <w:tc>
          <w:tcPr>
            <w:tcW w:w="1134" w:type="dxa"/>
            <w:noWrap w:val="0"/>
            <w:vAlign w:val="center"/>
          </w:tcPr>
          <w:p w14:paraId="4DEB4912">
            <w:pPr>
              <w:spacing w:line="360" w:lineRule="auto"/>
              <w:jc w:val="center"/>
              <w:rPr>
                <w:rFonts w:hint="eastAsia"/>
                <w:color w:val="auto"/>
                <w:sz w:val="24"/>
                <w:highlight w:val="none"/>
              </w:rPr>
            </w:pPr>
          </w:p>
        </w:tc>
        <w:tc>
          <w:tcPr>
            <w:tcW w:w="875" w:type="dxa"/>
            <w:noWrap w:val="0"/>
            <w:vAlign w:val="center"/>
          </w:tcPr>
          <w:p w14:paraId="7FE37AAD">
            <w:pPr>
              <w:spacing w:line="360" w:lineRule="auto"/>
              <w:jc w:val="center"/>
              <w:rPr>
                <w:rFonts w:hint="eastAsia"/>
                <w:color w:val="auto"/>
                <w:sz w:val="24"/>
                <w:highlight w:val="none"/>
              </w:rPr>
            </w:pPr>
          </w:p>
        </w:tc>
        <w:tc>
          <w:tcPr>
            <w:tcW w:w="1110" w:type="dxa"/>
            <w:noWrap w:val="0"/>
            <w:vAlign w:val="center"/>
          </w:tcPr>
          <w:p w14:paraId="21B07D09">
            <w:pPr>
              <w:spacing w:line="360" w:lineRule="auto"/>
              <w:jc w:val="center"/>
              <w:rPr>
                <w:rFonts w:hint="eastAsia"/>
                <w:color w:val="auto"/>
                <w:sz w:val="24"/>
                <w:highlight w:val="none"/>
              </w:rPr>
            </w:pPr>
          </w:p>
        </w:tc>
        <w:tc>
          <w:tcPr>
            <w:tcW w:w="1417" w:type="dxa"/>
            <w:noWrap w:val="0"/>
            <w:vAlign w:val="top"/>
          </w:tcPr>
          <w:p w14:paraId="1D001A45">
            <w:pPr>
              <w:spacing w:line="360" w:lineRule="auto"/>
              <w:jc w:val="center"/>
              <w:rPr>
                <w:rFonts w:hint="eastAsia"/>
                <w:color w:val="auto"/>
                <w:sz w:val="24"/>
                <w:highlight w:val="none"/>
              </w:rPr>
            </w:pPr>
          </w:p>
        </w:tc>
        <w:tc>
          <w:tcPr>
            <w:tcW w:w="1417" w:type="dxa"/>
            <w:noWrap w:val="0"/>
            <w:vAlign w:val="center"/>
          </w:tcPr>
          <w:p w14:paraId="1534F341">
            <w:pPr>
              <w:spacing w:line="360" w:lineRule="auto"/>
              <w:jc w:val="center"/>
              <w:rPr>
                <w:rFonts w:hint="eastAsia"/>
                <w:color w:val="auto"/>
                <w:sz w:val="24"/>
                <w:highlight w:val="none"/>
              </w:rPr>
            </w:pPr>
          </w:p>
        </w:tc>
        <w:tc>
          <w:tcPr>
            <w:tcW w:w="909" w:type="dxa"/>
            <w:noWrap w:val="0"/>
            <w:vAlign w:val="center"/>
          </w:tcPr>
          <w:p w14:paraId="48DADB21">
            <w:pPr>
              <w:spacing w:line="360" w:lineRule="auto"/>
              <w:jc w:val="center"/>
              <w:rPr>
                <w:rFonts w:hint="eastAsia"/>
                <w:color w:val="auto"/>
                <w:sz w:val="24"/>
                <w:highlight w:val="none"/>
              </w:rPr>
            </w:pPr>
          </w:p>
        </w:tc>
      </w:tr>
      <w:tr w14:paraId="14F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0"/>
            <w:vAlign w:val="center"/>
          </w:tcPr>
          <w:p w14:paraId="1B99BE87">
            <w:pPr>
              <w:spacing w:line="360" w:lineRule="auto"/>
              <w:jc w:val="center"/>
              <w:rPr>
                <w:rStyle w:val="61"/>
                <w:rFonts w:hint="default"/>
                <w:color w:val="auto"/>
                <w:szCs w:val="21"/>
                <w:highlight w:val="none"/>
              </w:rPr>
            </w:pPr>
            <w:r>
              <w:rPr>
                <w:rFonts w:hint="eastAsia"/>
                <w:color w:val="auto"/>
                <w:sz w:val="24"/>
                <w:highlight w:val="none"/>
              </w:rPr>
              <w:t>4</w:t>
            </w:r>
          </w:p>
        </w:tc>
        <w:tc>
          <w:tcPr>
            <w:tcW w:w="2268" w:type="dxa"/>
            <w:noWrap w:val="0"/>
            <w:vAlign w:val="center"/>
          </w:tcPr>
          <w:p w14:paraId="3356201B">
            <w:pPr>
              <w:spacing w:line="360" w:lineRule="auto"/>
              <w:jc w:val="center"/>
              <w:rPr>
                <w:rFonts w:hint="eastAsia"/>
                <w:color w:val="auto"/>
                <w:sz w:val="24"/>
                <w:highlight w:val="none"/>
              </w:rPr>
            </w:pPr>
          </w:p>
        </w:tc>
        <w:tc>
          <w:tcPr>
            <w:tcW w:w="1134" w:type="dxa"/>
            <w:noWrap w:val="0"/>
            <w:vAlign w:val="center"/>
          </w:tcPr>
          <w:p w14:paraId="5FB1A705">
            <w:pPr>
              <w:spacing w:line="360" w:lineRule="auto"/>
              <w:jc w:val="center"/>
              <w:rPr>
                <w:rFonts w:hint="eastAsia"/>
                <w:color w:val="auto"/>
                <w:sz w:val="24"/>
                <w:highlight w:val="none"/>
              </w:rPr>
            </w:pPr>
          </w:p>
        </w:tc>
        <w:tc>
          <w:tcPr>
            <w:tcW w:w="875" w:type="dxa"/>
            <w:noWrap w:val="0"/>
            <w:vAlign w:val="center"/>
          </w:tcPr>
          <w:p w14:paraId="549AAE5D">
            <w:pPr>
              <w:spacing w:line="360" w:lineRule="auto"/>
              <w:jc w:val="center"/>
              <w:rPr>
                <w:rFonts w:hint="eastAsia"/>
                <w:color w:val="auto"/>
                <w:sz w:val="24"/>
                <w:highlight w:val="none"/>
              </w:rPr>
            </w:pPr>
          </w:p>
        </w:tc>
        <w:tc>
          <w:tcPr>
            <w:tcW w:w="1110" w:type="dxa"/>
            <w:noWrap w:val="0"/>
            <w:vAlign w:val="center"/>
          </w:tcPr>
          <w:p w14:paraId="44FE2C5F">
            <w:pPr>
              <w:spacing w:line="360" w:lineRule="auto"/>
              <w:jc w:val="center"/>
              <w:rPr>
                <w:rFonts w:hint="eastAsia"/>
                <w:color w:val="auto"/>
                <w:sz w:val="24"/>
                <w:highlight w:val="none"/>
              </w:rPr>
            </w:pPr>
          </w:p>
        </w:tc>
        <w:tc>
          <w:tcPr>
            <w:tcW w:w="1417" w:type="dxa"/>
            <w:noWrap w:val="0"/>
            <w:vAlign w:val="top"/>
          </w:tcPr>
          <w:p w14:paraId="287045F3">
            <w:pPr>
              <w:spacing w:line="360" w:lineRule="auto"/>
              <w:jc w:val="center"/>
              <w:rPr>
                <w:rFonts w:hint="eastAsia"/>
                <w:color w:val="auto"/>
                <w:sz w:val="24"/>
                <w:highlight w:val="none"/>
              </w:rPr>
            </w:pPr>
          </w:p>
        </w:tc>
        <w:tc>
          <w:tcPr>
            <w:tcW w:w="1417" w:type="dxa"/>
            <w:noWrap w:val="0"/>
            <w:vAlign w:val="center"/>
          </w:tcPr>
          <w:p w14:paraId="24764482">
            <w:pPr>
              <w:spacing w:line="360" w:lineRule="auto"/>
              <w:jc w:val="center"/>
              <w:rPr>
                <w:rFonts w:hint="eastAsia"/>
                <w:color w:val="auto"/>
                <w:sz w:val="24"/>
                <w:highlight w:val="none"/>
              </w:rPr>
            </w:pPr>
          </w:p>
        </w:tc>
        <w:tc>
          <w:tcPr>
            <w:tcW w:w="909" w:type="dxa"/>
            <w:noWrap w:val="0"/>
            <w:vAlign w:val="center"/>
          </w:tcPr>
          <w:p w14:paraId="6C0E085F">
            <w:pPr>
              <w:spacing w:line="360" w:lineRule="auto"/>
              <w:jc w:val="center"/>
              <w:rPr>
                <w:rFonts w:hint="eastAsia"/>
                <w:color w:val="auto"/>
                <w:sz w:val="24"/>
                <w:highlight w:val="none"/>
              </w:rPr>
            </w:pPr>
          </w:p>
        </w:tc>
      </w:tr>
      <w:tr w14:paraId="2D6A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053E77FD">
            <w:pPr>
              <w:spacing w:line="360" w:lineRule="auto"/>
              <w:jc w:val="center"/>
              <w:rPr>
                <w:rFonts w:hint="eastAsia"/>
                <w:color w:val="auto"/>
                <w:sz w:val="24"/>
                <w:highlight w:val="none"/>
              </w:rPr>
            </w:pPr>
            <w:r>
              <w:rPr>
                <w:rFonts w:hint="eastAsia"/>
                <w:color w:val="auto"/>
                <w:sz w:val="24"/>
                <w:highlight w:val="none"/>
              </w:rPr>
              <w:t>5</w:t>
            </w:r>
          </w:p>
        </w:tc>
        <w:tc>
          <w:tcPr>
            <w:tcW w:w="2268" w:type="dxa"/>
            <w:noWrap w:val="0"/>
            <w:vAlign w:val="center"/>
          </w:tcPr>
          <w:p w14:paraId="37E20A83">
            <w:pPr>
              <w:spacing w:line="360" w:lineRule="auto"/>
              <w:jc w:val="center"/>
              <w:rPr>
                <w:rFonts w:hint="eastAsia"/>
                <w:color w:val="auto"/>
                <w:sz w:val="24"/>
                <w:highlight w:val="none"/>
              </w:rPr>
            </w:pPr>
          </w:p>
        </w:tc>
        <w:tc>
          <w:tcPr>
            <w:tcW w:w="1134" w:type="dxa"/>
            <w:noWrap w:val="0"/>
            <w:vAlign w:val="center"/>
          </w:tcPr>
          <w:p w14:paraId="64416A83">
            <w:pPr>
              <w:spacing w:line="360" w:lineRule="auto"/>
              <w:jc w:val="center"/>
              <w:rPr>
                <w:rFonts w:hint="eastAsia"/>
                <w:color w:val="auto"/>
                <w:sz w:val="24"/>
                <w:highlight w:val="none"/>
              </w:rPr>
            </w:pPr>
          </w:p>
        </w:tc>
        <w:tc>
          <w:tcPr>
            <w:tcW w:w="875" w:type="dxa"/>
            <w:noWrap w:val="0"/>
            <w:vAlign w:val="center"/>
          </w:tcPr>
          <w:p w14:paraId="6E83EE2E">
            <w:pPr>
              <w:spacing w:line="360" w:lineRule="auto"/>
              <w:jc w:val="center"/>
              <w:rPr>
                <w:rFonts w:hint="eastAsia"/>
                <w:color w:val="auto"/>
                <w:sz w:val="24"/>
                <w:highlight w:val="none"/>
              </w:rPr>
            </w:pPr>
          </w:p>
        </w:tc>
        <w:tc>
          <w:tcPr>
            <w:tcW w:w="1110" w:type="dxa"/>
            <w:noWrap w:val="0"/>
            <w:vAlign w:val="center"/>
          </w:tcPr>
          <w:p w14:paraId="62FA62C6">
            <w:pPr>
              <w:spacing w:line="360" w:lineRule="auto"/>
              <w:jc w:val="center"/>
              <w:rPr>
                <w:rFonts w:hint="eastAsia"/>
                <w:color w:val="auto"/>
                <w:sz w:val="24"/>
                <w:highlight w:val="none"/>
              </w:rPr>
            </w:pPr>
          </w:p>
        </w:tc>
        <w:tc>
          <w:tcPr>
            <w:tcW w:w="1417" w:type="dxa"/>
            <w:noWrap w:val="0"/>
            <w:vAlign w:val="top"/>
          </w:tcPr>
          <w:p w14:paraId="1BF7E287">
            <w:pPr>
              <w:spacing w:line="360" w:lineRule="auto"/>
              <w:jc w:val="center"/>
              <w:rPr>
                <w:rFonts w:hint="eastAsia"/>
                <w:color w:val="auto"/>
                <w:sz w:val="24"/>
                <w:highlight w:val="none"/>
              </w:rPr>
            </w:pPr>
          </w:p>
        </w:tc>
        <w:tc>
          <w:tcPr>
            <w:tcW w:w="1417" w:type="dxa"/>
            <w:noWrap w:val="0"/>
            <w:vAlign w:val="center"/>
          </w:tcPr>
          <w:p w14:paraId="5E862872">
            <w:pPr>
              <w:spacing w:line="360" w:lineRule="auto"/>
              <w:jc w:val="center"/>
              <w:rPr>
                <w:rFonts w:hint="eastAsia"/>
                <w:color w:val="auto"/>
                <w:sz w:val="24"/>
                <w:highlight w:val="none"/>
              </w:rPr>
            </w:pPr>
          </w:p>
        </w:tc>
        <w:tc>
          <w:tcPr>
            <w:tcW w:w="909" w:type="dxa"/>
            <w:noWrap w:val="0"/>
            <w:vAlign w:val="center"/>
          </w:tcPr>
          <w:p w14:paraId="5BC1BA4D">
            <w:pPr>
              <w:spacing w:line="360" w:lineRule="auto"/>
              <w:jc w:val="center"/>
              <w:rPr>
                <w:rFonts w:hint="eastAsia"/>
                <w:color w:val="auto"/>
                <w:sz w:val="24"/>
                <w:highlight w:val="none"/>
              </w:rPr>
            </w:pPr>
          </w:p>
        </w:tc>
      </w:tr>
      <w:tr w14:paraId="0D02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7E8FD79C">
            <w:pPr>
              <w:spacing w:line="360" w:lineRule="auto"/>
              <w:jc w:val="center"/>
              <w:rPr>
                <w:rFonts w:hint="eastAsia"/>
                <w:color w:val="auto"/>
                <w:sz w:val="24"/>
                <w:highlight w:val="none"/>
              </w:rPr>
            </w:pPr>
            <w:r>
              <w:rPr>
                <w:rFonts w:hint="eastAsia"/>
                <w:color w:val="auto"/>
                <w:sz w:val="24"/>
                <w:highlight w:val="none"/>
              </w:rPr>
              <w:t>6</w:t>
            </w:r>
          </w:p>
        </w:tc>
        <w:tc>
          <w:tcPr>
            <w:tcW w:w="2268" w:type="dxa"/>
            <w:noWrap w:val="0"/>
            <w:vAlign w:val="center"/>
          </w:tcPr>
          <w:p w14:paraId="43716AA8">
            <w:pPr>
              <w:spacing w:line="360" w:lineRule="auto"/>
              <w:jc w:val="center"/>
              <w:rPr>
                <w:rFonts w:hint="eastAsia"/>
                <w:color w:val="auto"/>
                <w:sz w:val="24"/>
                <w:highlight w:val="none"/>
              </w:rPr>
            </w:pPr>
          </w:p>
        </w:tc>
        <w:tc>
          <w:tcPr>
            <w:tcW w:w="1134" w:type="dxa"/>
            <w:noWrap w:val="0"/>
            <w:vAlign w:val="center"/>
          </w:tcPr>
          <w:p w14:paraId="3FF26414">
            <w:pPr>
              <w:spacing w:line="360" w:lineRule="auto"/>
              <w:jc w:val="center"/>
              <w:rPr>
                <w:rFonts w:hint="eastAsia"/>
                <w:color w:val="auto"/>
                <w:sz w:val="24"/>
                <w:highlight w:val="none"/>
              </w:rPr>
            </w:pPr>
          </w:p>
        </w:tc>
        <w:tc>
          <w:tcPr>
            <w:tcW w:w="875" w:type="dxa"/>
            <w:noWrap w:val="0"/>
            <w:vAlign w:val="center"/>
          </w:tcPr>
          <w:p w14:paraId="226C1A55">
            <w:pPr>
              <w:spacing w:line="360" w:lineRule="auto"/>
              <w:jc w:val="center"/>
              <w:rPr>
                <w:rFonts w:hint="eastAsia"/>
                <w:color w:val="auto"/>
                <w:sz w:val="24"/>
                <w:highlight w:val="none"/>
              </w:rPr>
            </w:pPr>
          </w:p>
        </w:tc>
        <w:tc>
          <w:tcPr>
            <w:tcW w:w="1110" w:type="dxa"/>
            <w:noWrap w:val="0"/>
            <w:vAlign w:val="center"/>
          </w:tcPr>
          <w:p w14:paraId="40BC3F77">
            <w:pPr>
              <w:spacing w:line="360" w:lineRule="auto"/>
              <w:jc w:val="center"/>
              <w:rPr>
                <w:rFonts w:hint="eastAsia"/>
                <w:color w:val="auto"/>
                <w:sz w:val="24"/>
                <w:highlight w:val="none"/>
              </w:rPr>
            </w:pPr>
          </w:p>
        </w:tc>
        <w:tc>
          <w:tcPr>
            <w:tcW w:w="1417" w:type="dxa"/>
            <w:noWrap w:val="0"/>
            <w:vAlign w:val="top"/>
          </w:tcPr>
          <w:p w14:paraId="07519CA2">
            <w:pPr>
              <w:spacing w:line="360" w:lineRule="auto"/>
              <w:jc w:val="center"/>
              <w:rPr>
                <w:rFonts w:hint="eastAsia"/>
                <w:color w:val="auto"/>
                <w:sz w:val="24"/>
                <w:highlight w:val="none"/>
              </w:rPr>
            </w:pPr>
          </w:p>
        </w:tc>
        <w:tc>
          <w:tcPr>
            <w:tcW w:w="1417" w:type="dxa"/>
            <w:noWrap w:val="0"/>
            <w:vAlign w:val="center"/>
          </w:tcPr>
          <w:p w14:paraId="514832B2">
            <w:pPr>
              <w:spacing w:line="360" w:lineRule="auto"/>
              <w:jc w:val="center"/>
              <w:rPr>
                <w:rFonts w:hint="eastAsia"/>
                <w:color w:val="auto"/>
                <w:sz w:val="24"/>
                <w:highlight w:val="none"/>
              </w:rPr>
            </w:pPr>
          </w:p>
        </w:tc>
        <w:tc>
          <w:tcPr>
            <w:tcW w:w="909" w:type="dxa"/>
            <w:noWrap w:val="0"/>
            <w:vAlign w:val="center"/>
          </w:tcPr>
          <w:p w14:paraId="03216DBA">
            <w:pPr>
              <w:spacing w:line="360" w:lineRule="auto"/>
              <w:jc w:val="center"/>
              <w:rPr>
                <w:rFonts w:hint="eastAsia"/>
                <w:color w:val="auto"/>
                <w:sz w:val="24"/>
                <w:highlight w:val="none"/>
              </w:rPr>
            </w:pPr>
          </w:p>
        </w:tc>
      </w:tr>
      <w:tr w14:paraId="3394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9" w:type="dxa"/>
            <w:gridSpan w:val="3"/>
            <w:noWrap w:val="0"/>
            <w:vAlign w:val="center"/>
          </w:tcPr>
          <w:p w14:paraId="44B45E93">
            <w:pPr>
              <w:spacing w:line="360" w:lineRule="auto"/>
              <w:jc w:val="center"/>
              <w:rPr>
                <w:rFonts w:hint="eastAsia"/>
                <w:color w:val="auto"/>
                <w:sz w:val="24"/>
                <w:highlight w:val="none"/>
              </w:rPr>
            </w:pPr>
            <w:r>
              <w:rPr>
                <w:rFonts w:hint="eastAsia"/>
                <w:color w:val="auto"/>
                <w:sz w:val="24"/>
                <w:highlight w:val="none"/>
              </w:rPr>
              <w:t>合计</w:t>
            </w:r>
          </w:p>
        </w:tc>
        <w:tc>
          <w:tcPr>
            <w:tcW w:w="5728" w:type="dxa"/>
            <w:gridSpan w:val="5"/>
            <w:noWrap w:val="0"/>
            <w:vAlign w:val="center"/>
          </w:tcPr>
          <w:p w14:paraId="639F35FB">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大写：                     小写：</w:t>
            </w:r>
          </w:p>
        </w:tc>
      </w:tr>
    </w:tbl>
    <w:p w14:paraId="0DC1693B">
      <w:pPr>
        <w:spacing w:line="360" w:lineRule="auto"/>
        <w:rPr>
          <w:rFonts w:hint="eastAsia" w:ascii="宋体" w:hAnsi="宋体" w:cs="宋体"/>
          <w:color w:val="auto"/>
          <w:sz w:val="24"/>
          <w:highlight w:val="none"/>
          <w:lang w:eastAsia="zh-CN"/>
        </w:rPr>
      </w:pPr>
    </w:p>
    <w:p w14:paraId="257D6E4A">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代表签字：______________  职  务:__________ 日 期：_____________</w:t>
      </w:r>
    </w:p>
    <w:p w14:paraId="6BC41B4C">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14751CEE">
      <w:pPr>
        <w:pStyle w:val="80"/>
        <w:keepNext w:val="0"/>
        <w:keepLines w:val="0"/>
        <w:pageBreakBefore w:val="0"/>
        <w:kinsoku/>
        <w:wordWrap/>
        <w:topLinePunct w:val="0"/>
        <w:bidi w:val="0"/>
        <w:adjustRightInd/>
        <w:spacing w:before="50" w:line="360" w:lineRule="auto"/>
        <w:ind w:firstLine="420" w:firstLineChars="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投标报价以人民币为结算单位，</w:t>
      </w:r>
      <w:r>
        <w:rPr>
          <w:rFonts w:hint="eastAsia" w:ascii="宋体" w:hAnsi="宋体" w:eastAsia="宋体" w:cs="宋体"/>
          <w:color w:val="auto"/>
          <w:sz w:val="21"/>
          <w:szCs w:val="21"/>
          <w:highlight w:val="none"/>
        </w:rPr>
        <w:t>投标人所投报的投标报价为投标人所能承受的整个项目的一次性最终报价，如有漏项，视同已包含在其</w:t>
      </w:r>
      <w:r>
        <w:rPr>
          <w:rFonts w:hint="eastAsia" w:ascii="宋体" w:hAnsi="宋体" w:eastAsia="宋体" w:cs="宋体"/>
          <w:color w:val="auto"/>
          <w:sz w:val="21"/>
          <w:szCs w:val="21"/>
          <w:highlight w:val="none"/>
          <w:lang w:val="en-US" w:eastAsia="zh-CN"/>
        </w:rPr>
        <w:t>总项目中</w:t>
      </w:r>
      <w:r>
        <w:rPr>
          <w:rFonts w:hint="eastAsia" w:ascii="宋体" w:hAnsi="宋体" w:eastAsia="宋体" w:cs="宋体"/>
          <w:color w:val="auto"/>
          <w:sz w:val="21"/>
          <w:szCs w:val="21"/>
          <w:highlight w:val="none"/>
        </w:rPr>
        <w:t>，合同总价和单价不做调整</w:t>
      </w:r>
      <w:r>
        <w:rPr>
          <w:rFonts w:hint="eastAsia" w:ascii="宋体" w:hAnsi="宋体" w:eastAsia="宋体" w:cs="宋体"/>
          <w:color w:val="auto"/>
          <w:sz w:val="21"/>
          <w:szCs w:val="21"/>
          <w:highlight w:val="none"/>
          <w:lang w:eastAsia="zh-CN"/>
        </w:rPr>
        <w:t>。</w:t>
      </w:r>
    </w:p>
    <w:p w14:paraId="04FA172B">
      <w:pPr>
        <w:keepNext w:val="0"/>
        <w:keepLines w:val="0"/>
        <w:pageBreakBefore w:val="0"/>
        <w:widowControl w:val="0"/>
        <w:kinsoku/>
        <w:wordWrap/>
        <w:overflowPunct/>
        <w:topLinePunct w:val="0"/>
        <w:autoSpaceDE/>
        <w:autoSpaceDN/>
        <w:bidi w:val="0"/>
        <w:adjustRightInd/>
        <w:snapToGrid/>
        <w:spacing w:line="360" w:lineRule="auto"/>
        <w:ind w:left="900" w:hanging="787" w:hangingChars="375"/>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此表在不改变表式内容的情况下，可自行制作</w:t>
      </w:r>
      <w:r>
        <w:rPr>
          <w:rFonts w:hint="eastAsia" w:ascii="宋体" w:hAnsi="宋体" w:eastAsia="宋体" w:cs="宋体"/>
          <w:color w:val="auto"/>
          <w:szCs w:val="21"/>
          <w:highlight w:val="none"/>
          <w:lang w:eastAsia="zh-CN"/>
        </w:rPr>
        <w:t>。</w:t>
      </w:r>
    </w:p>
    <w:p w14:paraId="20E9F87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5844943">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2CADDE6D">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40E8565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20EA6E3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0827DAB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03AE2BD4">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2885C66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28F21B0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7C80CB46">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3C6ED53C">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76D7C0E7">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56B78277">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377AF0A9">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11EA831A">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4772509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0A1574D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10143FF4">
      <w:pPr>
        <w:adjustRightInd w:val="0"/>
        <w:snapToGrid w:val="0"/>
        <w:spacing w:line="360" w:lineRule="auto"/>
        <w:rPr>
          <w:rFonts w:ascii="宋体" w:hAnsi="宋体" w:cs="宋体"/>
          <w:color w:val="auto"/>
          <w:highlight w:val="none"/>
        </w:rPr>
      </w:pPr>
    </w:p>
    <w:p w14:paraId="7E2F491B">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0979860F">
      <w:pPr>
        <w:adjustRightInd w:val="0"/>
        <w:snapToGrid w:val="0"/>
        <w:spacing w:line="360" w:lineRule="auto"/>
        <w:rPr>
          <w:rFonts w:ascii="宋体" w:hAnsi="宋体" w:cs="宋体"/>
          <w:color w:val="auto"/>
          <w:highlight w:val="none"/>
          <w:u w:val="dotted"/>
        </w:rPr>
      </w:pPr>
    </w:p>
    <w:p w14:paraId="6BE01BD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108119C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27D246B7">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4ACE7CE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5E7948CE">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61621512">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51298099">
      <w:pPr>
        <w:spacing w:line="360" w:lineRule="auto"/>
        <w:rPr>
          <w:rFonts w:ascii="宋体" w:hAnsi="宋体" w:cs="宋体"/>
          <w:color w:val="auto"/>
          <w:highlight w:val="none"/>
        </w:rPr>
      </w:pPr>
    </w:p>
    <w:p w14:paraId="25E8DB72">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0092EC9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08C55B1">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5836AA73">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2BCEEBC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7B81E642">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10AA32E8">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3CF1BA1D">
      <w:pPr>
        <w:pStyle w:val="65"/>
        <w:rPr>
          <w:color w:val="auto"/>
          <w:highlight w:val="none"/>
        </w:rPr>
      </w:pPr>
    </w:p>
    <w:p w14:paraId="132191FF">
      <w:pPr>
        <w:pStyle w:val="17"/>
        <w:spacing w:line="460" w:lineRule="exact"/>
        <w:rPr>
          <w:rFonts w:cs="Times New Roman"/>
          <w:color w:val="auto"/>
          <w:highlight w:val="none"/>
        </w:rPr>
      </w:pPr>
    </w:p>
    <w:p w14:paraId="6DA2990A">
      <w:pPr>
        <w:rPr>
          <w:color w:val="auto"/>
          <w:highlight w:val="none"/>
        </w:rPr>
      </w:pPr>
    </w:p>
    <w:p w14:paraId="5847F18F">
      <w:pPr>
        <w:rPr>
          <w:color w:val="auto"/>
          <w:highlight w:val="none"/>
        </w:rPr>
      </w:pPr>
    </w:p>
    <w:p w14:paraId="4FD019C6">
      <w:pPr>
        <w:pStyle w:val="3"/>
        <w:rPr>
          <w:color w:val="auto"/>
          <w:highlight w:val="none"/>
        </w:rPr>
      </w:pPr>
    </w:p>
    <w:p w14:paraId="7B4C7539">
      <w:pPr>
        <w:rPr>
          <w:color w:val="auto"/>
          <w:highlight w:val="none"/>
        </w:rPr>
      </w:pPr>
    </w:p>
    <w:p w14:paraId="4E0012A8">
      <w:pPr>
        <w:jc w:val="center"/>
        <w:rPr>
          <w:rFonts w:hint="eastAsia" w:ascii="宋体" w:hAnsi="宋体"/>
          <w:b/>
          <w:color w:val="auto"/>
          <w:sz w:val="36"/>
          <w:szCs w:val="36"/>
          <w:highlight w:val="none"/>
        </w:rPr>
      </w:pPr>
    </w:p>
    <w:p w14:paraId="224C89C6">
      <w:pPr>
        <w:jc w:val="center"/>
        <w:rPr>
          <w:rFonts w:hint="eastAsia" w:ascii="宋体" w:hAnsi="宋体"/>
          <w:b/>
          <w:color w:val="auto"/>
          <w:sz w:val="36"/>
          <w:szCs w:val="36"/>
          <w:highlight w:val="none"/>
        </w:rPr>
      </w:pPr>
    </w:p>
    <w:p w14:paraId="1878EEF9">
      <w:pPr>
        <w:jc w:val="center"/>
        <w:rPr>
          <w:rFonts w:hint="eastAsia" w:ascii="宋体" w:hAnsi="宋体"/>
          <w:b/>
          <w:color w:val="auto"/>
          <w:sz w:val="36"/>
          <w:szCs w:val="36"/>
          <w:highlight w:val="none"/>
        </w:rPr>
      </w:pPr>
    </w:p>
    <w:p w14:paraId="063B0391">
      <w:pPr>
        <w:jc w:val="center"/>
        <w:rPr>
          <w:rFonts w:hint="eastAsia" w:ascii="宋体" w:hAnsi="宋体"/>
          <w:b/>
          <w:color w:val="auto"/>
          <w:sz w:val="36"/>
          <w:szCs w:val="36"/>
          <w:highlight w:val="none"/>
        </w:rPr>
      </w:pPr>
    </w:p>
    <w:p w14:paraId="54924E18">
      <w:pPr>
        <w:jc w:val="center"/>
        <w:rPr>
          <w:rFonts w:hint="eastAsia" w:ascii="宋体" w:hAnsi="宋体"/>
          <w:b/>
          <w:color w:val="auto"/>
          <w:sz w:val="36"/>
          <w:szCs w:val="36"/>
          <w:highlight w:val="none"/>
        </w:rPr>
      </w:pPr>
    </w:p>
    <w:p w14:paraId="11A57058">
      <w:pPr>
        <w:jc w:val="center"/>
        <w:rPr>
          <w:rFonts w:hint="eastAsia" w:ascii="宋体" w:hAnsi="宋体"/>
          <w:b/>
          <w:color w:val="auto"/>
          <w:sz w:val="36"/>
          <w:szCs w:val="36"/>
          <w:highlight w:val="none"/>
        </w:rPr>
      </w:pPr>
    </w:p>
    <w:p w14:paraId="33170DB2">
      <w:pPr>
        <w:jc w:val="center"/>
        <w:rPr>
          <w:rFonts w:hint="eastAsia" w:ascii="宋体" w:hAnsi="宋体"/>
          <w:b/>
          <w:color w:val="auto"/>
          <w:sz w:val="36"/>
          <w:szCs w:val="36"/>
          <w:highlight w:val="none"/>
        </w:rPr>
      </w:pPr>
    </w:p>
    <w:p w14:paraId="6FD34EEB">
      <w:pPr>
        <w:jc w:val="center"/>
        <w:rPr>
          <w:rFonts w:hint="eastAsia" w:ascii="宋体" w:hAnsi="宋体"/>
          <w:b/>
          <w:color w:val="auto"/>
          <w:sz w:val="36"/>
          <w:szCs w:val="36"/>
          <w:highlight w:val="none"/>
        </w:rPr>
      </w:pPr>
    </w:p>
    <w:p w14:paraId="09850462">
      <w:pPr>
        <w:jc w:val="center"/>
        <w:rPr>
          <w:rFonts w:hint="eastAsia" w:ascii="宋体" w:hAnsi="宋体"/>
          <w:b/>
          <w:color w:val="auto"/>
          <w:sz w:val="36"/>
          <w:szCs w:val="36"/>
          <w:highlight w:val="none"/>
        </w:rPr>
      </w:pPr>
    </w:p>
    <w:p w14:paraId="26B0F2D5">
      <w:pPr>
        <w:jc w:val="center"/>
        <w:rPr>
          <w:rFonts w:hint="eastAsia" w:ascii="宋体" w:hAnsi="宋体"/>
          <w:b/>
          <w:color w:val="auto"/>
          <w:sz w:val="36"/>
          <w:szCs w:val="36"/>
          <w:highlight w:val="none"/>
        </w:rPr>
      </w:pPr>
    </w:p>
    <w:bookmarkEnd w:id="70"/>
    <w:bookmarkEnd w:id="71"/>
    <w:bookmarkEnd w:id="72"/>
    <w:bookmarkEnd w:id="73"/>
    <w:bookmarkEnd w:id="74"/>
    <w:bookmarkEnd w:id="75"/>
    <w:p w14:paraId="385B5425">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PMingLiU">
    <w:altName w:val="Sitka Text"/>
    <w:panose1 w:val="02020500000000000000"/>
    <w:charset w:val="00"/>
    <w:family w:val="roman"/>
    <w:pitch w:val="default"/>
    <w:sig w:usb0="00000000" w:usb1="00000000" w:usb2="00000016" w:usb3="00000000" w:csb0="00100001" w:csb1="00000000"/>
  </w:font>
  <w:font w:name="Sitka Text">
    <w:panose1 w:val="00000000000000000000"/>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1467">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DDC56">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77DDC5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6808">
    <w:pPr>
      <w:pStyle w:val="21"/>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E866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7E866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2AA5">
    <w:pPr>
      <w:pStyle w:val="21"/>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BE89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ACBE89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67DD">
    <w:pPr>
      <w:pStyle w:val="21"/>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5EA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3D5EA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3FB0">
    <w:pPr>
      <w:pStyle w:val="21"/>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907B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AB907B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AF27">
    <w:pPr>
      <w:pStyle w:val="22"/>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845A">
    <w:pPr>
      <w:pStyle w:val="22"/>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67C9"/>
    <w:multiLevelType w:val="singleLevel"/>
    <w:tmpl w:val="810767C9"/>
    <w:lvl w:ilvl="0" w:tentative="0">
      <w:start w:val="2"/>
      <w:numFmt w:val="chineseCounting"/>
      <w:suff w:val="nothing"/>
      <w:lvlText w:val="%1、"/>
      <w:lvlJc w:val="left"/>
      <w:rPr>
        <w:rFonts w:hint="eastAsia"/>
      </w:rPr>
    </w:lvl>
  </w:abstractNum>
  <w:abstractNum w:abstractNumId="1">
    <w:nsid w:val="A6E268F2"/>
    <w:multiLevelType w:val="singleLevel"/>
    <w:tmpl w:val="A6E268F2"/>
    <w:lvl w:ilvl="0" w:tentative="0">
      <w:start w:val="1"/>
      <w:numFmt w:val="decimal"/>
      <w:suff w:val="nothing"/>
      <w:lvlText w:val="（%1）"/>
      <w:lvlJc w:val="left"/>
      <w:rPr>
        <w:rFonts w:hint="default"/>
        <w:color w:val="auto"/>
      </w:rPr>
    </w:lvl>
  </w:abstractNum>
  <w:abstractNum w:abstractNumId="2">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4">
    <w:nsid w:val="270D4A16"/>
    <w:multiLevelType w:val="singleLevel"/>
    <w:tmpl w:val="270D4A16"/>
    <w:lvl w:ilvl="0" w:tentative="0">
      <w:start w:val="1"/>
      <w:numFmt w:val="decimal"/>
      <w:suff w:val="nothing"/>
      <w:lvlText w:val="%1."/>
      <w:lvlJc w:val="left"/>
      <w:pPr>
        <w:ind w:left="-2"/>
      </w:pPr>
      <w:rPr>
        <w:rFonts w:hint="default"/>
        <w:b/>
        <w:bCs/>
        <w:sz w:val="21"/>
        <w:szCs w:val="21"/>
      </w:rPr>
    </w:lvl>
  </w:abstractNum>
  <w:abstractNum w:abstractNumId="5">
    <w:nsid w:val="49FECD61"/>
    <w:multiLevelType w:val="singleLevel"/>
    <w:tmpl w:val="49FECD61"/>
    <w:lvl w:ilvl="0" w:tentative="0">
      <w:start w:val="3"/>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YzRlMjJjMzY0ZmY0Njg3YzJiNGZhOTAyODI4YWI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830099"/>
    <w:rsid w:val="018E7169"/>
    <w:rsid w:val="019329D2"/>
    <w:rsid w:val="0194674A"/>
    <w:rsid w:val="01AC5842"/>
    <w:rsid w:val="01BD17FD"/>
    <w:rsid w:val="01C34939"/>
    <w:rsid w:val="01CC55A4"/>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C2340B"/>
    <w:rsid w:val="04E86B91"/>
    <w:rsid w:val="04F05330"/>
    <w:rsid w:val="04FA4B16"/>
    <w:rsid w:val="05031AF8"/>
    <w:rsid w:val="050F6813"/>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FE4192"/>
    <w:rsid w:val="05FE5C3A"/>
    <w:rsid w:val="06071298"/>
    <w:rsid w:val="060F6696"/>
    <w:rsid w:val="061D286A"/>
    <w:rsid w:val="06224324"/>
    <w:rsid w:val="062260D2"/>
    <w:rsid w:val="06336531"/>
    <w:rsid w:val="064029FC"/>
    <w:rsid w:val="06437431"/>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6E13331"/>
    <w:rsid w:val="0708351A"/>
    <w:rsid w:val="070B125C"/>
    <w:rsid w:val="07133C6D"/>
    <w:rsid w:val="07140111"/>
    <w:rsid w:val="072365A6"/>
    <w:rsid w:val="07293490"/>
    <w:rsid w:val="073D7647"/>
    <w:rsid w:val="074F4C03"/>
    <w:rsid w:val="07510E9A"/>
    <w:rsid w:val="0757624F"/>
    <w:rsid w:val="076444C8"/>
    <w:rsid w:val="07666493"/>
    <w:rsid w:val="0777244E"/>
    <w:rsid w:val="07862691"/>
    <w:rsid w:val="078B414B"/>
    <w:rsid w:val="07943000"/>
    <w:rsid w:val="079A613C"/>
    <w:rsid w:val="079D726B"/>
    <w:rsid w:val="07A82607"/>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354C3"/>
    <w:rsid w:val="0BAC014B"/>
    <w:rsid w:val="0BB2614A"/>
    <w:rsid w:val="0BB93035"/>
    <w:rsid w:val="0BC0059A"/>
    <w:rsid w:val="0BC11EE9"/>
    <w:rsid w:val="0BCB4B16"/>
    <w:rsid w:val="0BED0F30"/>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E6912"/>
    <w:rsid w:val="0CBD6B55"/>
    <w:rsid w:val="0CBE467B"/>
    <w:rsid w:val="0CC53C5B"/>
    <w:rsid w:val="0CD16FA1"/>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CD7368"/>
    <w:rsid w:val="12D70244"/>
    <w:rsid w:val="12E36BE9"/>
    <w:rsid w:val="12F26E2C"/>
    <w:rsid w:val="12FB2185"/>
    <w:rsid w:val="130D1EB8"/>
    <w:rsid w:val="131E7C21"/>
    <w:rsid w:val="1324792E"/>
    <w:rsid w:val="13301948"/>
    <w:rsid w:val="133B6A25"/>
    <w:rsid w:val="134E57BA"/>
    <w:rsid w:val="13517FF7"/>
    <w:rsid w:val="135E44C2"/>
    <w:rsid w:val="13693592"/>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95DE3"/>
    <w:rsid w:val="186E33F9"/>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9080C81"/>
    <w:rsid w:val="190D676E"/>
    <w:rsid w:val="19263CD4"/>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380745"/>
    <w:rsid w:val="1D554B87"/>
    <w:rsid w:val="1D5A03F0"/>
    <w:rsid w:val="1D5F1562"/>
    <w:rsid w:val="1D5F18A9"/>
    <w:rsid w:val="1D61177E"/>
    <w:rsid w:val="1D6152DA"/>
    <w:rsid w:val="1D772D50"/>
    <w:rsid w:val="1D774AFE"/>
    <w:rsid w:val="1D7A639C"/>
    <w:rsid w:val="1D8470B8"/>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E0715D"/>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B2AE2"/>
    <w:rsid w:val="1F99183C"/>
    <w:rsid w:val="1FAA740D"/>
    <w:rsid w:val="1FAD4807"/>
    <w:rsid w:val="1FB913FE"/>
    <w:rsid w:val="1FBC0EEE"/>
    <w:rsid w:val="1FD93E60"/>
    <w:rsid w:val="1FDB4421"/>
    <w:rsid w:val="1FDE0E64"/>
    <w:rsid w:val="1FDE2C12"/>
    <w:rsid w:val="1FE87F35"/>
    <w:rsid w:val="1FEB532F"/>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17CF9"/>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F4E23"/>
    <w:rsid w:val="248F6BD1"/>
    <w:rsid w:val="24A24B56"/>
    <w:rsid w:val="24BD16AB"/>
    <w:rsid w:val="24BE3012"/>
    <w:rsid w:val="24C90335"/>
    <w:rsid w:val="24D32F62"/>
    <w:rsid w:val="24DE5462"/>
    <w:rsid w:val="24E11174"/>
    <w:rsid w:val="24EC4023"/>
    <w:rsid w:val="24F627AC"/>
    <w:rsid w:val="25056E93"/>
    <w:rsid w:val="25076767"/>
    <w:rsid w:val="25276E09"/>
    <w:rsid w:val="253908EB"/>
    <w:rsid w:val="25457290"/>
    <w:rsid w:val="254774AC"/>
    <w:rsid w:val="25493224"/>
    <w:rsid w:val="254E25E8"/>
    <w:rsid w:val="255816B9"/>
    <w:rsid w:val="255A0F8D"/>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D519C6"/>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419EB"/>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CA4E9C"/>
    <w:rsid w:val="29D46E34"/>
    <w:rsid w:val="29DF5F05"/>
    <w:rsid w:val="29E77A40"/>
    <w:rsid w:val="29E90B31"/>
    <w:rsid w:val="29ED41C7"/>
    <w:rsid w:val="29EF3C6E"/>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F83A39"/>
    <w:rsid w:val="2DFB0E33"/>
    <w:rsid w:val="2DFF6B75"/>
    <w:rsid w:val="2E0B376C"/>
    <w:rsid w:val="2E0D56A8"/>
    <w:rsid w:val="2E0E500A"/>
    <w:rsid w:val="2E2A1718"/>
    <w:rsid w:val="2E2D0A6B"/>
    <w:rsid w:val="2E3C1B78"/>
    <w:rsid w:val="2E514EF7"/>
    <w:rsid w:val="2E5B7B24"/>
    <w:rsid w:val="2E5D564A"/>
    <w:rsid w:val="2E78505A"/>
    <w:rsid w:val="2E785465"/>
    <w:rsid w:val="2E861045"/>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CD3605"/>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200110E"/>
    <w:rsid w:val="32096215"/>
    <w:rsid w:val="32292413"/>
    <w:rsid w:val="322E5C7B"/>
    <w:rsid w:val="32454D73"/>
    <w:rsid w:val="324A05DB"/>
    <w:rsid w:val="324C7EAF"/>
    <w:rsid w:val="325240AB"/>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D2012"/>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551E7"/>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751F6D"/>
    <w:rsid w:val="3A8A77C7"/>
    <w:rsid w:val="3A8D72B7"/>
    <w:rsid w:val="3A8F302F"/>
    <w:rsid w:val="3A8F74D3"/>
    <w:rsid w:val="3AA40859"/>
    <w:rsid w:val="3AA54601"/>
    <w:rsid w:val="3AB331C1"/>
    <w:rsid w:val="3AB43149"/>
    <w:rsid w:val="3AB64A60"/>
    <w:rsid w:val="3AC56F65"/>
    <w:rsid w:val="3AD924FC"/>
    <w:rsid w:val="3ADD1FEC"/>
    <w:rsid w:val="3AF64E5C"/>
    <w:rsid w:val="3AFB2473"/>
    <w:rsid w:val="3AFF2C00"/>
    <w:rsid w:val="3B057795"/>
    <w:rsid w:val="3B084B8F"/>
    <w:rsid w:val="3B1B2B15"/>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9A5CBB"/>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475273"/>
    <w:rsid w:val="3D5F13DF"/>
    <w:rsid w:val="3D5F318D"/>
    <w:rsid w:val="3D632551"/>
    <w:rsid w:val="3D6C7658"/>
    <w:rsid w:val="3D793B23"/>
    <w:rsid w:val="3D85696B"/>
    <w:rsid w:val="3D8A5D30"/>
    <w:rsid w:val="3D9904B2"/>
    <w:rsid w:val="3D9F17DB"/>
    <w:rsid w:val="3DB42DAD"/>
    <w:rsid w:val="3DB72FC9"/>
    <w:rsid w:val="3DB83658"/>
    <w:rsid w:val="3DCB25D0"/>
    <w:rsid w:val="3DD82F3F"/>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A23805"/>
    <w:rsid w:val="3FA330D9"/>
    <w:rsid w:val="3FA56E51"/>
    <w:rsid w:val="3FB62E0C"/>
    <w:rsid w:val="3FB928FC"/>
    <w:rsid w:val="3FBB0422"/>
    <w:rsid w:val="3FBD063E"/>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CD4BC8"/>
    <w:rsid w:val="43D41FF2"/>
    <w:rsid w:val="43DE0B83"/>
    <w:rsid w:val="44000AFA"/>
    <w:rsid w:val="44030670"/>
    <w:rsid w:val="440700DA"/>
    <w:rsid w:val="4407632C"/>
    <w:rsid w:val="44103433"/>
    <w:rsid w:val="44114AB5"/>
    <w:rsid w:val="442742D8"/>
    <w:rsid w:val="442C18EF"/>
    <w:rsid w:val="442C5D93"/>
    <w:rsid w:val="442F0BFE"/>
    <w:rsid w:val="443F17DC"/>
    <w:rsid w:val="445157F9"/>
    <w:rsid w:val="445350CD"/>
    <w:rsid w:val="44586B88"/>
    <w:rsid w:val="44590A02"/>
    <w:rsid w:val="445A46AE"/>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E3FCF"/>
    <w:rsid w:val="45443838"/>
    <w:rsid w:val="454D7D6F"/>
    <w:rsid w:val="45525385"/>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836C3D"/>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D5E07"/>
    <w:rsid w:val="4BFE1DC3"/>
    <w:rsid w:val="4C2638A5"/>
    <w:rsid w:val="4C3B3017"/>
    <w:rsid w:val="4C3D6D8F"/>
    <w:rsid w:val="4C5440D8"/>
    <w:rsid w:val="4C574A64"/>
    <w:rsid w:val="4C6267F5"/>
    <w:rsid w:val="4C651E42"/>
    <w:rsid w:val="4C6F4A6E"/>
    <w:rsid w:val="4C6F4AF2"/>
    <w:rsid w:val="4C7B3413"/>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5325E2"/>
    <w:rsid w:val="4D5A127B"/>
    <w:rsid w:val="4D5B25F7"/>
    <w:rsid w:val="4D775534"/>
    <w:rsid w:val="4D785BA5"/>
    <w:rsid w:val="4D866514"/>
    <w:rsid w:val="4D875DE8"/>
    <w:rsid w:val="4D9264EE"/>
    <w:rsid w:val="4D9549A9"/>
    <w:rsid w:val="4D9A454D"/>
    <w:rsid w:val="4DA1334D"/>
    <w:rsid w:val="4DA62712"/>
    <w:rsid w:val="4DA900E3"/>
    <w:rsid w:val="4DB0533F"/>
    <w:rsid w:val="4DC82688"/>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984750"/>
    <w:rsid w:val="4E99094C"/>
    <w:rsid w:val="4EA76741"/>
    <w:rsid w:val="4EBA13D7"/>
    <w:rsid w:val="4EBD41B7"/>
    <w:rsid w:val="4EC15329"/>
    <w:rsid w:val="4EC92B5C"/>
    <w:rsid w:val="4ECF5F29"/>
    <w:rsid w:val="4EDE5EDB"/>
    <w:rsid w:val="4EE2777A"/>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F9121F"/>
    <w:rsid w:val="4FFF435B"/>
    <w:rsid w:val="4FFFB71E"/>
    <w:rsid w:val="500D0826"/>
    <w:rsid w:val="50120532"/>
    <w:rsid w:val="501C315F"/>
    <w:rsid w:val="502C3AFD"/>
    <w:rsid w:val="503009B9"/>
    <w:rsid w:val="503F29AA"/>
    <w:rsid w:val="505521CD"/>
    <w:rsid w:val="50615016"/>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121E6C"/>
    <w:rsid w:val="51145BE4"/>
    <w:rsid w:val="5119769F"/>
    <w:rsid w:val="511A58F1"/>
    <w:rsid w:val="511B51C5"/>
    <w:rsid w:val="512027DB"/>
    <w:rsid w:val="512247A5"/>
    <w:rsid w:val="514364CA"/>
    <w:rsid w:val="515626A1"/>
    <w:rsid w:val="515D1360"/>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650DED"/>
    <w:rsid w:val="526D1A50"/>
    <w:rsid w:val="52733F35"/>
    <w:rsid w:val="52742DDF"/>
    <w:rsid w:val="52884ADC"/>
    <w:rsid w:val="528F7C18"/>
    <w:rsid w:val="529214B7"/>
    <w:rsid w:val="52952D55"/>
    <w:rsid w:val="529A036B"/>
    <w:rsid w:val="529E60AD"/>
    <w:rsid w:val="52B70F1D"/>
    <w:rsid w:val="52B7716F"/>
    <w:rsid w:val="52BC4786"/>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646D"/>
    <w:rsid w:val="549C486F"/>
    <w:rsid w:val="54A35BFD"/>
    <w:rsid w:val="54AB4AB2"/>
    <w:rsid w:val="54AD4386"/>
    <w:rsid w:val="54B5148C"/>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049FE"/>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882E88"/>
    <w:rsid w:val="578C4726"/>
    <w:rsid w:val="578D049F"/>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5A4FB0"/>
    <w:rsid w:val="5A690D4F"/>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A02E96"/>
    <w:rsid w:val="5BA74225"/>
    <w:rsid w:val="5BAA5AC3"/>
    <w:rsid w:val="5BB57E26"/>
    <w:rsid w:val="5BBA55DA"/>
    <w:rsid w:val="5BC14BBB"/>
    <w:rsid w:val="5BD14DFE"/>
    <w:rsid w:val="5BD60666"/>
    <w:rsid w:val="5BDD4CB8"/>
    <w:rsid w:val="5BE9DEFC"/>
    <w:rsid w:val="5BEE6815"/>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0C597F"/>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D65964"/>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E54CA"/>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1379C"/>
    <w:rsid w:val="61952D71"/>
    <w:rsid w:val="61960094"/>
    <w:rsid w:val="61992DEB"/>
    <w:rsid w:val="61B551C2"/>
    <w:rsid w:val="61C62F2B"/>
    <w:rsid w:val="61E11B13"/>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D83571"/>
    <w:rsid w:val="67EE4F89"/>
    <w:rsid w:val="67F02AB0"/>
    <w:rsid w:val="68182006"/>
    <w:rsid w:val="681A3FD0"/>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82374"/>
    <w:rsid w:val="69A4639F"/>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071DE"/>
    <w:rsid w:val="6B11688B"/>
    <w:rsid w:val="6B1F4881"/>
    <w:rsid w:val="6B217424"/>
    <w:rsid w:val="6B3709F5"/>
    <w:rsid w:val="6B3929BF"/>
    <w:rsid w:val="6B431148"/>
    <w:rsid w:val="6B454EC0"/>
    <w:rsid w:val="6B4718D4"/>
    <w:rsid w:val="6B4C44A1"/>
    <w:rsid w:val="6B513865"/>
    <w:rsid w:val="6B572E46"/>
    <w:rsid w:val="6B6932A5"/>
    <w:rsid w:val="6B735ED1"/>
    <w:rsid w:val="6B7F19ED"/>
    <w:rsid w:val="6B841E8D"/>
    <w:rsid w:val="6B851761"/>
    <w:rsid w:val="6B881251"/>
    <w:rsid w:val="6B8A4FC9"/>
    <w:rsid w:val="6B9145AA"/>
    <w:rsid w:val="6B95409A"/>
    <w:rsid w:val="6B9B0F84"/>
    <w:rsid w:val="6B9E2823"/>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E4DD0"/>
    <w:rsid w:val="6E935726"/>
    <w:rsid w:val="6EA91421"/>
    <w:rsid w:val="6EAA3BD8"/>
    <w:rsid w:val="6EBA6930"/>
    <w:rsid w:val="6EBC36EB"/>
    <w:rsid w:val="6ED0363B"/>
    <w:rsid w:val="6ED722D3"/>
    <w:rsid w:val="6ED8604B"/>
    <w:rsid w:val="6EDE2CAE"/>
    <w:rsid w:val="6EE80984"/>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D9207B"/>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EF2F7B"/>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F61BD9"/>
    <w:rsid w:val="76053BCA"/>
    <w:rsid w:val="760C31AA"/>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96E05"/>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B05DB7"/>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75AFA1"/>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757C7"/>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947A56"/>
    <w:rsid w:val="7CAD17DA"/>
    <w:rsid w:val="7CAF4890"/>
    <w:rsid w:val="7CB263ED"/>
    <w:rsid w:val="7CB2717C"/>
    <w:rsid w:val="7CB35F23"/>
    <w:rsid w:val="7CB37BC7"/>
    <w:rsid w:val="7CC540B3"/>
    <w:rsid w:val="7CCC3693"/>
    <w:rsid w:val="7CCD740C"/>
    <w:rsid w:val="7CD75B94"/>
    <w:rsid w:val="7CDE5175"/>
    <w:rsid w:val="7CE34539"/>
    <w:rsid w:val="7D060228"/>
    <w:rsid w:val="7D080444"/>
    <w:rsid w:val="7D0A41BC"/>
    <w:rsid w:val="7D0D7808"/>
    <w:rsid w:val="7D1058BF"/>
    <w:rsid w:val="7D24527D"/>
    <w:rsid w:val="7D31799A"/>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5576B9"/>
    <w:rsid w:val="7E5751DF"/>
    <w:rsid w:val="7E584AB3"/>
    <w:rsid w:val="7E5E47BF"/>
    <w:rsid w:val="7E6E2528"/>
    <w:rsid w:val="7E7F0292"/>
    <w:rsid w:val="7E7FEBA3"/>
    <w:rsid w:val="7E885398"/>
    <w:rsid w:val="7E906943"/>
    <w:rsid w:val="7E941F8F"/>
    <w:rsid w:val="7EA36676"/>
    <w:rsid w:val="7EABC132"/>
    <w:rsid w:val="7EB50157"/>
    <w:rsid w:val="7EC32874"/>
    <w:rsid w:val="7EC9775F"/>
    <w:rsid w:val="7ED625A7"/>
    <w:rsid w:val="7EF70770"/>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92F33"/>
    <w:rsid w:val="7F855D7C"/>
    <w:rsid w:val="7F89586C"/>
    <w:rsid w:val="7F8F2756"/>
    <w:rsid w:val="7F8F6BFA"/>
    <w:rsid w:val="7FA23E97"/>
    <w:rsid w:val="7FA82B99"/>
    <w:rsid w:val="7FB64187"/>
    <w:rsid w:val="7FBBA8C9"/>
    <w:rsid w:val="7FBE52A6"/>
    <w:rsid w:val="7FD12D6F"/>
    <w:rsid w:val="7FD34D39"/>
    <w:rsid w:val="7FDA7E75"/>
    <w:rsid w:val="7FDD1714"/>
    <w:rsid w:val="7FE17456"/>
    <w:rsid w:val="7FE42AA2"/>
    <w:rsid w:val="7FEC7BA9"/>
    <w:rsid w:val="9ADDDAB9"/>
    <w:rsid w:val="AB7F242D"/>
    <w:rsid w:val="AF5D55AA"/>
    <w:rsid w:val="BADFBAB7"/>
    <w:rsid w:val="BDF0F7EC"/>
    <w:rsid w:val="C7BF722B"/>
    <w:rsid w:val="D5EFA6DE"/>
    <w:rsid w:val="DEBEE989"/>
    <w:rsid w:val="DF5FCEEC"/>
    <w:rsid w:val="E6FEC9BD"/>
    <w:rsid w:val="E7F784B6"/>
    <w:rsid w:val="ED7D00B7"/>
    <w:rsid w:val="F3FD8D61"/>
    <w:rsid w:val="F77E3679"/>
    <w:rsid w:val="F79B0276"/>
    <w:rsid w:val="F7FFB7E7"/>
    <w:rsid w:val="F97770F3"/>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2">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autoRedefine/>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autoRedefine/>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autoRedefine/>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autoRedefine/>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autoRedefine/>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autoRedefine/>
    <w:qFormat/>
    <w:uiPriority w:val="0"/>
    <w:rPr>
      <w:rFonts w:ascii="Times New Roman" w:hAnsi="Times New Roman" w:eastAsia="宋体" w:cs="Times New Roman"/>
    </w:rPr>
  </w:style>
  <w:style w:type="table" w:default="1" w:styleId="38">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autoRedefine/>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next w:val="13"/>
    <w:autoRedefine/>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Body Text Indent"/>
    <w:basedOn w:val="1"/>
    <w:next w:val="1"/>
    <w:autoRedefine/>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4">
    <w:name w:val="caption"/>
    <w:basedOn w:val="1"/>
    <w:next w:val="1"/>
    <w:autoRedefine/>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autoRedefine/>
    <w:qFormat/>
    <w:uiPriority w:val="0"/>
    <w:pPr>
      <w:jc w:val="left"/>
    </w:pPr>
    <w:rPr>
      <w:rFonts w:ascii="Times New Roman" w:hAnsi="Times New Roman" w:eastAsia="宋体" w:cs="Times New Roman"/>
    </w:rPr>
  </w:style>
  <w:style w:type="paragraph" w:styleId="16">
    <w:name w:val="Body Text"/>
    <w:basedOn w:val="1"/>
    <w:next w:val="1"/>
    <w:autoRedefine/>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Plain Text"/>
    <w:basedOn w:val="1"/>
    <w:next w:val="1"/>
    <w:link w:val="57"/>
    <w:autoRedefine/>
    <w:qFormat/>
    <w:uiPriority w:val="0"/>
    <w:rPr>
      <w:rFonts w:ascii="宋体" w:hAnsi="Courier New" w:eastAsia="宋体" w:cs="Courier New"/>
      <w:szCs w:val="21"/>
    </w:rPr>
  </w:style>
  <w:style w:type="paragraph" w:styleId="18">
    <w:name w:val="Date"/>
    <w:basedOn w:val="1"/>
    <w:next w:val="1"/>
    <w:autoRedefine/>
    <w:qFormat/>
    <w:uiPriority w:val="0"/>
    <w:rPr>
      <w:rFonts w:ascii="Times New Roman" w:hAnsi="Times New Roman" w:eastAsia="宋体" w:cs="Times New Roman"/>
      <w:sz w:val="28"/>
      <w:szCs w:val="20"/>
    </w:rPr>
  </w:style>
  <w:style w:type="paragraph" w:styleId="19">
    <w:name w:val="Body Text Indent 2"/>
    <w:basedOn w:val="1"/>
    <w:autoRedefine/>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0">
    <w:name w:val="Balloon Text"/>
    <w:basedOn w:val="1"/>
    <w:autoRedefine/>
    <w:qFormat/>
    <w:uiPriority w:val="0"/>
    <w:rPr>
      <w:rFonts w:ascii="Times New Roman" w:hAnsi="Times New Roman" w:eastAsia="宋体" w:cs="Times New Roman"/>
      <w:sz w:val="18"/>
      <w:szCs w:val="18"/>
    </w:rPr>
  </w:style>
  <w:style w:type="paragraph" w:styleId="21">
    <w:name w:val="footer"/>
    <w:basedOn w:val="1"/>
    <w:autoRedefine/>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2">
    <w:name w:val="header"/>
    <w:basedOn w:val="1"/>
    <w:autoRedefine/>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3">
    <w:name w:val="toc 1"/>
    <w:basedOn w:val="1"/>
    <w:next w:val="1"/>
    <w:autoRedefine/>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4">
    <w:name w:val="toc 4"/>
    <w:basedOn w:val="1"/>
    <w:next w:val="1"/>
    <w:autoRedefine/>
    <w:qFormat/>
    <w:uiPriority w:val="0"/>
    <w:pPr>
      <w:ind w:left="1260"/>
    </w:pPr>
    <w:rPr>
      <w:rFonts w:ascii="Times New Roman" w:hAnsi="Times New Roman" w:eastAsia="宋体" w:cs="Times New Roman"/>
      <w:kern w:val="1"/>
    </w:rPr>
  </w:style>
  <w:style w:type="paragraph" w:styleId="25">
    <w:name w:val="footnote text"/>
    <w:basedOn w:val="1"/>
    <w:link w:val="58"/>
    <w:autoRedefine/>
    <w:qFormat/>
    <w:uiPriority w:val="0"/>
    <w:pPr>
      <w:snapToGrid w:val="0"/>
      <w:jc w:val="left"/>
    </w:pPr>
    <w:rPr>
      <w:rFonts w:ascii="Times New Roman" w:hAnsi="Times New Roman" w:eastAsia="宋体" w:cs="Times New Roman"/>
      <w:sz w:val="18"/>
      <w:szCs w:val="18"/>
    </w:rPr>
  </w:style>
  <w:style w:type="paragraph" w:styleId="26">
    <w:name w:val="toc 6"/>
    <w:basedOn w:val="1"/>
    <w:next w:val="1"/>
    <w:autoRedefine/>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7">
    <w:name w:val="Body Text Indent 3"/>
    <w:basedOn w:val="1"/>
    <w:autoRedefine/>
    <w:qFormat/>
    <w:uiPriority w:val="0"/>
    <w:pPr>
      <w:spacing w:after="120" w:afterLines="0"/>
      <w:ind w:left="420" w:leftChars="200"/>
    </w:pPr>
    <w:rPr>
      <w:rFonts w:ascii="Times New Roman" w:hAnsi="Times New Roman" w:eastAsia="宋体" w:cs="Times New Roman"/>
      <w:sz w:val="16"/>
      <w:szCs w:val="16"/>
    </w:rPr>
  </w:style>
  <w:style w:type="paragraph" w:styleId="28">
    <w:name w:val="toc 2"/>
    <w:basedOn w:val="1"/>
    <w:next w:val="1"/>
    <w:autoRedefine/>
    <w:qFormat/>
    <w:uiPriority w:val="0"/>
    <w:pPr>
      <w:ind w:left="420" w:leftChars="200"/>
    </w:pPr>
    <w:rPr>
      <w:rFonts w:ascii="Times New Roman" w:hAnsi="Times New Roman" w:eastAsia="宋体" w:cs="Times New Roman"/>
    </w:rPr>
  </w:style>
  <w:style w:type="paragraph" w:styleId="29">
    <w:name w:val="toc 9"/>
    <w:basedOn w:val="1"/>
    <w:next w:val="1"/>
    <w:autoRedefine/>
    <w:qFormat/>
    <w:uiPriority w:val="0"/>
    <w:pPr>
      <w:ind w:left="3360" w:leftChars="1600"/>
    </w:pPr>
    <w:rPr>
      <w:rFonts w:ascii="Calibri" w:hAnsi="Calibri" w:eastAsia="宋体" w:cs="Times New Roman"/>
    </w:rPr>
  </w:style>
  <w:style w:type="paragraph" w:styleId="30">
    <w:name w:val="Body Text 2"/>
    <w:basedOn w:val="1"/>
    <w:autoRedefine/>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1">
    <w:name w:val="Normal (Web)"/>
    <w:basedOn w:val="1"/>
    <w:autoRedefine/>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2">
    <w:name w:val="index 1"/>
    <w:basedOn w:val="1"/>
    <w:next w:val="1"/>
    <w:autoRedefine/>
    <w:qFormat/>
    <w:uiPriority w:val="0"/>
    <w:rPr>
      <w:rFonts w:ascii="Times New Roman" w:hAnsi="Times New Roman" w:eastAsia="宋体" w:cs="Times New Roman"/>
    </w:rPr>
  </w:style>
  <w:style w:type="paragraph" w:styleId="33">
    <w:name w:val="Title"/>
    <w:basedOn w:val="1"/>
    <w:next w:val="1"/>
    <w:link w:val="59"/>
    <w:autoRedefine/>
    <w:qFormat/>
    <w:uiPriority w:val="0"/>
    <w:pPr>
      <w:spacing w:before="240" w:after="60"/>
      <w:jc w:val="center"/>
      <w:outlineLvl w:val="0"/>
    </w:pPr>
    <w:rPr>
      <w:rFonts w:ascii="等线 Light" w:hAnsi="等线 Light" w:cs="Times New Roman"/>
      <w:b/>
      <w:bCs/>
      <w:sz w:val="32"/>
      <w:szCs w:val="32"/>
    </w:rPr>
  </w:style>
  <w:style w:type="paragraph" w:styleId="34">
    <w:name w:val="annotation subject"/>
    <w:basedOn w:val="15"/>
    <w:next w:val="15"/>
    <w:autoRedefine/>
    <w:qFormat/>
    <w:uiPriority w:val="0"/>
    <w:rPr>
      <w:rFonts w:ascii="Times New Roman" w:hAnsi="Times New Roman" w:eastAsia="宋体" w:cs="Times New Roman"/>
      <w:b/>
      <w:bCs/>
    </w:rPr>
  </w:style>
  <w:style w:type="paragraph" w:styleId="35">
    <w:name w:val="Body Text First Indent"/>
    <w:basedOn w:val="16"/>
    <w:next w:val="26"/>
    <w:autoRedefine/>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6">
    <w:name w:val="Body Text First Indent 2"/>
    <w:basedOn w:val="13"/>
    <w:next w:val="37"/>
    <w:autoRedefine/>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autoRedefine/>
    <w:qFormat/>
    <w:uiPriority w:val="0"/>
    <w:rPr>
      <w:rFonts w:ascii="Times New Roman" w:hAnsi="Times New Roman" w:eastAsia="宋体" w:cs="Times New Roman"/>
    </w:rPr>
  </w:style>
  <w:style w:type="character" w:styleId="43">
    <w:name w:val="FollowedHyperlink"/>
    <w:autoRedefine/>
    <w:qFormat/>
    <w:uiPriority w:val="0"/>
    <w:rPr>
      <w:rFonts w:ascii="Times New Roman" w:hAnsi="Times New Roman" w:eastAsia="宋体" w:cs="Times New Roman"/>
      <w:color w:val="800080"/>
      <w:szCs w:val="20"/>
      <w:u w:val="single"/>
    </w:rPr>
  </w:style>
  <w:style w:type="character" w:styleId="44">
    <w:name w:val="Emphasis"/>
    <w:basedOn w:val="40"/>
    <w:qFormat/>
    <w:uiPriority w:val="0"/>
    <w:rPr>
      <w:b/>
      <w:bCs/>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autoRedefine/>
    <w:qFormat/>
    <w:uiPriority w:val="0"/>
    <w:rPr>
      <w:rFonts w:ascii="Times New Roman" w:hAnsi="Times New Roman" w:eastAsia="宋体" w:cs="Times New Roman"/>
      <w:color w:val="0000FF"/>
      <w:sz w:val="21"/>
      <w:szCs w:val="20"/>
      <w:u w:val="singl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autoRedefine/>
    <w:qFormat/>
    <w:uiPriority w:val="0"/>
    <w:rPr>
      <w:rFonts w:ascii="Times New Roman" w:hAnsi="Times New Roman" w:eastAsia="宋体" w:cs="Times New Roman"/>
      <w:sz w:val="21"/>
      <w:szCs w:val="21"/>
    </w:rPr>
  </w:style>
  <w:style w:type="character" w:styleId="52">
    <w:name w:val="HTML Cite"/>
    <w:basedOn w:val="40"/>
    <w:qFormat/>
    <w:uiPriority w:val="0"/>
  </w:style>
  <w:style w:type="character" w:styleId="53">
    <w:name w:val="footnote reference"/>
    <w:autoRedefine/>
    <w:qFormat/>
    <w:uiPriority w:val="0"/>
    <w:rPr>
      <w:rFonts w:ascii="Times New Roman" w:hAnsi="Times New Roman" w:eastAsia="宋体" w:cs="Times New Roman"/>
      <w:vertAlign w:val="superscript"/>
    </w:rPr>
  </w:style>
  <w:style w:type="character" w:styleId="54">
    <w:name w:val="HTML Keyboard"/>
    <w:basedOn w:val="40"/>
    <w:qFormat/>
    <w:uiPriority w:val="0"/>
    <w:rPr>
      <w:rFonts w:ascii="monospace" w:hAnsi="monospace" w:eastAsia="monospace" w:cs="monospace"/>
      <w:sz w:val="20"/>
    </w:rPr>
  </w:style>
  <w:style w:type="character" w:styleId="55">
    <w:name w:val="HTML Sample"/>
    <w:basedOn w:val="40"/>
    <w:qFormat/>
    <w:uiPriority w:val="0"/>
    <w:rPr>
      <w:rFonts w:hint="default" w:ascii="monospace" w:hAnsi="monospace" w:eastAsia="monospace" w:cs="monospace"/>
    </w:rPr>
  </w:style>
  <w:style w:type="paragraph" w:customStyle="1" w:styleId="56">
    <w:name w:val="首行缩进"/>
    <w:basedOn w:val="1"/>
    <w:autoRedefine/>
    <w:qFormat/>
    <w:uiPriority w:val="0"/>
    <w:pPr>
      <w:spacing w:line="360" w:lineRule="auto"/>
      <w:ind w:firstLine="480" w:firstLineChars="200"/>
    </w:pPr>
    <w:rPr>
      <w:rFonts w:ascii="Times New Roman" w:hAnsi="Times New Roman" w:eastAsia="宋体" w:cs="Times New Roman"/>
      <w:lang w:val="zh-CN"/>
    </w:rPr>
  </w:style>
  <w:style w:type="character" w:customStyle="1" w:styleId="57">
    <w:name w:val="纯文本 字符"/>
    <w:link w:val="17"/>
    <w:autoRedefine/>
    <w:qFormat/>
    <w:uiPriority w:val="0"/>
    <w:rPr>
      <w:rFonts w:ascii="宋体" w:hAnsi="Courier New" w:eastAsia="宋体" w:cs="Courier New"/>
      <w:kern w:val="2"/>
      <w:sz w:val="21"/>
      <w:szCs w:val="21"/>
      <w:lang w:val="en-US" w:eastAsia="zh-CN" w:bidi="ar-SA"/>
    </w:rPr>
  </w:style>
  <w:style w:type="character" w:customStyle="1" w:styleId="58">
    <w:name w:val="脚注文本 字符"/>
    <w:link w:val="25"/>
    <w:autoRedefine/>
    <w:qFormat/>
    <w:uiPriority w:val="0"/>
    <w:rPr>
      <w:rFonts w:ascii="Times New Roman" w:hAnsi="Times New Roman" w:eastAsia="宋体" w:cs="Times New Roman"/>
      <w:kern w:val="2"/>
      <w:sz w:val="18"/>
      <w:szCs w:val="18"/>
    </w:rPr>
  </w:style>
  <w:style w:type="character" w:customStyle="1" w:styleId="59">
    <w:name w:val="标题 字符"/>
    <w:link w:val="33"/>
    <w:autoRedefine/>
    <w:qFormat/>
    <w:uiPriority w:val="0"/>
    <w:rPr>
      <w:rFonts w:ascii="等线 Light" w:hAnsi="等线 Light" w:eastAsia="宋体" w:cs="Times New Roman"/>
      <w:b/>
      <w:bCs/>
      <w:kern w:val="2"/>
      <w:sz w:val="32"/>
      <w:szCs w:val="32"/>
    </w:rPr>
  </w:style>
  <w:style w:type="paragraph" w:customStyle="1" w:styleId="60">
    <w:name w:val="_Style 2"/>
    <w:basedOn w:val="1"/>
    <w:autoRedefine/>
    <w:qFormat/>
    <w:uiPriority w:val="0"/>
    <w:pPr>
      <w:ind w:firstLine="200" w:firstLineChars="200"/>
    </w:pPr>
    <w:rPr>
      <w:rFonts w:ascii="Calibri" w:hAnsi="Calibri"/>
      <w:sz w:val="28"/>
      <w:szCs w:val="22"/>
    </w:rPr>
  </w:style>
  <w:style w:type="character" w:customStyle="1" w:styleId="61">
    <w:name w:val="font11"/>
    <w:basedOn w:val="40"/>
    <w:autoRedefine/>
    <w:qFormat/>
    <w:uiPriority w:val="0"/>
    <w:rPr>
      <w:rFonts w:hint="eastAsia" w:ascii="宋体" w:hAnsi="宋体" w:eastAsia="宋体" w:cs="Times New Roman"/>
      <w:color w:val="FF0000"/>
      <w:sz w:val="28"/>
      <w:szCs w:val="28"/>
      <w:u w:val="none"/>
    </w:rPr>
  </w:style>
  <w:style w:type="character" w:customStyle="1" w:styleId="62">
    <w:name w:val="font31"/>
    <w:basedOn w:val="40"/>
    <w:autoRedefine/>
    <w:qFormat/>
    <w:uiPriority w:val="0"/>
    <w:rPr>
      <w:rFonts w:hint="eastAsia" w:ascii="宋体" w:hAnsi="宋体" w:eastAsia="宋体" w:cs="宋体"/>
      <w:color w:val="000000"/>
      <w:sz w:val="22"/>
      <w:szCs w:val="22"/>
      <w:u w:val="none"/>
    </w:rPr>
  </w:style>
  <w:style w:type="character" w:customStyle="1" w:styleId="63">
    <w:name w:val="font21"/>
    <w:autoRedefine/>
    <w:qFormat/>
    <w:uiPriority w:val="0"/>
    <w:rPr>
      <w:rFonts w:hint="eastAsia" w:ascii="宋体" w:hAnsi="宋体" w:eastAsia="宋体" w:cs="宋体"/>
      <w:color w:val="000000"/>
      <w:sz w:val="21"/>
      <w:szCs w:val="21"/>
      <w:u w:val="none"/>
    </w:rPr>
  </w:style>
  <w:style w:type="character" w:customStyle="1" w:styleId="64">
    <w:name w:val="font01"/>
    <w:autoRedefine/>
    <w:qFormat/>
    <w:uiPriority w:val="0"/>
    <w:rPr>
      <w:rFonts w:ascii="Verdana" w:hAnsi="Verdana" w:eastAsia="宋体" w:cs="Verdana"/>
      <w:color w:val="000000"/>
      <w:sz w:val="20"/>
      <w:szCs w:val="20"/>
      <w:u w:val="none"/>
    </w:rPr>
  </w:style>
  <w:style w:type="paragraph" w:customStyle="1" w:styleId="65">
    <w:name w:val="**正文"/>
    <w:basedOn w:val="1"/>
    <w:autoRedefine/>
    <w:qFormat/>
    <w:uiPriority w:val="0"/>
    <w:pPr>
      <w:spacing w:line="360" w:lineRule="auto"/>
      <w:jc w:val="left"/>
    </w:pPr>
    <w:rPr>
      <w:rFonts w:ascii="Times New Roman" w:hAnsi="Times New Roman" w:eastAsia="宋体" w:cs="Times New Roman"/>
      <w:sz w:val="24"/>
      <w:szCs w:val="20"/>
    </w:rPr>
  </w:style>
  <w:style w:type="paragraph" w:customStyle="1" w:styleId="66">
    <w:name w:val="表"/>
    <w:basedOn w:val="1"/>
    <w:autoRedefine/>
    <w:qFormat/>
    <w:uiPriority w:val="0"/>
    <w:pPr>
      <w:adjustRightInd w:val="0"/>
      <w:snapToGrid w:val="0"/>
      <w:spacing w:line="312" w:lineRule="auto"/>
    </w:pPr>
    <w:rPr>
      <w:rFonts w:ascii="Times New Roman" w:hAnsi="Times New Roman" w:eastAsia="宋体" w:cs="Times New Roman"/>
    </w:rPr>
  </w:style>
  <w:style w:type="character" w:customStyle="1" w:styleId="67">
    <w:name w:val="纯文本 Char1"/>
    <w:autoRedefine/>
    <w:qFormat/>
    <w:uiPriority w:val="0"/>
    <w:rPr>
      <w:rFonts w:ascii="宋体" w:hAnsi="Courier New" w:eastAsia="宋体" w:cs="Courier New"/>
      <w:kern w:val="2"/>
      <w:sz w:val="21"/>
      <w:szCs w:val="21"/>
    </w:rPr>
  </w:style>
  <w:style w:type="character" w:customStyle="1" w:styleId="68">
    <w:name w:val="普通文字 Char Char2"/>
    <w:autoRedefine/>
    <w:qFormat/>
    <w:uiPriority w:val="0"/>
    <w:rPr>
      <w:rFonts w:ascii="宋体" w:hAnsi="Courier New" w:eastAsia="宋体" w:cs="Courier New"/>
      <w:kern w:val="2"/>
      <w:sz w:val="21"/>
      <w:szCs w:val="21"/>
      <w:lang w:val="en-US" w:eastAsia="zh-CN" w:bidi="ar-SA"/>
    </w:rPr>
  </w:style>
  <w:style w:type="character" w:customStyle="1" w:styleId="69">
    <w:name w:val=" Char Char1"/>
    <w:autoRedefine/>
    <w:qFormat/>
    <w:uiPriority w:val="0"/>
    <w:rPr>
      <w:rFonts w:ascii="宋体" w:hAnsi="Courier New" w:eastAsia="宋体" w:cs="Courier New"/>
      <w:kern w:val="2"/>
      <w:sz w:val="21"/>
      <w:szCs w:val="21"/>
      <w:lang w:val="en-US" w:eastAsia="zh-CN" w:bidi="ar-SA"/>
    </w:rPr>
  </w:style>
  <w:style w:type="paragraph" w:customStyle="1" w:styleId="70">
    <w:name w:val="Char"/>
    <w:basedOn w:val="1"/>
    <w:autoRedefine/>
    <w:qFormat/>
    <w:uiPriority w:val="0"/>
    <w:rPr>
      <w:rFonts w:ascii="仿宋_GB2312" w:hAnsi="Times New Roman" w:eastAsia="仿宋_GB2312" w:cs="仿宋_GB2312"/>
      <w:b/>
      <w:bCs/>
      <w:sz w:val="32"/>
      <w:szCs w:val="32"/>
    </w:rPr>
  </w:style>
  <w:style w:type="paragraph" w:customStyle="1" w:styleId="71">
    <w:name w:val="标题1"/>
    <w:basedOn w:val="23"/>
    <w:autoRedefine/>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2">
    <w:name w:val="Default"/>
    <w:autoRedefine/>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3">
    <w:name w:val=" Char Char Char2 Char Char Char"/>
    <w:basedOn w:val="1"/>
    <w:autoRedefine/>
    <w:qFormat/>
    <w:uiPriority w:val="0"/>
    <w:rPr>
      <w:rFonts w:ascii="Times New Roman" w:hAnsi="Times New Roman" w:eastAsia="宋体" w:cs="Times New Roman"/>
    </w:rPr>
  </w:style>
  <w:style w:type="paragraph" w:customStyle="1" w:styleId="74">
    <w:name w:val="xl24"/>
    <w:basedOn w:val="1"/>
    <w:autoRedefine/>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5">
    <w:name w:val="正"/>
    <w:basedOn w:val="1"/>
    <w:autoRedefine/>
    <w:qFormat/>
    <w:uiPriority w:val="0"/>
    <w:pPr>
      <w:ind w:firstLine="525"/>
    </w:pPr>
    <w:rPr>
      <w:rFonts w:ascii="Times New Roman" w:hAnsi="Times New Roman" w:eastAsia="宋体" w:cs="Times New Roman"/>
      <w:spacing w:val="20"/>
    </w:rPr>
  </w:style>
  <w:style w:type="paragraph" w:customStyle="1" w:styleId="76">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7">
    <w:name w:val="ÕÂ¡À¨ºÌâ"/>
    <w:basedOn w:val="76"/>
    <w:next w:val="1"/>
    <w:autoRedefine/>
    <w:qFormat/>
    <w:uiPriority w:val="0"/>
    <w:pPr>
      <w:spacing w:before="158" w:after="153" w:line="323" w:lineRule="atLeast"/>
      <w:ind w:firstLine="0"/>
      <w:jc w:val="center"/>
    </w:pPr>
    <w:rPr>
      <w:rFonts w:ascii="Arial" w:hAnsi="Arial" w:eastAsia="宋体" w:cs="Times New Roman"/>
      <w:sz w:val="31"/>
      <w:szCs w:val="22"/>
    </w:rPr>
  </w:style>
  <w:style w:type="paragraph" w:customStyle="1" w:styleId="78">
    <w:name w:val="+正文"/>
    <w:basedOn w:val="1"/>
    <w:autoRedefine/>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9">
    <w:name w:val="表格"/>
    <w:basedOn w:val="1"/>
    <w:next w:val="12"/>
    <w:autoRedefine/>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0">
    <w:name w:val="Plain Text"/>
    <w:basedOn w:val="1"/>
    <w:autoRedefine/>
    <w:qFormat/>
    <w:uiPriority w:val="0"/>
    <w:pPr>
      <w:widowControl/>
      <w:overflowPunct w:val="0"/>
      <w:autoSpaceDE w:val="0"/>
      <w:autoSpaceDN w:val="0"/>
      <w:jc w:val="left"/>
    </w:pPr>
    <w:rPr>
      <w:rFonts w:ascii="宋体" w:hAnsi="Courier New" w:eastAsia="宋体" w:cs="Times New Roman"/>
      <w:kern w:val="0"/>
    </w:rPr>
  </w:style>
  <w:style w:type="paragraph" w:customStyle="1" w:styleId="81">
    <w:name w:val="样式"/>
    <w:basedOn w:val="1"/>
    <w:autoRedefine/>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2">
    <w:name w:val=" Char3"/>
    <w:basedOn w:val="1"/>
    <w:autoRedefine/>
    <w:qFormat/>
    <w:uiPriority w:val="0"/>
    <w:pPr>
      <w:tabs>
        <w:tab w:val="left" w:pos="360"/>
      </w:tabs>
    </w:pPr>
    <w:rPr>
      <w:rFonts w:ascii="Times New Roman" w:hAnsi="Times New Roman" w:eastAsia="宋体" w:cs="Times New Roman"/>
      <w:sz w:val="24"/>
    </w:rPr>
  </w:style>
  <w:style w:type="paragraph" w:styleId="83">
    <w:name w:val="List Paragraph"/>
    <w:basedOn w:val="1"/>
    <w:autoRedefine/>
    <w:qFormat/>
    <w:uiPriority w:val="0"/>
    <w:pPr>
      <w:ind w:firstLine="420" w:firstLineChars="200"/>
    </w:pPr>
    <w:rPr>
      <w:rFonts w:ascii="Times New Roman" w:hAnsi="Times New Roman" w:eastAsia="宋体" w:cs="Times New Roman"/>
    </w:rPr>
  </w:style>
  <w:style w:type="paragraph" w:customStyle="1" w:styleId="84">
    <w:name w:val=" Char"/>
    <w:basedOn w:val="1"/>
    <w:autoRedefine/>
    <w:qFormat/>
    <w:uiPriority w:val="0"/>
    <w:rPr>
      <w:rFonts w:ascii="Times New Roman" w:hAnsi="Times New Roman" w:eastAsia="宋体" w:cs="Times New Roman"/>
      <w:szCs w:val="20"/>
    </w:rPr>
  </w:style>
  <w:style w:type="paragraph" w:customStyle="1" w:styleId="85">
    <w:name w:val="标题 7 New"/>
    <w:basedOn w:val="1"/>
    <w:next w:val="1"/>
    <w:autoRedefine/>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6">
    <w:name w:val=" Char Char Char"/>
    <w:basedOn w:val="1"/>
    <w:autoRedefine/>
    <w:qFormat/>
    <w:uiPriority w:val="0"/>
    <w:rPr>
      <w:rFonts w:ascii="Tahoma" w:hAnsi="Tahoma" w:eastAsia="宋体" w:cs="Times New Roman"/>
      <w:sz w:val="24"/>
      <w:szCs w:val="20"/>
    </w:rPr>
  </w:style>
  <w:style w:type="paragraph" w:customStyle="1" w:styleId="87">
    <w:name w:val=" Char Char Char1 Char Char Char Char Char Char Char Char Char Char Char Char Char"/>
    <w:basedOn w:val="1"/>
    <w:autoRedefine/>
    <w:qFormat/>
    <w:uiPriority w:val="0"/>
    <w:rPr>
      <w:rFonts w:ascii="Times New Roman" w:hAnsi="Times New Roman" w:eastAsia="宋体" w:cs="Times New Roman"/>
    </w:rPr>
  </w:style>
  <w:style w:type="paragraph" w:customStyle="1" w:styleId="88">
    <w:name w:val="列出段落1"/>
    <w:basedOn w:val="1"/>
    <w:autoRedefine/>
    <w:qFormat/>
    <w:uiPriority w:val="0"/>
    <w:pPr>
      <w:ind w:firstLine="420" w:firstLineChars="200"/>
    </w:pPr>
    <w:rPr>
      <w:rFonts w:ascii="Times New Roman" w:hAnsi="Times New Roman" w:eastAsia="宋体" w:cs="Times New Roman"/>
      <w:szCs w:val="22"/>
    </w:rPr>
  </w:style>
  <w:style w:type="paragraph" w:customStyle="1" w:styleId="89">
    <w:name w:val="null3"/>
    <w:autoRedefine/>
    <w:qFormat/>
    <w:uiPriority w:val="0"/>
    <w:rPr>
      <w:rFonts w:hint="eastAsia" w:ascii="Calibri" w:hAnsi="Calibri" w:eastAsia="宋体" w:cs="Times New Roman"/>
      <w:lang w:val="en-US" w:eastAsia="zh-Hans" w:bidi="ar-SA"/>
    </w:rPr>
  </w:style>
  <w:style w:type="paragraph" w:customStyle="1" w:styleId="9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91">
    <w:name w:val="Table Text"/>
    <w:basedOn w:val="1"/>
    <w:autoRedefine/>
    <w:semiHidden/>
    <w:qFormat/>
    <w:uiPriority w:val="0"/>
    <w:rPr>
      <w:rFonts w:ascii="宋体" w:hAnsi="宋体" w:eastAsia="宋体" w:cs="宋体"/>
      <w:sz w:val="19"/>
      <w:szCs w:val="19"/>
      <w:lang w:val="en-US" w:eastAsia="en-US" w:bidi="ar-SA"/>
    </w:rPr>
  </w:style>
  <w:style w:type="table" w:customStyle="1" w:styleId="92">
    <w:name w:val="Table Normal"/>
    <w:autoRedefine/>
    <w:unhideWhenUsed/>
    <w:qFormat/>
    <w:uiPriority w:val="0"/>
    <w:tblPr>
      <w:tblCellMar>
        <w:top w:w="0" w:type="dxa"/>
        <w:left w:w="0" w:type="dxa"/>
        <w:bottom w:w="0" w:type="dxa"/>
        <w:right w:w="0" w:type="dxa"/>
      </w:tblCellMar>
    </w:tblPr>
  </w:style>
  <w:style w:type="character" w:customStyle="1" w:styleId="93">
    <w:name w:val="font91"/>
    <w:basedOn w:val="40"/>
    <w:autoRedefine/>
    <w:qFormat/>
    <w:uiPriority w:val="0"/>
    <w:rPr>
      <w:rFonts w:hint="default" w:ascii="Times New Roman" w:hAnsi="Times New Roman" w:cs="Times New Roman"/>
      <w:color w:val="000000"/>
      <w:sz w:val="24"/>
      <w:szCs w:val="24"/>
      <w:u w:val="none"/>
    </w:rPr>
  </w:style>
  <w:style w:type="character" w:customStyle="1" w:styleId="94">
    <w:name w:val="font101"/>
    <w:basedOn w:val="40"/>
    <w:autoRedefine/>
    <w:qFormat/>
    <w:uiPriority w:val="0"/>
    <w:rPr>
      <w:rFonts w:hint="eastAsia" w:ascii="宋体" w:hAnsi="宋体" w:eastAsia="宋体" w:cs="宋体"/>
      <w:b/>
      <w:bCs/>
      <w:color w:val="FF0000"/>
      <w:sz w:val="24"/>
      <w:szCs w:val="24"/>
      <w:u w:val="none"/>
    </w:rPr>
  </w:style>
  <w:style w:type="character" w:customStyle="1" w:styleId="95">
    <w:name w:val="font41"/>
    <w:basedOn w:val="40"/>
    <w:autoRedefine/>
    <w:qFormat/>
    <w:uiPriority w:val="0"/>
    <w:rPr>
      <w:rFonts w:hint="eastAsia" w:ascii="宋体" w:hAnsi="宋体" w:eastAsia="宋体" w:cs="宋体"/>
      <w:color w:val="000000"/>
      <w:sz w:val="24"/>
      <w:szCs w:val="24"/>
      <w:u w:val="none"/>
    </w:rPr>
  </w:style>
  <w:style w:type="character" w:customStyle="1" w:styleId="96">
    <w:name w:val="font71"/>
    <w:basedOn w:val="40"/>
    <w:autoRedefine/>
    <w:qFormat/>
    <w:uiPriority w:val="0"/>
    <w:rPr>
      <w:rFonts w:ascii="Segoe UI" w:hAnsi="Segoe UI" w:eastAsia="Segoe UI" w:cs="Segoe UI"/>
      <w:color w:val="000000"/>
      <w:sz w:val="24"/>
      <w:szCs w:val="24"/>
      <w:u w:val="none"/>
    </w:rPr>
  </w:style>
  <w:style w:type="character" w:customStyle="1" w:styleId="97">
    <w:name w:val="font61"/>
    <w:basedOn w:val="40"/>
    <w:autoRedefine/>
    <w:qFormat/>
    <w:uiPriority w:val="0"/>
    <w:rPr>
      <w:rFonts w:hint="eastAsia" w:ascii="宋体" w:hAnsi="宋体" w:eastAsia="宋体" w:cs="宋体"/>
      <w:color w:val="000000"/>
      <w:sz w:val="24"/>
      <w:szCs w:val="24"/>
      <w:u w:val="none"/>
    </w:rPr>
  </w:style>
  <w:style w:type="character" w:customStyle="1" w:styleId="98">
    <w:name w:val="font81"/>
    <w:basedOn w:val="40"/>
    <w:autoRedefine/>
    <w:qFormat/>
    <w:uiPriority w:val="0"/>
    <w:rPr>
      <w:rFonts w:hint="default" w:ascii="Times New Roman" w:hAnsi="Times New Roman" w:cs="Times New Roman"/>
      <w:color w:val="000000"/>
      <w:sz w:val="24"/>
      <w:szCs w:val="24"/>
      <w:u w:val="none"/>
    </w:rPr>
  </w:style>
  <w:style w:type="character" w:customStyle="1" w:styleId="99">
    <w:name w:val="font51"/>
    <w:basedOn w:val="40"/>
    <w:autoRedefine/>
    <w:qFormat/>
    <w:uiPriority w:val="0"/>
    <w:rPr>
      <w:rFonts w:hint="eastAsia" w:ascii="宋体" w:hAnsi="宋体" w:eastAsia="宋体" w:cs="宋体"/>
      <w:color w:val="000000"/>
      <w:sz w:val="24"/>
      <w:szCs w:val="24"/>
      <w:u w:val="none"/>
    </w:rPr>
  </w:style>
  <w:style w:type="character" w:customStyle="1" w:styleId="100">
    <w:name w:val="font112"/>
    <w:basedOn w:val="40"/>
    <w:autoRedefine/>
    <w:qFormat/>
    <w:uiPriority w:val="0"/>
    <w:rPr>
      <w:rFonts w:hint="default" w:ascii="Times New Roman" w:hAnsi="Times New Roman" w:cs="Times New Roman"/>
      <w:color w:val="000000"/>
      <w:sz w:val="24"/>
      <w:szCs w:val="24"/>
      <w:u w:val="none"/>
    </w:rPr>
  </w:style>
  <w:style w:type="character" w:customStyle="1" w:styleId="101">
    <w:name w:val="font121"/>
    <w:basedOn w:val="40"/>
    <w:autoRedefine/>
    <w:qFormat/>
    <w:uiPriority w:val="0"/>
    <w:rPr>
      <w:rFonts w:hint="eastAsia" w:ascii="宋体" w:hAnsi="宋体" w:eastAsia="宋体" w:cs="宋体"/>
      <w:b/>
      <w:bCs/>
      <w:color w:val="FF0000"/>
      <w:sz w:val="24"/>
      <w:szCs w:val="24"/>
      <w:u w:val="none"/>
    </w:rPr>
  </w:style>
  <w:style w:type="character" w:customStyle="1" w:styleId="102">
    <w:name w:val="font111"/>
    <w:basedOn w:val="40"/>
    <w:autoRedefine/>
    <w:qFormat/>
    <w:uiPriority w:val="0"/>
    <w:rPr>
      <w:rFonts w:hint="eastAsia" w:ascii="宋体" w:hAnsi="宋体" w:eastAsia="宋体" w:cs="宋体"/>
      <w:b/>
      <w:bCs/>
      <w:color w:val="FF0000"/>
      <w:sz w:val="24"/>
      <w:szCs w:val="24"/>
      <w:u w:val="none"/>
    </w:rPr>
  </w:style>
  <w:style w:type="character" w:customStyle="1" w:styleId="103">
    <w:name w:val="font122"/>
    <w:basedOn w:val="40"/>
    <w:autoRedefine/>
    <w:qFormat/>
    <w:uiPriority w:val="0"/>
    <w:rPr>
      <w:rFonts w:hint="eastAsia" w:ascii="宋体" w:hAnsi="宋体" w:eastAsia="宋体" w:cs="宋体"/>
      <w:color w:val="FF0000"/>
      <w:sz w:val="24"/>
      <w:szCs w:val="24"/>
      <w:u w:val="none"/>
    </w:rPr>
  </w:style>
  <w:style w:type="paragraph" w:customStyle="1" w:styleId="104">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5">
    <w:name w:val="status"/>
    <w:basedOn w:val="40"/>
    <w:qFormat/>
    <w:uiPriority w:val="0"/>
    <w:rPr>
      <w:color w:val="0776DD"/>
    </w:rPr>
  </w:style>
  <w:style w:type="character" w:customStyle="1" w:styleId="106">
    <w:name w:val="time"/>
    <w:basedOn w:val="40"/>
    <w:qFormat/>
    <w:uiPriority w:val="0"/>
  </w:style>
  <w:style w:type="character" w:customStyle="1" w:styleId="107">
    <w:name w:val="mini-outputtext1"/>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8138</Words>
  <Characters>9164</Characters>
  <Lines>224</Lines>
  <Paragraphs>63</Paragraphs>
  <TotalTime>1</TotalTime>
  <ScaleCrop>false</ScaleCrop>
  <LinksUpToDate>false</LinksUpToDate>
  <CharactersWithSpaces>9308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2024-03-15T08:41:00Z</dcterms:created>
  <dc:creator>Administrator</dc:creator>
  <cp:lastModifiedBy>Lenovo</cp:lastModifiedBy>
  <cp:lastPrinted>2025-11-10T00:54:00Z</cp:lastPrinted>
  <dcterms:modified xsi:type="dcterms:W3CDTF">2025-12-24T07:38:44Z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750479C29A8347B59A3DD3FBEF12257C_13</vt:lpwstr>
  </property>
  <property fmtid="{D5CDD505-2E9C-101B-9397-08002B2CF9AE}" pid="4" name="KSOTemplateDocerSaveRecord">
    <vt:lpwstr>eyJoZGlkIjoiZTYwMjY1M2Y4ZmI1OWMxYTZkNWI3OWNhZWY5OWU4ZTUiLCJ1c2VySWQiOiIxNTYwNTUyOTkyIn0=</vt:lpwstr>
  </property>
</Properties>
</file>