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4609D">
      <w:pPr>
        <w:spacing w:line="360" w:lineRule="auto"/>
        <w:jc w:val="center"/>
        <w:rPr>
          <w:rFonts w:hint="eastAsia" w:ascii="宋体" w:hAnsi="宋体" w:cs="宋体"/>
          <w:b/>
          <w:color w:val="auto"/>
          <w:sz w:val="56"/>
          <w:szCs w:val="56"/>
          <w:highlight w:val="none"/>
        </w:rPr>
      </w:pPr>
      <w:r>
        <w:rPr>
          <w:rFonts w:hint="eastAsia" w:ascii="宋体" w:hAnsi="宋体"/>
          <w:b/>
          <w:bCs/>
          <w:color w:val="auto"/>
          <w:sz w:val="48"/>
          <w:szCs w:val="48"/>
          <w:highlight w:val="none"/>
          <w:lang w:val="en-US" w:eastAsia="zh-CN"/>
        </w:rPr>
        <w:t>浙江义环城市服务</w:t>
      </w:r>
      <w:r>
        <w:rPr>
          <w:rFonts w:hint="eastAsia" w:ascii="宋体" w:hAnsi="宋体"/>
          <w:b/>
          <w:bCs/>
          <w:color w:val="auto"/>
          <w:sz w:val="48"/>
          <w:szCs w:val="48"/>
          <w:highlight w:val="none"/>
        </w:rPr>
        <w:t>有限公司</w:t>
      </w:r>
      <w:r>
        <w:rPr>
          <w:rFonts w:hint="eastAsia" w:ascii="宋体" w:hAnsi="宋体"/>
          <w:b/>
          <w:bCs/>
          <w:color w:val="auto"/>
          <w:sz w:val="48"/>
          <w:szCs w:val="48"/>
          <w:highlight w:val="none"/>
          <w:lang w:val="en-US" w:eastAsia="zh-CN"/>
        </w:rPr>
        <w:t>词林</w:t>
      </w:r>
      <w:r>
        <w:rPr>
          <w:rFonts w:hint="eastAsia" w:ascii="宋体" w:hAnsi="宋体"/>
          <w:b/>
          <w:bCs/>
          <w:color w:val="auto"/>
          <w:sz w:val="48"/>
          <w:szCs w:val="48"/>
          <w:highlight w:val="none"/>
          <w:lang w:eastAsia="zh-CN"/>
        </w:rPr>
        <w:t>社区</w:t>
      </w:r>
      <w:r>
        <w:rPr>
          <w:rFonts w:hint="eastAsia" w:ascii="宋体" w:hAnsi="宋体"/>
          <w:b/>
          <w:bCs/>
          <w:color w:val="auto"/>
          <w:sz w:val="48"/>
          <w:szCs w:val="48"/>
          <w:highlight w:val="none"/>
        </w:rPr>
        <w:t>清扫保洁市场化</w:t>
      </w:r>
      <w:r>
        <w:rPr>
          <w:rFonts w:hint="eastAsia" w:ascii="宋体" w:hAnsi="宋体"/>
          <w:b/>
          <w:bCs/>
          <w:color w:val="auto"/>
          <w:sz w:val="48"/>
          <w:szCs w:val="48"/>
          <w:highlight w:val="none"/>
          <w:lang w:val="en-US" w:eastAsia="zh-CN"/>
        </w:rPr>
        <w:t>采购项目</w:t>
      </w:r>
    </w:p>
    <w:p w14:paraId="3219E966">
      <w:pPr>
        <w:spacing w:line="360" w:lineRule="auto"/>
        <w:ind w:firstLine="964" w:firstLineChars="200"/>
        <w:jc w:val="center"/>
        <w:rPr>
          <w:rFonts w:hint="eastAsia" w:ascii="宋体" w:hAnsi="宋体" w:cs="宋体"/>
          <w:b/>
          <w:color w:val="auto"/>
          <w:sz w:val="48"/>
          <w:szCs w:val="48"/>
          <w:highlight w:val="none"/>
        </w:rPr>
      </w:pPr>
    </w:p>
    <w:p w14:paraId="774BC0AD">
      <w:pPr>
        <w:spacing w:line="360" w:lineRule="auto"/>
        <w:rPr>
          <w:rFonts w:hint="eastAsia" w:ascii="隶书" w:hAnsi="Arial Narrow" w:eastAsia="隶书"/>
          <w:b/>
          <w:color w:val="auto"/>
          <w:sz w:val="30"/>
          <w:szCs w:val="30"/>
          <w:highlight w:val="none"/>
        </w:rPr>
      </w:pPr>
    </w:p>
    <w:p w14:paraId="3091878E">
      <w:pPr>
        <w:spacing w:line="360" w:lineRule="auto"/>
        <w:rPr>
          <w:rFonts w:hint="eastAsia" w:ascii="隶书" w:hAnsi="Arial Narrow" w:eastAsia="隶书"/>
          <w:b/>
          <w:color w:val="auto"/>
          <w:sz w:val="30"/>
          <w:szCs w:val="30"/>
          <w:highlight w:val="none"/>
        </w:rPr>
      </w:pPr>
    </w:p>
    <w:p w14:paraId="5C00FE5F">
      <w:pPr>
        <w:spacing w:line="360" w:lineRule="auto"/>
        <w:rPr>
          <w:rFonts w:hint="eastAsia" w:ascii="宋体" w:hAnsi="宋体"/>
          <w:color w:val="auto"/>
          <w:sz w:val="84"/>
          <w:szCs w:val="84"/>
          <w:highlight w:val="none"/>
        </w:rPr>
      </w:pPr>
      <w:r>
        <w:rPr>
          <w:rFonts w:hint="eastAsia" w:ascii="宋体" w:hAnsi="宋体"/>
          <w:color w:val="auto"/>
          <w:sz w:val="84"/>
          <w:szCs w:val="84"/>
          <w:highlight w:val="none"/>
        </w:rPr>
        <w:t xml:space="preserve">      招标文件</w:t>
      </w:r>
    </w:p>
    <w:p w14:paraId="4378A37E">
      <w:pPr>
        <w:spacing w:line="360" w:lineRule="auto"/>
        <w:ind w:firstLine="600" w:firstLineChars="200"/>
        <w:jc w:val="center"/>
        <w:rPr>
          <w:rFonts w:ascii="隶书" w:hAnsi="Arial Narrow" w:eastAsia="隶书"/>
          <w:color w:val="auto"/>
          <w:sz w:val="30"/>
          <w:szCs w:val="30"/>
          <w:highlight w:val="none"/>
        </w:rPr>
      </w:pPr>
    </w:p>
    <w:p w14:paraId="7BAC59E5">
      <w:pPr>
        <w:spacing w:line="360" w:lineRule="auto"/>
        <w:ind w:firstLine="600" w:firstLineChars="200"/>
        <w:jc w:val="center"/>
        <w:rPr>
          <w:rFonts w:ascii="隶书" w:hAnsi="Arial Narrow" w:eastAsia="隶书"/>
          <w:color w:val="auto"/>
          <w:sz w:val="30"/>
          <w:szCs w:val="30"/>
          <w:highlight w:val="none"/>
        </w:rPr>
      </w:pPr>
    </w:p>
    <w:p w14:paraId="212863AF">
      <w:pPr>
        <w:pStyle w:val="18"/>
        <w:snapToGrid w:val="0"/>
        <w:spacing w:before="120" w:after="120" w:line="360" w:lineRule="auto"/>
        <w:rPr>
          <w:rFonts w:hint="default" w:eastAsia="宋体"/>
          <w:b/>
          <w:color w:val="auto"/>
          <w:sz w:val="32"/>
          <w:szCs w:val="32"/>
          <w:highlight w:val="none"/>
          <w:lang w:val="en-US" w:eastAsia="zh-CN"/>
        </w:rPr>
      </w:pPr>
      <w:r>
        <w:rPr>
          <w:rFonts w:hint="eastAsia"/>
          <w:b/>
          <w:color w:val="auto"/>
          <w:sz w:val="32"/>
          <w:szCs w:val="32"/>
          <w:highlight w:val="none"/>
        </w:rPr>
        <w:t xml:space="preserve">              采购编号：YCQ-202</w:t>
      </w:r>
      <w:r>
        <w:rPr>
          <w:rFonts w:hint="eastAsia"/>
          <w:b/>
          <w:color w:val="auto"/>
          <w:sz w:val="32"/>
          <w:szCs w:val="32"/>
          <w:highlight w:val="none"/>
          <w:lang w:val="en-US" w:eastAsia="zh-CN"/>
        </w:rPr>
        <w:t>5</w:t>
      </w:r>
      <w:r>
        <w:rPr>
          <w:rFonts w:hint="eastAsia"/>
          <w:b/>
          <w:color w:val="auto"/>
          <w:sz w:val="32"/>
          <w:szCs w:val="32"/>
          <w:highlight w:val="none"/>
        </w:rPr>
        <w:t>-CG</w:t>
      </w:r>
      <w:r>
        <w:rPr>
          <w:rFonts w:hint="eastAsia"/>
          <w:b/>
          <w:color w:val="auto"/>
          <w:sz w:val="32"/>
          <w:szCs w:val="32"/>
          <w:highlight w:val="none"/>
          <w:lang w:val="en-US" w:eastAsia="zh-CN"/>
        </w:rPr>
        <w:t>317</w:t>
      </w:r>
    </w:p>
    <w:p w14:paraId="7C54C956">
      <w:pPr>
        <w:pStyle w:val="18"/>
        <w:snapToGrid w:val="0"/>
        <w:spacing w:before="120" w:after="120" w:line="360" w:lineRule="auto"/>
        <w:ind w:firstLine="2715" w:firstLineChars="845"/>
        <w:rPr>
          <w:rFonts w:hint="eastAsia" w:ascii="隶书" w:hAnsi="Arial Narrow" w:eastAsia="楷体_GB2312"/>
          <w:b/>
          <w:color w:val="auto"/>
          <w:sz w:val="32"/>
          <w:szCs w:val="32"/>
          <w:highlight w:val="none"/>
        </w:rPr>
      </w:pPr>
    </w:p>
    <w:p w14:paraId="6EC9E145">
      <w:pPr>
        <w:pStyle w:val="18"/>
        <w:snapToGrid w:val="0"/>
        <w:spacing w:before="120" w:after="120" w:line="360" w:lineRule="auto"/>
        <w:rPr>
          <w:rFonts w:ascii="隶书" w:hAnsi="Arial Narrow" w:eastAsia="楷体_GB2312"/>
          <w:color w:val="auto"/>
          <w:sz w:val="30"/>
          <w:szCs w:val="72"/>
          <w:highlight w:val="none"/>
        </w:rPr>
      </w:pPr>
    </w:p>
    <w:p w14:paraId="1BF82E88">
      <w:pPr>
        <w:pStyle w:val="18"/>
        <w:snapToGrid w:val="0"/>
        <w:spacing w:before="120" w:after="120" w:line="360" w:lineRule="auto"/>
        <w:rPr>
          <w:rFonts w:hint="eastAsia" w:hAnsi="宋体"/>
          <w:b/>
          <w:bCs/>
          <w:color w:val="auto"/>
          <w:w w:val="95"/>
          <w:sz w:val="30"/>
          <w:szCs w:val="30"/>
          <w:highlight w:val="none"/>
        </w:rPr>
      </w:pPr>
    </w:p>
    <w:p w14:paraId="46E7035E">
      <w:pPr>
        <w:spacing w:line="420" w:lineRule="exact"/>
        <w:jc w:val="both"/>
        <w:rPr>
          <w:rFonts w:hint="eastAsia" w:hAnsi="宋体"/>
          <w:b/>
          <w:color w:val="auto"/>
          <w:sz w:val="32"/>
          <w:szCs w:val="32"/>
          <w:highlight w:val="none"/>
          <w:u w:val="singl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int="eastAsia" w:hAnsi="宋体"/>
          <w:b/>
          <w:bCs/>
          <w:color w:val="auto"/>
          <w:w w:val="95"/>
          <w:sz w:val="32"/>
          <w:szCs w:val="32"/>
          <w:highlight w:val="none"/>
          <w:u w:val="single"/>
          <w:lang w:val="en-US" w:eastAsia="zh-CN"/>
        </w:rPr>
        <w:t>浙江义环城市服务</w:t>
      </w:r>
      <w:r>
        <w:rPr>
          <w:rFonts w:hint="eastAsia" w:hAnsi="宋体"/>
          <w:b/>
          <w:bCs/>
          <w:color w:val="auto"/>
          <w:w w:val="95"/>
          <w:sz w:val="32"/>
          <w:szCs w:val="32"/>
          <w:highlight w:val="none"/>
          <w:u w:val="single"/>
        </w:rPr>
        <w:t>有限公司</w:t>
      </w:r>
      <w:r>
        <w:rPr>
          <w:rFonts w:hAnsi="宋体"/>
          <w:b/>
          <w:color w:val="auto"/>
          <w:sz w:val="32"/>
          <w:szCs w:val="32"/>
          <w:highlight w:val="none"/>
          <w:u w:val="single"/>
        </w:rPr>
        <w:t>（盖章）</w:t>
      </w:r>
    </w:p>
    <w:p w14:paraId="43B594EA">
      <w:pPr>
        <w:pStyle w:val="18"/>
        <w:snapToGrid w:val="0"/>
        <w:spacing w:before="120" w:after="120" w:line="360" w:lineRule="auto"/>
        <w:jc w:val="left"/>
        <w:rPr>
          <w:rFonts w:hint="eastAsia"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rPr>
        <w:t>义乌产权交易所有限公司（盖章）</w:t>
      </w:r>
    </w:p>
    <w:p w14:paraId="51370E84">
      <w:pPr>
        <w:pStyle w:val="18"/>
        <w:keepNext w:val="0"/>
        <w:keepLines w:val="0"/>
        <w:pageBreakBefore w:val="0"/>
        <w:widowControl w:val="0"/>
        <w:kinsoku/>
        <w:wordWrap/>
        <w:overflowPunct/>
        <w:topLinePunct w:val="0"/>
        <w:autoSpaceDE/>
        <w:autoSpaceDN/>
        <w:bidi w:val="0"/>
        <w:adjustRightInd/>
        <w:snapToGrid/>
        <w:spacing w:before="120" w:after="120" w:line="360" w:lineRule="auto"/>
        <w:ind w:firstLine="0" w:firstLineChars="0"/>
        <w:jc w:val="left"/>
        <w:textAlignment w:val="auto"/>
        <w:rPr>
          <w:b/>
          <w:color w:val="auto"/>
          <w:sz w:val="44"/>
          <w:szCs w:val="44"/>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w:t>
      </w:r>
      <w:r>
        <w:rPr>
          <w:rFonts w:hint="eastAsia" w:hAnsi="宋体"/>
          <w:b/>
          <w:color w:val="auto"/>
          <w:sz w:val="32"/>
          <w:szCs w:val="32"/>
          <w:highlight w:val="none"/>
          <w:u w:val="single"/>
          <w:lang w:val="en-US" w:eastAsia="zh-CN"/>
        </w:rPr>
        <w:t>五</w:t>
      </w:r>
      <w:r>
        <w:rPr>
          <w:rFonts w:hint="eastAsia" w:hAnsi="宋体"/>
          <w:b/>
          <w:color w:val="auto"/>
          <w:sz w:val="32"/>
          <w:szCs w:val="32"/>
          <w:highlight w:val="none"/>
          <w:u w:val="single"/>
        </w:rPr>
        <w:t>年</w:t>
      </w:r>
      <w:r>
        <w:rPr>
          <w:rFonts w:hint="eastAsia" w:hAnsi="宋体"/>
          <w:b/>
          <w:color w:val="auto"/>
          <w:sz w:val="32"/>
          <w:szCs w:val="32"/>
          <w:highlight w:val="none"/>
          <w:u w:val="single"/>
          <w:lang w:val="en-US" w:eastAsia="zh-CN"/>
        </w:rPr>
        <w:t>十二</w:t>
      </w:r>
      <w:r>
        <w:rPr>
          <w:rFonts w:hint="eastAsia" w:hAnsi="宋体"/>
          <w:b/>
          <w:color w:val="auto"/>
          <w:sz w:val="32"/>
          <w:szCs w:val="32"/>
          <w:highlight w:val="none"/>
          <w:u w:val="single"/>
        </w:rPr>
        <w:t>月</w:t>
      </w:r>
      <w:r>
        <w:rPr>
          <w:color w:val="auto"/>
          <w:highlight w:val="none"/>
        </w:rPr>
        <w:br w:type="page"/>
      </w:r>
      <w:r>
        <w:rPr>
          <w:rFonts w:hint="eastAsia"/>
          <w:b/>
          <w:color w:val="auto"/>
          <w:sz w:val="44"/>
          <w:szCs w:val="44"/>
          <w:highlight w:val="none"/>
        </w:rPr>
        <w:t>招标文件目录</w:t>
      </w:r>
    </w:p>
    <w:p w14:paraId="52DDD78C">
      <w:pPr>
        <w:pStyle w:val="18"/>
        <w:snapToGrid w:val="0"/>
        <w:spacing w:before="120" w:after="120" w:line="360" w:lineRule="auto"/>
        <w:rPr>
          <w:rFonts w:hAnsi="宋体"/>
          <w:b/>
          <w:color w:val="auto"/>
          <w:sz w:val="32"/>
          <w:szCs w:val="32"/>
          <w:highlight w:val="none"/>
          <w:u w:val="single"/>
        </w:rPr>
      </w:pPr>
    </w:p>
    <w:p w14:paraId="0D8287DE">
      <w:pPr>
        <w:pStyle w:val="24"/>
        <w:tabs>
          <w:tab w:val="right" w:leader="dot" w:pos="8306"/>
        </w:tabs>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highlight w:val="none"/>
        </w:rPr>
        <w:instrText xml:space="preserve"> HYPERLINK \l _Toc16522 </w:instrText>
      </w:r>
      <w:r>
        <w:rPr>
          <w:highlight w:val="none"/>
        </w:rPr>
        <w:fldChar w:fldCharType="separate"/>
      </w:r>
      <w:r>
        <w:rPr>
          <w:rFonts w:ascii="Times New Roman" w:hAnsi="Times New Roman" w:eastAsia="宋体" w:cs="Times New Roman"/>
          <w:bCs/>
          <w:kern w:val="44"/>
          <w:szCs w:val="44"/>
          <w:highlight w:val="none"/>
          <w:lang w:val="en-US" w:eastAsia="zh-CN" w:bidi="ar-SA"/>
        </w:rPr>
        <w:t>第一章</w:t>
      </w:r>
      <w:r>
        <w:rPr>
          <w:rFonts w:hint="eastAsia"/>
          <w:highlight w:val="none"/>
        </w:rPr>
        <w:t>　招标公告</w:t>
      </w:r>
      <w:r>
        <w:tab/>
      </w:r>
      <w:r>
        <w:fldChar w:fldCharType="begin"/>
      </w:r>
      <w:r>
        <w:instrText xml:space="preserve"> PAGEREF _Toc16522 \h </w:instrText>
      </w:r>
      <w:r>
        <w:fldChar w:fldCharType="separate"/>
      </w:r>
      <w:r>
        <w:t>3</w:t>
      </w:r>
      <w:r>
        <w:fldChar w:fldCharType="end"/>
      </w:r>
      <w:r>
        <w:rPr>
          <w:color w:val="auto"/>
          <w:highlight w:val="none"/>
        </w:rPr>
        <w:fldChar w:fldCharType="end"/>
      </w:r>
    </w:p>
    <w:p w14:paraId="32E55887">
      <w:pPr>
        <w:pStyle w:val="24"/>
        <w:tabs>
          <w:tab w:val="right" w:leader="dot" w:pos="8306"/>
        </w:tabs>
      </w:pPr>
      <w:r>
        <w:rPr>
          <w:color w:val="auto"/>
          <w:szCs w:val="30"/>
          <w:highlight w:val="none"/>
        </w:rPr>
        <w:fldChar w:fldCharType="begin"/>
      </w:r>
      <w:r>
        <w:rPr>
          <w:szCs w:val="30"/>
          <w:highlight w:val="none"/>
        </w:rPr>
        <w:instrText xml:space="preserve"> HYPERLINK \l _Toc17121 </w:instrText>
      </w:r>
      <w:r>
        <w:rPr>
          <w:szCs w:val="30"/>
          <w:highlight w:val="none"/>
        </w:rPr>
        <w:fldChar w:fldCharType="separate"/>
      </w:r>
      <w:r>
        <w:rPr>
          <w:rFonts w:hint="eastAsia" w:ascii="Times New Roman" w:hAnsi="Times New Roman" w:eastAsia="宋体" w:cs="Times New Roman"/>
          <w:bCs/>
          <w:kern w:val="44"/>
          <w:szCs w:val="44"/>
          <w:highlight w:val="none"/>
          <w:lang w:val="en-US" w:eastAsia="zh-CN" w:bidi="ar-SA"/>
        </w:rPr>
        <w:t>第二章　投标须知和投标须知前附表</w:t>
      </w:r>
      <w:r>
        <w:tab/>
      </w:r>
      <w:r>
        <w:fldChar w:fldCharType="begin"/>
      </w:r>
      <w:r>
        <w:instrText xml:space="preserve"> PAGEREF _Toc17121 \h </w:instrText>
      </w:r>
      <w:r>
        <w:fldChar w:fldCharType="separate"/>
      </w:r>
      <w:r>
        <w:t>6</w:t>
      </w:r>
      <w:r>
        <w:fldChar w:fldCharType="end"/>
      </w:r>
      <w:r>
        <w:rPr>
          <w:color w:val="auto"/>
          <w:szCs w:val="30"/>
          <w:highlight w:val="none"/>
        </w:rPr>
        <w:fldChar w:fldCharType="end"/>
      </w:r>
    </w:p>
    <w:p w14:paraId="097EE507">
      <w:pPr>
        <w:pStyle w:val="24"/>
        <w:tabs>
          <w:tab w:val="right" w:leader="dot" w:pos="8306"/>
        </w:tabs>
      </w:pPr>
      <w:r>
        <w:rPr>
          <w:color w:val="auto"/>
          <w:szCs w:val="30"/>
          <w:highlight w:val="none"/>
        </w:rPr>
        <w:fldChar w:fldCharType="begin"/>
      </w:r>
      <w:r>
        <w:rPr>
          <w:szCs w:val="30"/>
          <w:highlight w:val="none"/>
        </w:rPr>
        <w:instrText xml:space="preserve"> HYPERLINK \l _Toc11179 </w:instrText>
      </w:r>
      <w:r>
        <w:rPr>
          <w:szCs w:val="30"/>
          <w:highlight w:val="none"/>
        </w:rPr>
        <w:fldChar w:fldCharType="separate"/>
      </w:r>
      <w:r>
        <w:rPr>
          <w:rFonts w:hint="eastAsia"/>
          <w:szCs w:val="32"/>
          <w:highlight w:val="none"/>
        </w:rPr>
        <w:t>投标须知</w:t>
      </w:r>
      <w:r>
        <w:tab/>
      </w:r>
      <w:r>
        <w:fldChar w:fldCharType="begin"/>
      </w:r>
      <w:r>
        <w:instrText xml:space="preserve"> PAGEREF _Toc11179 \h </w:instrText>
      </w:r>
      <w:r>
        <w:fldChar w:fldCharType="separate"/>
      </w:r>
      <w:r>
        <w:t>8</w:t>
      </w:r>
      <w:r>
        <w:fldChar w:fldCharType="end"/>
      </w:r>
      <w:r>
        <w:rPr>
          <w:color w:val="auto"/>
          <w:szCs w:val="30"/>
          <w:highlight w:val="none"/>
        </w:rPr>
        <w:fldChar w:fldCharType="end"/>
      </w:r>
    </w:p>
    <w:p w14:paraId="63C86329">
      <w:pPr>
        <w:pStyle w:val="29"/>
        <w:tabs>
          <w:tab w:val="right" w:leader="dot" w:pos="8306"/>
        </w:tabs>
      </w:pPr>
      <w:r>
        <w:rPr>
          <w:color w:val="auto"/>
          <w:szCs w:val="30"/>
          <w:highlight w:val="none"/>
        </w:rPr>
        <w:fldChar w:fldCharType="begin"/>
      </w:r>
      <w:r>
        <w:rPr>
          <w:szCs w:val="30"/>
          <w:highlight w:val="none"/>
        </w:rPr>
        <w:instrText xml:space="preserve"> HYPERLINK \l _Toc274 </w:instrText>
      </w:r>
      <w:r>
        <w:rPr>
          <w:szCs w:val="30"/>
          <w:highlight w:val="none"/>
        </w:rPr>
        <w:fldChar w:fldCharType="separate"/>
      </w:r>
      <w:r>
        <w:rPr>
          <w:rFonts w:hint="eastAsia" w:ascii="宋体" w:hAnsi="宋体" w:eastAsia="宋体" w:cs="宋体"/>
          <w:szCs w:val="21"/>
          <w:highlight w:val="none"/>
        </w:rPr>
        <w:t>一、说明</w:t>
      </w:r>
      <w:r>
        <w:tab/>
      </w:r>
      <w:r>
        <w:fldChar w:fldCharType="begin"/>
      </w:r>
      <w:r>
        <w:instrText xml:space="preserve"> PAGEREF _Toc274 \h </w:instrText>
      </w:r>
      <w:r>
        <w:fldChar w:fldCharType="separate"/>
      </w:r>
      <w:r>
        <w:t>8</w:t>
      </w:r>
      <w:r>
        <w:fldChar w:fldCharType="end"/>
      </w:r>
      <w:r>
        <w:rPr>
          <w:color w:val="auto"/>
          <w:szCs w:val="30"/>
          <w:highlight w:val="none"/>
        </w:rPr>
        <w:fldChar w:fldCharType="end"/>
      </w:r>
    </w:p>
    <w:p w14:paraId="273FE536">
      <w:pPr>
        <w:pStyle w:val="29"/>
        <w:tabs>
          <w:tab w:val="right" w:leader="dot" w:pos="8306"/>
        </w:tabs>
      </w:pPr>
      <w:r>
        <w:rPr>
          <w:color w:val="auto"/>
          <w:szCs w:val="30"/>
          <w:highlight w:val="none"/>
        </w:rPr>
        <w:fldChar w:fldCharType="begin"/>
      </w:r>
      <w:r>
        <w:rPr>
          <w:szCs w:val="30"/>
          <w:highlight w:val="none"/>
        </w:rPr>
        <w:instrText xml:space="preserve"> HYPERLINK \l _Toc29690 </w:instrText>
      </w:r>
      <w:r>
        <w:rPr>
          <w:szCs w:val="30"/>
          <w:highlight w:val="none"/>
        </w:rPr>
        <w:fldChar w:fldCharType="separate"/>
      </w:r>
      <w:r>
        <w:rPr>
          <w:rFonts w:hint="eastAsia" w:ascii="宋体" w:hAnsi="宋体" w:eastAsia="宋体" w:cs="宋体"/>
          <w:szCs w:val="21"/>
          <w:highlight w:val="none"/>
        </w:rPr>
        <w:t>二、招标文件</w:t>
      </w:r>
      <w:r>
        <w:tab/>
      </w:r>
      <w:r>
        <w:fldChar w:fldCharType="begin"/>
      </w:r>
      <w:r>
        <w:instrText xml:space="preserve"> PAGEREF _Toc29690 \h </w:instrText>
      </w:r>
      <w:r>
        <w:fldChar w:fldCharType="separate"/>
      </w:r>
      <w:r>
        <w:t>9</w:t>
      </w:r>
      <w:r>
        <w:fldChar w:fldCharType="end"/>
      </w:r>
      <w:r>
        <w:rPr>
          <w:color w:val="auto"/>
          <w:szCs w:val="30"/>
          <w:highlight w:val="none"/>
        </w:rPr>
        <w:fldChar w:fldCharType="end"/>
      </w:r>
    </w:p>
    <w:p w14:paraId="3777D279">
      <w:pPr>
        <w:pStyle w:val="29"/>
        <w:tabs>
          <w:tab w:val="right" w:leader="dot" w:pos="8306"/>
        </w:tabs>
      </w:pPr>
      <w:r>
        <w:rPr>
          <w:color w:val="auto"/>
          <w:szCs w:val="30"/>
          <w:highlight w:val="none"/>
        </w:rPr>
        <w:fldChar w:fldCharType="begin"/>
      </w:r>
      <w:r>
        <w:rPr>
          <w:szCs w:val="30"/>
          <w:highlight w:val="none"/>
        </w:rPr>
        <w:instrText xml:space="preserve"> HYPERLINK \l _Toc6807 </w:instrText>
      </w:r>
      <w:r>
        <w:rPr>
          <w:szCs w:val="30"/>
          <w:highlight w:val="none"/>
        </w:rPr>
        <w:fldChar w:fldCharType="separate"/>
      </w:r>
      <w:r>
        <w:rPr>
          <w:rFonts w:hint="eastAsia" w:ascii="宋体" w:hAnsi="宋体" w:eastAsia="宋体" w:cs="宋体"/>
          <w:szCs w:val="21"/>
          <w:highlight w:val="none"/>
        </w:rPr>
        <w:t>三、投标文件</w:t>
      </w:r>
      <w:r>
        <w:tab/>
      </w:r>
      <w:r>
        <w:fldChar w:fldCharType="begin"/>
      </w:r>
      <w:r>
        <w:instrText xml:space="preserve"> PAGEREF _Toc6807 \h </w:instrText>
      </w:r>
      <w:r>
        <w:fldChar w:fldCharType="separate"/>
      </w:r>
      <w:r>
        <w:t>10</w:t>
      </w:r>
      <w:r>
        <w:fldChar w:fldCharType="end"/>
      </w:r>
      <w:r>
        <w:rPr>
          <w:color w:val="auto"/>
          <w:szCs w:val="30"/>
          <w:highlight w:val="none"/>
        </w:rPr>
        <w:fldChar w:fldCharType="end"/>
      </w:r>
    </w:p>
    <w:p w14:paraId="65532E6C">
      <w:pPr>
        <w:pStyle w:val="29"/>
        <w:tabs>
          <w:tab w:val="right" w:leader="dot" w:pos="8306"/>
        </w:tabs>
      </w:pPr>
      <w:r>
        <w:rPr>
          <w:color w:val="auto"/>
          <w:szCs w:val="30"/>
          <w:highlight w:val="none"/>
        </w:rPr>
        <w:fldChar w:fldCharType="begin"/>
      </w:r>
      <w:r>
        <w:rPr>
          <w:szCs w:val="30"/>
          <w:highlight w:val="none"/>
        </w:rPr>
        <w:instrText xml:space="preserve"> HYPERLINK \l _Toc24242 </w:instrText>
      </w:r>
      <w:r>
        <w:rPr>
          <w:szCs w:val="30"/>
          <w:highlight w:val="none"/>
        </w:rPr>
        <w:fldChar w:fldCharType="separate"/>
      </w:r>
      <w:r>
        <w:rPr>
          <w:rFonts w:hint="eastAsia" w:ascii="宋体" w:hAnsi="宋体" w:eastAsia="宋体" w:cs="宋体"/>
          <w:szCs w:val="21"/>
          <w:highlight w:val="none"/>
        </w:rPr>
        <w:t>四、投标文件的递交</w:t>
      </w:r>
      <w:r>
        <w:tab/>
      </w:r>
      <w:r>
        <w:fldChar w:fldCharType="begin"/>
      </w:r>
      <w:r>
        <w:instrText xml:space="preserve"> PAGEREF _Toc24242 \h </w:instrText>
      </w:r>
      <w:r>
        <w:fldChar w:fldCharType="separate"/>
      </w:r>
      <w:r>
        <w:t>12</w:t>
      </w:r>
      <w:r>
        <w:fldChar w:fldCharType="end"/>
      </w:r>
      <w:r>
        <w:rPr>
          <w:color w:val="auto"/>
          <w:szCs w:val="30"/>
          <w:highlight w:val="none"/>
        </w:rPr>
        <w:fldChar w:fldCharType="end"/>
      </w:r>
    </w:p>
    <w:p w14:paraId="121558A4">
      <w:pPr>
        <w:pStyle w:val="29"/>
        <w:tabs>
          <w:tab w:val="right" w:leader="dot" w:pos="8306"/>
        </w:tabs>
      </w:pPr>
      <w:r>
        <w:rPr>
          <w:color w:val="auto"/>
          <w:szCs w:val="30"/>
          <w:highlight w:val="none"/>
        </w:rPr>
        <w:fldChar w:fldCharType="begin"/>
      </w:r>
      <w:r>
        <w:rPr>
          <w:szCs w:val="30"/>
          <w:highlight w:val="none"/>
        </w:rPr>
        <w:instrText xml:space="preserve"> HYPERLINK \l _Toc2235 </w:instrText>
      </w:r>
      <w:r>
        <w:rPr>
          <w:szCs w:val="30"/>
          <w:highlight w:val="none"/>
        </w:rPr>
        <w:fldChar w:fldCharType="separate"/>
      </w:r>
      <w:r>
        <w:rPr>
          <w:rFonts w:hint="eastAsia" w:ascii="宋体" w:hAnsi="宋体" w:eastAsia="宋体" w:cs="宋体"/>
          <w:szCs w:val="21"/>
          <w:highlight w:val="none"/>
        </w:rPr>
        <w:t>五、</w:t>
      </w:r>
      <w:r>
        <w:rPr>
          <w:rFonts w:hint="eastAsia" w:ascii="宋体" w:hAnsi="宋体" w:eastAsia="宋体" w:cs="宋体"/>
          <w:szCs w:val="21"/>
          <w:highlight w:val="none"/>
          <w:lang w:val="en-US" w:eastAsia="zh-CN"/>
        </w:rPr>
        <w:t>费用缴纳</w:t>
      </w:r>
      <w:r>
        <w:tab/>
      </w:r>
      <w:r>
        <w:fldChar w:fldCharType="begin"/>
      </w:r>
      <w:r>
        <w:instrText xml:space="preserve"> PAGEREF _Toc2235 \h </w:instrText>
      </w:r>
      <w:r>
        <w:fldChar w:fldCharType="separate"/>
      </w:r>
      <w:r>
        <w:t>13</w:t>
      </w:r>
      <w:r>
        <w:fldChar w:fldCharType="end"/>
      </w:r>
      <w:r>
        <w:rPr>
          <w:color w:val="auto"/>
          <w:szCs w:val="30"/>
          <w:highlight w:val="none"/>
        </w:rPr>
        <w:fldChar w:fldCharType="end"/>
      </w:r>
    </w:p>
    <w:p w14:paraId="6C7579EF">
      <w:pPr>
        <w:pStyle w:val="29"/>
        <w:tabs>
          <w:tab w:val="right" w:leader="dot" w:pos="8306"/>
        </w:tabs>
      </w:pPr>
      <w:r>
        <w:rPr>
          <w:color w:val="auto"/>
          <w:szCs w:val="30"/>
          <w:highlight w:val="none"/>
        </w:rPr>
        <w:fldChar w:fldCharType="begin"/>
      </w:r>
      <w:r>
        <w:rPr>
          <w:szCs w:val="30"/>
          <w:highlight w:val="none"/>
        </w:rPr>
        <w:instrText xml:space="preserve"> HYPERLINK \l _Toc3329 </w:instrText>
      </w:r>
      <w:r>
        <w:rPr>
          <w:szCs w:val="30"/>
          <w:highlight w:val="none"/>
        </w:rPr>
        <w:fldChar w:fldCharType="separate"/>
      </w:r>
      <w:r>
        <w:rPr>
          <w:rFonts w:hint="eastAsia" w:ascii="宋体" w:hAnsi="宋体" w:eastAsia="宋体" w:cs="宋体"/>
          <w:szCs w:val="21"/>
          <w:highlight w:val="none"/>
        </w:rPr>
        <w:t>六、其它</w:t>
      </w:r>
      <w:r>
        <w:tab/>
      </w:r>
      <w:r>
        <w:fldChar w:fldCharType="begin"/>
      </w:r>
      <w:r>
        <w:instrText xml:space="preserve"> PAGEREF _Toc3329 \h </w:instrText>
      </w:r>
      <w:r>
        <w:fldChar w:fldCharType="separate"/>
      </w:r>
      <w:r>
        <w:t>14</w:t>
      </w:r>
      <w:r>
        <w:fldChar w:fldCharType="end"/>
      </w:r>
      <w:r>
        <w:rPr>
          <w:color w:val="auto"/>
          <w:szCs w:val="30"/>
          <w:highlight w:val="none"/>
        </w:rPr>
        <w:fldChar w:fldCharType="end"/>
      </w:r>
    </w:p>
    <w:p w14:paraId="60095195">
      <w:pPr>
        <w:pStyle w:val="24"/>
        <w:tabs>
          <w:tab w:val="right" w:leader="dot" w:pos="8306"/>
        </w:tabs>
      </w:pPr>
      <w:r>
        <w:rPr>
          <w:color w:val="auto"/>
          <w:szCs w:val="30"/>
          <w:highlight w:val="none"/>
        </w:rPr>
        <w:fldChar w:fldCharType="begin"/>
      </w:r>
      <w:r>
        <w:rPr>
          <w:szCs w:val="30"/>
          <w:highlight w:val="none"/>
        </w:rPr>
        <w:instrText xml:space="preserve"> HYPERLINK \l _Toc2240 </w:instrText>
      </w:r>
      <w:r>
        <w:rPr>
          <w:szCs w:val="30"/>
          <w:highlight w:val="none"/>
        </w:rPr>
        <w:fldChar w:fldCharType="separate"/>
      </w:r>
      <w:r>
        <w:rPr>
          <w:rFonts w:hint="eastAsia" w:ascii="Times New Roman" w:hAnsi="Times New Roman" w:eastAsia="宋体" w:cs="Times New Roman"/>
          <w:highlight w:val="none"/>
          <w:lang w:val="en-US" w:eastAsia="zh-CN"/>
        </w:rPr>
        <w:t>第三章  招标项目要求</w:t>
      </w:r>
      <w:r>
        <w:tab/>
      </w:r>
      <w:r>
        <w:fldChar w:fldCharType="begin"/>
      </w:r>
      <w:r>
        <w:instrText xml:space="preserve"> PAGEREF _Toc2240 \h </w:instrText>
      </w:r>
      <w:r>
        <w:fldChar w:fldCharType="separate"/>
      </w:r>
      <w:r>
        <w:t>15</w:t>
      </w:r>
      <w:r>
        <w:fldChar w:fldCharType="end"/>
      </w:r>
      <w:r>
        <w:rPr>
          <w:color w:val="auto"/>
          <w:szCs w:val="30"/>
          <w:highlight w:val="none"/>
        </w:rPr>
        <w:fldChar w:fldCharType="end"/>
      </w:r>
    </w:p>
    <w:p w14:paraId="3FA51CDC">
      <w:pPr>
        <w:pStyle w:val="29"/>
        <w:tabs>
          <w:tab w:val="right" w:leader="dot" w:pos="8306"/>
        </w:tabs>
      </w:pPr>
      <w:r>
        <w:rPr>
          <w:color w:val="auto"/>
          <w:szCs w:val="30"/>
          <w:highlight w:val="none"/>
        </w:rPr>
        <w:fldChar w:fldCharType="begin"/>
      </w:r>
      <w:r>
        <w:rPr>
          <w:szCs w:val="30"/>
          <w:highlight w:val="none"/>
        </w:rPr>
        <w:instrText xml:space="preserve"> HYPERLINK \l _Toc3268 </w:instrText>
      </w:r>
      <w:r>
        <w:rPr>
          <w:szCs w:val="30"/>
          <w:highlight w:val="none"/>
        </w:rPr>
        <w:fldChar w:fldCharType="separate"/>
      </w:r>
      <w:r>
        <w:rPr>
          <w:rFonts w:hint="eastAsia" w:ascii="宋体" w:hAnsi="宋体" w:eastAsia="宋体" w:cs="宋体"/>
          <w:szCs w:val="21"/>
          <w:lang w:val="en-US" w:eastAsia="zh-CN"/>
        </w:rPr>
        <w:t>一、</w:t>
      </w:r>
      <w:r>
        <w:rPr>
          <w:rFonts w:hint="eastAsia" w:ascii="宋体" w:hAnsi="宋体" w:eastAsia="宋体" w:cs="宋体"/>
          <w:szCs w:val="21"/>
        </w:rPr>
        <w:t>保洁内容</w:t>
      </w:r>
      <w:r>
        <w:tab/>
      </w:r>
      <w:r>
        <w:fldChar w:fldCharType="begin"/>
      </w:r>
      <w:r>
        <w:instrText xml:space="preserve"> PAGEREF _Toc3268 \h </w:instrText>
      </w:r>
      <w:r>
        <w:fldChar w:fldCharType="separate"/>
      </w:r>
      <w:r>
        <w:t>15</w:t>
      </w:r>
      <w:r>
        <w:fldChar w:fldCharType="end"/>
      </w:r>
      <w:r>
        <w:rPr>
          <w:color w:val="auto"/>
          <w:szCs w:val="30"/>
          <w:highlight w:val="none"/>
        </w:rPr>
        <w:fldChar w:fldCharType="end"/>
      </w:r>
    </w:p>
    <w:p w14:paraId="60CC4E06">
      <w:pPr>
        <w:pStyle w:val="29"/>
        <w:tabs>
          <w:tab w:val="right" w:leader="dot" w:pos="8306"/>
        </w:tabs>
      </w:pPr>
      <w:r>
        <w:rPr>
          <w:color w:val="auto"/>
          <w:szCs w:val="30"/>
          <w:highlight w:val="none"/>
        </w:rPr>
        <w:fldChar w:fldCharType="begin"/>
      </w:r>
      <w:r>
        <w:rPr>
          <w:szCs w:val="30"/>
          <w:highlight w:val="none"/>
        </w:rPr>
        <w:instrText xml:space="preserve"> HYPERLINK \l _Toc10273 </w:instrText>
      </w:r>
      <w:r>
        <w:rPr>
          <w:szCs w:val="30"/>
          <w:highlight w:val="none"/>
        </w:rPr>
        <w:fldChar w:fldCharType="separate"/>
      </w:r>
      <w:r>
        <w:rPr>
          <w:rFonts w:hint="eastAsia" w:ascii="宋体" w:hAnsi="宋体" w:eastAsia="宋体" w:cs="宋体"/>
          <w:szCs w:val="21"/>
          <w:lang w:val="en-US" w:eastAsia="zh-CN"/>
        </w:rPr>
        <w:t>二</w:t>
      </w:r>
      <w:r>
        <w:rPr>
          <w:rFonts w:hint="eastAsia" w:ascii="宋体" w:hAnsi="宋体" w:eastAsia="宋体" w:cs="宋体"/>
          <w:szCs w:val="21"/>
        </w:rPr>
        <w:t>、服务内容</w:t>
      </w:r>
      <w:r>
        <w:tab/>
      </w:r>
      <w:r>
        <w:fldChar w:fldCharType="begin"/>
      </w:r>
      <w:r>
        <w:instrText xml:space="preserve"> PAGEREF _Toc10273 \h </w:instrText>
      </w:r>
      <w:r>
        <w:fldChar w:fldCharType="separate"/>
      </w:r>
      <w:r>
        <w:t>15</w:t>
      </w:r>
      <w:r>
        <w:fldChar w:fldCharType="end"/>
      </w:r>
      <w:r>
        <w:rPr>
          <w:color w:val="auto"/>
          <w:szCs w:val="30"/>
          <w:highlight w:val="none"/>
        </w:rPr>
        <w:fldChar w:fldCharType="end"/>
      </w:r>
    </w:p>
    <w:p w14:paraId="5D228AFC">
      <w:pPr>
        <w:pStyle w:val="29"/>
        <w:tabs>
          <w:tab w:val="right" w:leader="dot" w:pos="8306"/>
        </w:tabs>
      </w:pPr>
      <w:r>
        <w:rPr>
          <w:color w:val="auto"/>
          <w:szCs w:val="30"/>
          <w:highlight w:val="none"/>
        </w:rPr>
        <w:fldChar w:fldCharType="begin"/>
      </w:r>
      <w:r>
        <w:rPr>
          <w:szCs w:val="30"/>
          <w:highlight w:val="none"/>
        </w:rPr>
        <w:instrText xml:space="preserve"> HYPERLINK \l _Toc30776 </w:instrText>
      </w:r>
      <w:r>
        <w:rPr>
          <w:szCs w:val="30"/>
          <w:highlight w:val="none"/>
        </w:rPr>
        <w:fldChar w:fldCharType="separate"/>
      </w:r>
      <w:r>
        <w:rPr>
          <w:rFonts w:hint="eastAsia" w:ascii="宋体" w:hAnsi="宋体" w:eastAsia="宋体" w:cs="宋体"/>
          <w:szCs w:val="21"/>
        </w:rPr>
        <w:t>三、最低人员及车辆配置情况如下：</w:t>
      </w:r>
      <w:r>
        <w:tab/>
      </w:r>
      <w:r>
        <w:fldChar w:fldCharType="begin"/>
      </w:r>
      <w:r>
        <w:instrText xml:space="preserve"> PAGEREF _Toc30776 \h </w:instrText>
      </w:r>
      <w:r>
        <w:fldChar w:fldCharType="separate"/>
      </w:r>
      <w:r>
        <w:t>15</w:t>
      </w:r>
      <w:r>
        <w:fldChar w:fldCharType="end"/>
      </w:r>
      <w:r>
        <w:rPr>
          <w:color w:val="auto"/>
          <w:szCs w:val="30"/>
          <w:highlight w:val="none"/>
        </w:rPr>
        <w:fldChar w:fldCharType="end"/>
      </w:r>
    </w:p>
    <w:p w14:paraId="5FA40A80">
      <w:pPr>
        <w:pStyle w:val="29"/>
        <w:tabs>
          <w:tab w:val="right" w:leader="dot" w:pos="8306"/>
        </w:tabs>
      </w:pPr>
      <w:r>
        <w:rPr>
          <w:color w:val="auto"/>
          <w:szCs w:val="30"/>
          <w:highlight w:val="none"/>
        </w:rPr>
        <w:fldChar w:fldCharType="begin"/>
      </w:r>
      <w:r>
        <w:rPr>
          <w:szCs w:val="30"/>
          <w:highlight w:val="none"/>
        </w:rPr>
        <w:instrText xml:space="preserve"> HYPERLINK \l _Toc6170 </w:instrText>
      </w:r>
      <w:r>
        <w:rPr>
          <w:szCs w:val="30"/>
          <w:highlight w:val="none"/>
        </w:rPr>
        <w:fldChar w:fldCharType="separate"/>
      </w:r>
      <w:r>
        <w:rPr>
          <w:rFonts w:hint="eastAsia" w:ascii="宋体" w:hAnsi="宋体" w:eastAsia="宋体" w:cs="宋体"/>
          <w:szCs w:val="21"/>
          <w:lang w:val="en-US" w:eastAsia="zh-CN"/>
        </w:rPr>
        <w:t>四</w:t>
      </w:r>
      <w:r>
        <w:rPr>
          <w:rFonts w:hint="eastAsia" w:ascii="宋体" w:hAnsi="宋体" w:eastAsia="宋体" w:cs="宋体"/>
          <w:szCs w:val="21"/>
        </w:rPr>
        <w:t>、商务要求</w:t>
      </w:r>
      <w:r>
        <w:tab/>
      </w:r>
      <w:r>
        <w:fldChar w:fldCharType="begin"/>
      </w:r>
      <w:r>
        <w:instrText xml:space="preserve"> PAGEREF _Toc6170 \h </w:instrText>
      </w:r>
      <w:r>
        <w:fldChar w:fldCharType="separate"/>
      </w:r>
      <w:r>
        <w:t>16</w:t>
      </w:r>
      <w:r>
        <w:fldChar w:fldCharType="end"/>
      </w:r>
      <w:r>
        <w:rPr>
          <w:color w:val="auto"/>
          <w:szCs w:val="30"/>
          <w:highlight w:val="none"/>
        </w:rPr>
        <w:fldChar w:fldCharType="end"/>
      </w:r>
    </w:p>
    <w:p w14:paraId="00AE3ACD">
      <w:pPr>
        <w:pStyle w:val="29"/>
        <w:tabs>
          <w:tab w:val="right" w:leader="dot" w:pos="8306"/>
        </w:tabs>
      </w:pPr>
      <w:r>
        <w:rPr>
          <w:color w:val="auto"/>
          <w:szCs w:val="30"/>
          <w:highlight w:val="none"/>
        </w:rPr>
        <w:fldChar w:fldCharType="begin"/>
      </w:r>
      <w:r>
        <w:rPr>
          <w:szCs w:val="30"/>
          <w:highlight w:val="none"/>
        </w:rPr>
        <w:instrText xml:space="preserve"> HYPERLINK \l _Toc25587 </w:instrText>
      </w:r>
      <w:r>
        <w:rPr>
          <w:szCs w:val="30"/>
          <w:highlight w:val="none"/>
        </w:rPr>
        <w:fldChar w:fldCharType="separate"/>
      </w:r>
      <w:r>
        <w:rPr>
          <w:rFonts w:hint="eastAsia" w:ascii="宋体" w:hAnsi="宋体" w:eastAsia="宋体" w:cs="宋体"/>
          <w:szCs w:val="21"/>
          <w:lang w:val="en-US" w:eastAsia="zh-CN"/>
        </w:rPr>
        <w:t>五</w:t>
      </w:r>
      <w:r>
        <w:rPr>
          <w:rFonts w:hint="eastAsia" w:ascii="宋体" w:hAnsi="宋体" w:eastAsia="宋体" w:cs="宋体"/>
          <w:szCs w:val="21"/>
        </w:rPr>
        <w:t>、其它说明</w:t>
      </w:r>
      <w:r>
        <w:tab/>
      </w:r>
      <w:r>
        <w:fldChar w:fldCharType="begin"/>
      </w:r>
      <w:r>
        <w:instrText xml:space="preserve"> PAGEREF _Toc25587 \h </w:instrText>
      </w:r>
      <w:r>
        <w:fldChar w:fldCharType="separate"/>
      </w:r>
      <w:r>
        <w:t>17</w:t>
      </w:r>
      <w:r>
        <w:fldChar w:fldCharType="end"/>
      </w:r>
      <w:r>
        <w:rPr>
          <w:color w:val="auto"/>
          <w:szCs w:val="30"/>
          <w:highlight w:val="none"/>
        </w:rPr>
        <w:fldChar w:fldCharType="end"/>
      </w:r>
    </w:p>
    <w:p w14:paraId="19E8EB75">
      <w:pPr>
        <w:pStyle w:val="24"/>
        <w:tabs>
          <w:tab w:val="right" w:leader="dot" w:pos="8306"/>
        </w:tabs>
      </w:pPr>
      <w:r>
        <w:rPr>
          <w:color w:val="auto"/>
          <w:szCs w:val="30"/>
          <w:highlight w:val="none"/>
        </w:rPr>
        <w:fldChar w:fldCharType="begin"/>
      </w:r>
      <w:r>
        <w:rPr>
          <w:szCs w:val="30"/>
          <w:highlight w:val="none"/>
        </w:rPr>
        <w:instrText xml:space="preserve"> HYPERLINK \l _Toc10783 </w:instrText>
      </w:r>
      <w:r>
        <w:rPr>
          <w:szCs w:val="30"/>
          <w:highlight w:val="none"/>
        </w:rPr>
        <w:fldChar w:fldCharType="separate"/>
      </w:r>
      <w:r>
        <w:rPr>
          <w:rFonts w:hint="eastAsia" w:ascii="Times New Roman" w:hAnsi="Times New Roman" w:eastAsia="宋体" w:cs="Times New Roman"/>
          <w:bCs/>
          <w:kern w:val="44"/>
          <w:szCs w:val="44"/>
          <w:highlight w:val="none"/>
          <w:lang w:val="en-US" w:eastAsia="zh-CN" w:bidi="ar-SA"/>
        </w:rPr>
        <w:t>第四章</w:t>
      </w:r>
      <w:r>
        <w:rPr>
          <w:rFonts w:ascii="Times New Roman" w:hAnsi="Times New Roman" w:eastAsia="宋体" w:cs="Times New Roman"/>
          <w:bCs/>
          <w:kern w:val="44"/>
          <w:szCs w:val="44"/>
          <w:highlight w:val="none"/>
          <w:lang w:val="en-US" w:eastAsia="zh-CN" w:bidi="ar-SA"/>
        </w:rPr>
        <w:t xml:space="preserve">  </w:t>
      </w:r>
      <w:r>
        <w:rPr>
          <w:rFonts w:hint="eastAsia" w:ascii="Times New Roman" w:hAnsi="Times New Roman" w:eastAsia="宋体" w:cs="Times New Roman"/>
          <w:bCs/>
          <w:kern w:val="44"/>
          <w:szCs w:val="44"/>
          <w:highlight w:val="none"/>
          <w:lang w:val="en-US" w:eastAsia="zh-CN" w:bidi="ar-SA"/>
        </w:rPr>
        <w:t>开标、评标和定标须知</w:t>
      </w:r>
      <w:r>
        <w:tab/>
      </w:r>
      <w:r>
        <w:fldChar w:fldCharType="begin"/>
      </w:r>
      <w:r>
        <w:instrText xml:space="preserve"> PAGEREF _Toc10783 \h </w:instrText>
      </w:r>
      <w:r>
        <w:fldChar w:fldCharType="separate"/>
      </w:r>
      <w:r>
        <w:t>18</w:t>
      </w:r>
      <w:r>
        <w:fldChar w:fldCharType="end"/>
      </w:r>
      <w:r>
        <w:rPr>
          <w:color w:val="auto"/>
          <w:szCs w:val="30"/>
          <w:highlight w:val="none"/>
        </w:rPr>
        <w:fldChar w:fldCharType="end"/>
      </w:r>
    </w:p>
    <w:p w14:paraId="5A95463A">
      <w:pPr>
        <w:pStyle w:val="29"/>
        <w:tabs>
          <w:tab w:val="right" w:leader="dot" w:pos="8306"/>
        </w:tabs>
      </w:pPr>
      <w:r>
        <w:rPr>
          <w:color w:val="auto"/>
          <w:szCs w:val="30"/>
          <w:highlight w:val="none"/>
        </w:rPr>
        <w:fldChar w:fldCharType="begin"/>
      </w:r>
      <w:r>
        <w:rPr>
          <w:szCs w:val="30"/>
          <w:highlight w:val="none"/>
        </w:rPr>
        <w:instrText xml:space="preserve"> HYPERLINK \l _Toc5603 </w:instrText>
      </w:r>
      <w:r>
        <w:rPr>
          <w:szCs w:val="30"/>
          <w:highlight w:val="none"/>
        </w:rPr>
        <w:fldChar w:fldCharType="separate"/>
      </w:r>
      <w:r>
        <w:rPr>
          <w:rFonts w:hint="eastAsia" w:ascii="宋体" w:hAnsi="宋体" w:eastAsia="宋体"/>
          <w:szCs w:val="21"/>
          <w:highlight w:val="none"/>
        </w:rPr>
        <w:t>一、开标</w:t>
      </w:r>
      <w:r>
        <w:tab/>
      </w:r>
      <w:r>
        <w:fldChar w:fldCharType="begin"/>
      </w:r>
      <w:r>
        <w:instrText xml:space="preserve"> PAGEREF _Toc5603 \h </w:instrText>
      </w:r>
      <w:r>
        <w:fldChar w:fldCharType="separate"/>
      </w:r>
      <w:r>
        <w:t>18</w:t>
      </w:r>
      <w:r>
        <w:fldChar w:fldCharType="end"/>
      </w:r>
      <w:r>
        <w:rPr>
          <w:color w:val="auto"/>
          <w:szCs w:val="30"/>
          <w:highlight w:val="none"/>
        </w:rPr>
        <w:fldChar w:fldCharType="end"/>
      </w:r>
    </w:p>
    <w:p w14:paraId="6AEA5891">
      <w:pPr>
        <w:pStyle w:val="29"/>
        <w:tabs>
          <w:tab w:val="right" w:leader="dot" w:pos="8306"/>
        </w:tabs>
      </w:pPr>
      <w:r>
        <w:rPr>
          <w:color w:val="auto"/>
          <w:szCs w:val="30"/>
          <w:highlight w:val="none"/>
        </w:rPr>
        <w:fldChar w:fldCharType="begin"/>
      </w:r>
      <w:r>
        <w:rPr>
          <w:szCs w:val="30"/>
          <w:highlight w:val="none"/>
        </w:rPr>
        <w:instrText xml:space="preserve"> HYPERLINK \l _Toc9583 </w:instrText>
      </w:r>
      <w:r>
        <w:rPr>
          <w:szCs w:val="30"/>
          <w:highlight w:val="none"/>
        </w:rPr>
        <w:fldChar w:fldCharType="separate"/>
      </w:r>
      <w:r>
        <w:rPr>
          <w:rFonts w:hint="eastAsia" w:ascii="宋体" w:hAnsi="宋体" w:eastAsia="宋体" w:cs="宋体"/>
          <w:szCs w:val="21"/>
          <w:highlight w:val="none"/>
        </w:rPr>
        <w:t>二、评标</w:t>
      </w:r>
      <w:r>
        <w:tab/>
      </w:r>
      <w:r>
        <w:fldChar w:fldCharType="begin"/>
      </w:r>
      <w:r>
        <w:instrText xml:space="preserve"> PAGEREF _Toc9583 \h </w:instrText>
      </w:r>
      <w:r>
        <w:fldChar w:fldCharType="separate"/>
      </w:r>
      <w:r>
        <w:t>18</w:t>
      </w:r>
      <w:r>
        <w:fldChar w:fldCharType="end"/>
      </w:r>
      <w:r>
        <w:rPr>
          <w:color w:val="auto"/>
          <w:szCs w:val="30"/>
          <w:highlight w:val="none"/>
        </w:rPr>
        <w:fldChar w:fldCharType="end"/>
      </w:r>
    </w:p>
    <w:p w14:paraId="3B2A6C2D">
      <w:pPr>
        <w:pStyle w:val="29"/>
        <w:tabs>
          <w:tab w:val="right" w:leader="dot" w:pos="8306"/>
        </w:tabs>
      </w:pPr>
      <w:r>
        <w:rPr>
          <w:color w:val="auto"/>
          <w:szCs w:val="30"/>
          <w:highlight w:val="none"/>
        </w:rPr>
        <w:fldChar w:fldCharType="begin"/>
      </w:r>
      <w:r>
        <w:rPr>
          <w:szCs w:val="30"/>
          <w:highlight w:val="none"/>
        </w:rPr>
        <w:instrText xml:space="preserve"> HYPERLINK \l _Toc5426 </w:instrText>
      </w:r>
      <w:r>
        <w:rPr>
          <w:szCs w:val="30"/>
          <w:highlight w:val="none"/>
        </w:rPr>
        <w:fldChar w:fldCharType="separate"/>
      </w:r>
      <w:r>
        <w:rPr>
          <w:rFonts w:hint="eastAsia" w:ascii="宋体" w:hAnsi="宋体" w:eastAsia="宋体" w:cs="宋体"/>
          <w:szCs w:val="21"/>
          <w:highlight w:val="none"/>
        </w:rPr>
        <w:t>三、定标</w:t>
      </w:r>
      <w:r>
        <w:tab/>
      </w:r>
      <w:r>
        <w:fldChar w:fldCharType="begin"/>
      </w:r>
      <w:r>
        <w:instrText xml:space="preserve"> PAGEREF _Toc5426 \h </w:instrText>
      </w:r>
      <w:r>
        <w:fldChar w:fldCharType="separate"/>
      </w:r>
      <w:r>
        <w:t>21</w:t>
      </w:r>
      <w:r>
        <w:fldChar w:fldCharType="end"/>
      </w:r>
      <w:r>
        <w:rPr>
          <w:color w:val="auto"/>
          <w:szCs w:val="30"/>
          <w:highlight w:val="none"/>
        </w:rPr>
        <w:fldChar w:fldCharType="end"/>
      </w:r>
    </w:p>
    <w:p w14:paraId="7B133F3E">
      <w:pPr>
        <w:pStyle w:val="24"/>
        <w:tabs>
          <w:tab w:val="right" w:leader="dot" w:pos="8306"/>
        </w:tabs>
      </w:pPr>
      <w:r>
        <w:rPr>
          <w:color w:val="auto"/>
          <w:szCs w:val="30"/>
          <w:highlight w:val="none"/>
        </w:rPr>
        <w:fldChar w:fldCharType="begin"/>
      </w:r>
      <w:r>
        <w:rPr>
          <w:szCs w:val="30"/>
          <w:highlight w:val="none"/>
        </w:rPr>
        <w:instrText xml:space="preserve"> HYPERLINK \l _Toc26090 </w:instrText>
      </w:r>
      <w:r>
        <w:rPr>
          <w:szCs w:val="30"/>
          <w:highlight w:val="none"/>
        </w:rPr>
        <w:fldChar w:fldCharType="separate"/>
      </w:r>
      <w:r>
        <w:rPr>
          <w:rFonts w:hint="eastAsia" w:hAnsi="宋体"/>
          <w:highlight w:val="none"/>
        </w:rPr>
        <w:t>第五章</w:t>
      </w:r>
      <w:r>
        <w:rPr>
          <w:rFonts w:hAnsi="宋体"/>
          <w:highlight w:val="none"/>
        </w:rPr>
        <w:t xml:space="preserve">  </w:t>
      </w:r>
      <w:r>
        <w:rPr>
          <w:rFonts w:hint="eastAsia" w:hAnsi="宋体"/>
          <w:highlight w:val="none"/>
        </w:rPr>
        <w:t>投标文件的有效性</w:t>
      </w:r>
      <w:r>
        <w:tab/>
      </w:r>
      <w:r>
        <w:fldChar w:fldCharType="begin"/>
      </w:r>
      <w:r>
        <w:instrText xml:space="preserve"> PAGEREF _Toc26090 \h </w:instrText>
      </w:r>
      <w:r>
        <w:fldChar w:fldCharType="separate"/>
      </w:r>
      <w:r>
        <w:t>23</w:t>
      </w:r>
      <w:r>
        <w:fldChar w:fldCharType="end"/>
      </w:r>
      <w:r>
        <w:rPr>
          <w:color w:val="auto"/>
          <w:szCs w:val="30"/>
          <w:highlight w:val="none"/>
        </w:rPr>
        <w:fldChar w:fldCharType="end"/>
      </w:r>
    </w:p>
    <w:p w14:paraId="3DC7151A">
      <w:pPr>
        <w:pStyle w:val="24"/>
        <w:tabs>
          <w:tab w:val="right" w:leader="dot" w:pos="8306"/>
        </w:tabs>
      </w:pPr>
      <w:r>
        <w:rPr>
          <w:color w:val="auto"/>
          <w:szCs w:val="30"/>
          <w:highlight w:val="none"/>
        </w:rPr>
        <w:fldChar w:fldCharType="begin"/>
      </w:r>
      <w:r>
        <w:rPr>
          <w:szCs w:val="30"/>
          <w:highlight w:val="none"/>
        </w:rPr>
        <w:instrText xml:space="preserve"> HYPERLINK \l _Toc25135 </w:instrText>
      </w:r>
      <w:r>
        <w:rPr>
          <w:szCs w:val="30"/>
          <w:highlight w:val="none"/>
        </w:rPr>
        <w:fldChar w:fldCharType="separate"/>
      </w:r>
      <w:r>
        <w:rPr>
          <w:rFonts w:hint="eastAsia"/>
          <w:highlight w:val="none"/>
        </w:rPr>
        <w:t>第六章</w:t>
      </w:r>
      <w:r>
        <w:rPr>
          <w:highlight w:val="none"/>
        </w:rPr>
        <w:t xml:space="preserve">  </w:t>
      </w:r>
      <w:r>
        <w:rPr>
          <w:rFonts w:hint="eastAsia"/>
          <w:highlight w:val="none"/>
        </w:rPr>
        <w:t>评标办法</w:t>
      </w:r>
      <w:r>
        <w:tab/>
      </w:r>
      <w:r>
        <w:fldChar w:fldCharType="begin"/>
      </w:r>
      <w:r>
        <w:instrText xml:space="preserve"> PAGEREF _Toc25135 \h </w:instrText>
      </w:r>
      <w:r>
        <w:fldChar w:fldCharType="separate"/>
      </w:r>
      <w:r>
        <w:t>25</w:t>
      </w:r>
      <w:r>
        <w:fldChar w:fldCharType="end"/>
      </w:r>
      <w:r>
        <w:rPr>
          <w:color w:val="auto"/>
          <w:szCs w:val="30"/>
          <w:highlight w:val="none"/>
        </w:rPr>
        <w:fldChar w:fldCharType="end"/>
      </w:r>
    </w:p>
    <w:p w14:paraId="16376F98">
      <w:pPr>
        <w:pStyle w:val="29"/>
        <w:tabs>
          <w:tab w:val="right" w:leader="dot" w:pos="8306"/>
        </w:tabs>
      </w:pPr>
      <w:r>
        <w:rPr>
          <w:color w:val="auto"/>
          <w:szCs w:val="30"/>
          <w:highlight w:val="none"/>
        </w:rPr>
        <w:fldChar w:fldCharType="begin"/>
      </w:r>
      <w:r>
        <w:rPr>
          <w:szCs w:val="30"/>
          <w:highlight w:val="none"/>
        </w:rPr>
        <w:instrText xml:space="preserve"> HYPERLINK \l _Toc30407 </w:instrText>
      </w:r>
      <w:r>
        <w:rPr>
          <w:szCs w:val="30"/>
          <w:highlight w:val="none"/>
        </w:rPr>
        <w:fldChar w:fldCharType="separate"/>
      </w:r>
      <w:r>
        <w:rPr>
          <w:rFonts w:hint="eastAsia" w:ascii="宋体" w:hAnsi="宋体" w:eastAsia="宋体" w:cs="宋体"/>
          <w:bCs/>
          <w:szCs w:val="21"/>
          <w:highlight w:val="none"/>
        </w:rPr>
        <w:t>一、评审程序</w:t>
      </w:r>
      <w:r>
        <w:tab/>
      </w:r>
      <w:r>
        <w:fldChar w:fldCharType="begin"/>
      </w:r>
      <w:r>
        <w:instrText xml:space="preserve"> PAGEREF _Toc30407 \h </w:instrText>
      </w:r>
      <w:r>
        <w:fldChar w:fldCharType="separate"/>
      </w:r>
      <w:r>
        <w:t>25</w:t>
      </w:r>
      <w:r>
        <w:fldChar w:fldCharType="end"/>
      </w:r>
      <w:r>
        <w:rPr>
          <w:color w:val="auto"/>
          <w:szCs w:val="30"/>
          <w:highlight w:val="none"/>
        </w:rPr>
        <w:fldChar w:fldCharType="end"/>
      </w:r>
    </w:p>
    <w:p w14:paraId="34E6F3D1">
      <w:pPr>
        <w:pStyle w:val="29"/>
        <w:tabs>
          <w:tab w:val="right" w:leader="dot" w:pos="8306"/>
        </w:tabs>
      </w:pPr>
      <w:r>
        <w:rPr>
          <w:color w:val="auto"/>
          <w:szCs w:val="30"/>
          <w:highlight w:val="none"/>
        </w:rPr>
        <w:fldChar w:fldCharType="begin"/>
      </w:r>
      <w:r>
        <w:rPr>
          <w:szCs w:val="30"/>
          <w:highlight w:val="none"/>
        </w:rPr>
        <w:instrText xml:space="preserve"> HYPERLINK \l _Toc24249 </w:instrText>
      </w:r>
      <w:r>
        <w:rPr>
          <w:szCs w:val="30"/>
          <w:highlight w:val="none"/>
        </w:rPr>
        <w:fldChar w:fldCharType="separate"/>
      </w:r>
      <w:r>
        <w:rPr>
          <w:rFonts w:hint="eastAsia" w:ascii="宋体" w:hAnsi="宋体" w:eastAsia="宋体" w:cs="宋体"/>
          <w:bCs/>
          <w:szCs w:val="21"/>
          <w:highlight w:val="none"/>
        </w:rPr>
        <w:t>二、确定的中标人放弃中标等情况的处理</w:t>
      </w:r>
      <w:r>
        <w:tab/>
      </w:r>
      <w:r>
        <w:fldChar w:fldCharType="begin"/>
      </w:r>
      <w:r>
        <w:instrText xml:space="preserve"> PAGEREF _Toc24249 \h </w:instrText>
      </w:r>
      <w:r>
        <w:fldChar w:fldCharType="separate"/>
      </w:r>
      <w:r>
        <w:t>25</w:t>
      </w:r>
      <w:r>
        <w:fldChar w:fldCharType="end"/>
      </w:r>
      <w:r>
        <w:rPr>
          <w:color w:val="auto"/>
          <w:szCs w:val="30"/>
          <w:highlight w:val="none"/>
        </w:rPr>
        <w:fldChar w:fldCharType="end"/>
      </w:r>
    </w:p>
    <w:p w14:paraId="52DE84C5">
      <w:pPr>
        <w:pStyle w:val="29"/>
        <w:tabs>
          <w:tab w:val="right" w:leader="dot" w:pos="8306"/>
        </w:tabs>
      </w:pPr>
      <w:r>
        <w:rPr>
          <w:color w:val="auto"/>
          <w:szCs w:val="30"/>
          <w:highlight w:val="none"/>
        </w:rPr>
        <w:fldChar w:fldCharType="begin"/>
      </w:r>
      <w:r>
        <w:rPr>
          <w:szCs w:val="30"/>
          <w:highlight w:val="none"/>
        </w:rPr>
        <w:instrText xml:space="preserve"> HYPERLINK \l _Toc12264 </w:instrText>
      </w:r>
      <w:r>
        <w:rPr>
          <w:szCs w:val="30"/>
          <w:highlight w:val="none"/>
        </w:rPr>
        <w:fldChar w:fldCharType="separate"/>
      </w:r>
      <w:r>
        <w:rPr>
          <w:rFonts w:hint="eastAsia" w:ascii="宋体" w:hAnsi="宋体" w:eastAsia="宋体" w:cs="宋体"/>
          <w:szCs w:val="21"/>
        </w:rPr>
        <w:t xml:space="preserve">三、 </w:t>
      </w:r>
      <w:r>
        <w:rPr>
          <w:rFonts w:hint="eastAsia" w:ascii="宋体" w:hAnsi="宋体" w:eastAsia="宋体" w:cs="宋体"/>
          <w:szCs w:val="21"/>
          <w:highlight w:val="none"/>
        </w:rPr>
        <w:t>评分细则</w:t>
      </w:r>
      <w:r>
        <w:tab/>
      </w:r>
      <w:r>
        <w:fldChar w:fldCharType="begin"/>
      </w:r>
      <w:r>
        <w:instrText xml:space="preserve"> PAGEREF _Toc12264 \h </w:instrText>
      </w:r>
      <w:r>
        <w:fldChar w:fldCharType="separate"/>
      </w:r>
      <w:r>
        <w:t>26</w:t>
      </w:r>
      <w:r>
        <w:fldChar w:fldCharType="end"/>
      </w:r>
      <w:r>
        <w:rPr>
          <w:color w:val="auto"/>
          <w:szCs w:val="30"/>
          <w:highlight w:val="none"/>
        </w:rPr>
        <w:fldChar w:fldCharType="end"/>
      </w:r>
    </w:p>
    <w:p w14:paraId="421C1B16">
      <w:pPr>
        <w:pStyle w:val="29"/>
        <w:tabs>
          <w:tab w:val="right" w:leader="dot" w:pos="8306"/>
        </w:tabs>
      </w:pPr>
      <w:r>
        <w:rPr>
          <w:color w:val="auto"/>
          <w:szCs w:val="30"/>
          <w:highlight w:val="none"/>
        </w:rPr>
        <w:fldChar w:fldCharType="begin"/>
      </w:r>
      <w:r>
        <w:rPr>
          <w:szCs w:val="30"/>
          <w:highlight w:val="none"/>
        </w:rPr>
        <w:instrText xml:space="preserve"> HYPERLINK \l _Toc29368 </w:instrText>
      </w:r>
      <w:r>
        <w:rPr>
          <w:szCs w:val="30"/>
          <w:highlight w:val="none"/>
        </w:rPr>
        <w:fldChar w:fldCharType="separate"/>
      </w:r>
      <w:r>
        <w:rPr>
          <w:rFonts w:hint="eastAsia" w:hAnsi="宋体"/>
          <w:bCs/>
        </w:rPr>
        <w:t xml:space="preserve">四、 </w:t>
      </w:r>
      <w:r>
        <w:rPr>
          <w:rFonts w:hint="eastAsia" w:hAnsi="宋体" w:cs="宋体"/>
          <w:szCs w:val="24"/>
          <w:highlight w:val="none"/>
        </w:rPr>
        <w:t>评标小组不向落标方解释落标原因</w:t>
      </w:r>
      <w:r>
        <w:rPr>
          <w:rFonts w:hint="eastAsia" w:hAnsi="宋体"/>
          <w:bCs/>
          <w:highlight w:val="none"/>
        </w:rPr>
        <w:t>。</w:t>
      </w:r>
      <w:r>
        <w:tab/>
      </w:r>
      <w:r>
        <w:fldChar w:fldCharType="begin"/>
      </w:r>
      <w:r>
        <w:instrText xml:space="preserve"> PAGEREF _Toc29368 \h </w:instrText>
      </w:r>
      <w:r>
        <w:fldChar w:fldCharType="separate"/>
      </w:r>
      <w:r>
        <w:t>28</w:t>
      </w:r>
      <w:r>
        <w:fldChar w:fldCharType="end"/>
      </w:r>
      <w:r>
        <w:rPr>
          <w:color w:val="auto"/>
          <w:szCs w:val="30"/>
          <w:highlight w:val="none"/>
        </w:rPr>
        <w:fldChar w:fldCharType="end"/>
      </w:r>
    </w:p>
    <w:p w14:paraId="4FA8BE03">
      <w:pPr>
        <w:pStyle w:val="24"/>
        <w:tabs>
          <w:tab w:val="right" w:leader="dot" w:pos="8306"/>
        </w:tabs>
      </w:pPr>
      <w:r>
        <w:rPr>
          <w:color w:val="auto"/>
          <w:szCs w:val="30"/>
          <w:highlight w:val="none"/>
        </w:rPr>
        <w:fldChar w:fldCharType="begin"/>
      </w:r>
      <w:r>
        <w:rPr>
          <w:szCs w:val="30"/>
          <w:highlight w:val="none"/>
        </w:rPr>
        <w:instrText xml:space="preserve"> HYPERLINK \l _Toc21212 </w:instrText>
      </w:r>
      <w:r>
        <w:rPr>
          <w:szCs w:val="30"/>
          <w:highlight w:val="none"/>
        </w:rPr>
        <w:fldChar w:fldCharType="separate"/>
      </w:r>
      <w:r>
        <w:rPr>
          <w:rFonts w:hint="eastAsia"/>
          <w:szCs w:val="36"/>
          <w:lang w:eastAsia="zh-CN"/>
        </w:rPr>
        <w:t>第七章</w:t>
      </w:r>
      <w:r>
        <w:rPr>
          <w:rFonts w:hint="eastAsia"/>
          <w:szCs w:val="36"/>
        </w:rPr>
        <w:t xml:space="preserve"> 合同主要条款</w:t>
      </w:r>
      <w:r>
        <w:tab/>
      </w:r>
      <w:r>
        <w:fldChar w:fldCharType="begin"/>
      </w:r>
      <w:r>
        <w:instrText xml:space="preserve"> PAGEREF _Toc21212 \h </w:instrText>
      </w:r>
      <w:r>
        <w:fldChar w:fldCharType="separate"/>
      </w:r>
      <w:r>
        <w:t>29</w:t>
      </w:r>
      <w:r>
        <w:fldChar w:fldCharType="end"/>
      </w:r>
      <w:r>
        <w:rPr>
          <w:color w:val="auto"/>
          <w:szCs w:val="30"/>
          <w:highlight w:val="none"/>
        </w:rPr>
        <w:fldChar w:fldCharType="end"/>
      </w:r>
    </w:p>
    <w:p w14:paraId="4985A32E">
      <w:pPr>
        <w:pStyle w:val="24"/>
        <w:tabs>
          <w:tab w:val="right" w:leader="dot" w:pos="8306"/>
        </w:tabs>
      </w:pPr>
      <w:r>
        <w:rPr>
          <w:color w:val="auto"/>
          <w:szCs w:val="30"/>
          <w:highlight w:val="none"/>
        </w:rPr>
        <w:fldChar w:fldCharType="begin"/>
      </w:r>
      <w:r>
        <w:rPr>
          <w:szCs w:val="30"/>
          <w:highlight w:val="none"/>
        </w:rPr>
        <w:instrText xml:space="preserve"> HYPERLINK \l _Toc5546 </w:instrText>
      </w:r>
      <w:r>
        <w:rPr>
          <w:szCs w:val="30"/>
          <w:highlight w:val="none"/>
        </w:rPr>
        <w:fldChar w:fldCharType="separate"/>
      </w:r>
      <w:r>
        <w:rPr>
          <w:rFonts w:hint="eastAsia" w:ascii="宋体" w:hAnsi="宋体" w:eastAsia="宋体" w:cs="Times New Roman"/>
          <w:szCs w:val="36"/>
          <w:highlight w:val="none"/>
        </w:rPr>
        <w:t>第</w:t>
      </w:r>
      <w:r>
        <w:rPr>
          <w:rFonts w:hint="eastAsia" w:ascii="宋体" w:hAnsi="宋体" w:cs="Times New Roman"/>
          <w:szCs w:val="36"/>
          <w:highlight w:val="none"/>
          <w:lang w:val="en-US" w:eastAsia="zh-CN"/>
        </w:rPr>
        <w:t>八</w:t>
      </w:r>
      <w:r>
        <w:rPr>
          <w:rFonts w:hint="eastAsia" w:ascii="宋体" w:hAnsi="宋体" w:eastAsia="宋体" w:cs="Times New Roman"/>
          <w:szCs w:val="36"/>
          <w:highlight w:val="none"/>
        </w:rPr>
        <w:t>章  投标文件部分格式</w:t>
      </w:r>
      <w:r>
        <w:tab/>
      </w:r>
      <w:r>
        <w:fldChar w:fldCharType="begin"/>
      </w:r>
      <w:r>
        <w:instrText xml:space="preserve"> PAGEREF _Toc5546 \h </w:instrText>
      </w:r>
      <w:r>
        <w:fldChar w:fldCharType="separate"/>
      </w:r>
      <w:r>
        <w:t>57</w:t>
      </w:r>
      <w:r>
        <w:fldChar w:fldCharType="end"/>
      </w:r>
      <w:r>
        <w:rPr>
          <w:color w:val="auto"/>
          <w:szCs w:val="30"/>
          <w:highlight w:val="none"/>
        </w:rPr>
        <w:fldChar w:fldCharType="end"/>
      </w:r>
    </w:p>
    <w:p w14:paraId="2EC511C2">
      <w:pPr>
        <w:pStyle w:val="29"/>
        <w:tabs>
          <w:tab w:val="right" w:leader="dot" w:pos="8306"/>
        </w:tabs>
      </w:pPr>
      <w:r>
        <w:rPr>
          <w:color w:val="auto"/>
          <w:szCs w:val="30"/>
          <w:highlight w:val="none"/>
        </w:rPr>
        <w:fldChar w:fldCharType="begin"/>
      </w:r>
      <w:r>
        <w:rPr>
          <w:szCs w:val="30"/>
          <w:highlight w:val="none"/>
        </w:rPr>
        <w:instrText xml:space="preserve"> HYPERLINK \l _Toc19654 </w:instrText>
      </w:r>
      <w:r>
        <w:rPr>
          <w:szCs w:val="30"/>
          <w:highlight w:val="none"/>
        </w:rPr>
        <w:fldChar w:fldCharType="separate"/>
      </w:r>
      <w:r>
        <w:rPr>
          <w:rFonts w:hint="eastAsia" w:ascii="宋体" w:hAnsi="宋体" w:eastAsia="宋体" w:cs="宋体"/>
          <w:szCs w:val="21"/>
          <w:highlight w:val="none"/>
        </w:rPr>
        <w:t>一、资格响应文件、商务技术响应文件部分格式</w:t>
      </w:r>
      <w:r>
        <w:tab/>
      </w:r>
      <w:r>
        <w:fldChar w:fldCharType="begin"/>
      </w:r>
      <w:r>
        <w:instrText xml:space="preserve"> PAGEREF _Toc19654 \h </w:instrText>
      </w:r>
      <w:r>
        <w:fldChar w:fldCharType="separate"/>
      </w:r>
      <w:r>
        <w:t>57</w:t>
      </w:r>
      <w:r>
        <w:fldChar w:fldCharType="end"/>
      </w:r>
      <w:r>
        <w:rPr>
          <w:color w:val="auto"/>
          <w:szCs w:val="30"/>
          <w:highlight w:val="none"/>
        </w:rPr>
        <w:fldChar w:fldCharType="end"/>
      </w:r>
    </w:p>
    <w:p w14:paraId="20DB6262">
      <w:pPr>
        <w:pStyle w:val="29"/>
        <w:tabs>
          <w:tab w:val="right" w:leader="dot" w:pos="8306"/>
        </w:tabs>
      </w:pPr>
      <w:r>
        <w:rPr>
          <w:color w:val="auto"/>
          <w:szCs w:val="30"/>
          <w:highlight w:val="none"/>
        </w:rPr>
        <w:fldChar w:fldCharType="begin"/>
      </w:r>
      <w:r>
        <w:rPr>
          <w:szCs w:val="30"/>
          <w:highlight w:val="none"/>
        </w:rPr>
        <w:instrText xml:space="preserve"> HYPERLINK \l _Toc27982 </w:instrText>
      </w:r>
      <w:r>
        <w:rPr>
          <w:szCs w:val="30"/>
          <w:highlight w:val="none"/>
        </w:rPr>
        <w:fldChar w:fldCharType="separate"/>
      </w:r>
      <w:r>
        <w:rPr>
          <w:rFonts w:hint="eastAsia" w:ascii="宋体" w:hAnsi="宋体" w:eastAsia="宋体" w:cs="宋体"/>
          <w:szCs w:val="21"/>
          <w:highlight w:val="none"/>
        </w:rPr>
        <w:t>二、报价响应文件部分格式</w:t>
      </w:r>
      <w:r>
        <w:tab/>
      </w:r>
      <w:r>
        <w:fldChar w:fldCharType="begin"/>
      </w:r>
      <w:r>
        <w:instrText xml:space="preserve"> PAGEREF _Toc27982 \h </w:instrText>
      </w:r>
      <w:r>
        <w:fldChar w:fldCharType="separate"/>
      </w:r>
      <w:r>
        <w:t>57</w:t>
      </w:r>
      <w:r>
        <w:fldChar w:fldCharType="end"/>
      </w:r>
      <w:r>
        <w:rPr>
          <w:color w:val="auto"/>
          <w:szCs w:val="30"/>
          <w:highlight w:val="none"/>
        </w:rPr>
        <w:fldChar w:fldCharType="end"/>
      </w:r>
    </w:p>
    <w:p w14:paraId="5D01DABC">
      <w:pPr>
        <w:pStyle w:val="29"/>
        <w:tabs>
          <w:tab w:val="right" w:leader="dot" w:pos="8306"/>
        </w:tabs>
      </w:pPr>
      <w:r>
        <w:rPr>
          <w:color w:val="auto"/>
          <w:szCs w:val="30"/>
          <w:highlight w:val="none"/>
        </w:rPr>
        <w:fldChar w:fldCharType="begin"/>
      </w:r>
      <w:r>
        <w:rPr>
          <w:szCs w:val="30"/>
          <w:highlight w:val="none"/>
        </w:rPr>
        <w:instrText xml:space="preserve"> HYPERLINK \l _Toc11470 </w:instrText>
      </w:r>
      <w:r>
        <w:rPr>
          <w:szCs w:val="30"/>
          <w:highlight w:val="none"/>
        </w:rPr>
        <w:fldChar w:fldCharType="separate"/>
      </w:r>
      <w:r>
        <w:rPr>
          <w:rFonts w:hint="eastAsia" w:ascii="宋体" w:hAnsi="宋体" w:eastAsia="宋体" w:cs="宋体"/>
          <w:szCs w:val="21"/>
          <w:highlight w:val="none"/>
        </w:rPr>
        <w:t>三、质疑函范本</w:t>
      </w:r>
      <w:r>
        <w:tab/>
      </w:r>
      <w:r>
        <w:fldChar w:fldCharType="begin"/>
      </w:r>
      <w:r>
        <w:instrText xml:space="preserve"> PAGEREF _Toc11470 \h </w:instrText>
      </w:r>
      <w:r>
        <w:fldChar w:fldCharType="separate"/>
      </w:r>
      <w:r>
        <w:t>57</w:t>
      </w:r>
      <w:r>
        <w:fldChar w:fldCharType="end"/>
      </w:r>
      <w:r>
        <w:rPr>
          <w:color w:val="auto"/>
          <w:szCs w:val="30"/>
          <w:highlight w:val="none"/>
        </w:rPr>
        <w:fldChar w:fldCharType="end"/>
      </w:r>
    </w:p>
    <w:p w14:paraId="11B35024">
      <w:pPr>
        <w:rPr>
          <w:color w:val="auto"/>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color w:val="auto"/>
          <w:szCs w:val="30"/>
          <w:highlight w:val="none"/>
        </w:rPr>
        <w:fldChar w:fldCharType="end"/>
      </w:r>
    </w:p>
    <w:p w14:paraId="7846A41E">
      <w:pPr>
        <w:pStyle w:val="3"/>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color w:val="auto"/>
          <w:sz w:val="36"/>
          <w:highlight w:val="none"/>
        </w:rPr>
      </w:pPr>
      <w:bookmarkStart w:id="0" w:name="_Toc13402"/>
      <w:bookmarkStart w:id="1" w:name="_Toc16522"/>
      <w:r>
        <w:rPr>
          <w:rFonts w:ascii="Times New Roman" w:hAnsi="Times New Roman" w:eastAsia="宋体" w:cs="Times New Roman"/>
          <w:b/>
          <w:bCs/>
          <w:color w:val="auto"/>
          <w:kern w:val="44"/>
          <w:sz w:val="36"/>
          <w:szCs w:val="44"/>
          <w:highlight w:val="none"/>
          <w:lang w:val="en-US" w:eastAsia="zh-CN" w:bidi="ar-SA"/>
        </w:rPr>
        <w:t>第一章</w:t>
      </w:r>
      <w:r>
        <w:rPr>
          <w:rFonts w:hint="eastAsia"/>
          <w:color w:val="auto"/>
          <w:sz w:val="36"/>
          <w:highlight w:val="none"/>
        </w:rPr>
        <w:t>　招标公告</w:t>
      </w:r>
      <w:bookmarkEnd w:id="0"/>
      <w:bookmarkEnd w:id="1"/>
    </w:p>
    <w:p w14:paraId="47E15B3F">
      <w:pPr>
        <w:pageBreakBefore w:val="0"/>
        <w:widowControl w:val="0"/>
        <w:kinsoku/>
        <w:wordWrap/>
        <w:overflowPunct/>
        <w:topLinePunct w:val="0"/>
        <w:autoSpaceDE/>
        <w:autoSpaceDN/>
        <w:bidi w:val="0"/>
        <w:spacing w:line="360" w:lineRule="auto"/>
        <w:ind w:firstLine="420" w:firstLineChars="200"/>
        <w:textAlignment w:val="auto"/>
        <w:rPr>
          <w:rFonts w:hint="eastAsia"/>
          <w:color w:val="auto"/>
          <w:highlight w:val="none"/>
        </w:rPr>
      </w:pPr>
      <w:r>
        <w:rPr>
          <w:rFonts w:hint="eastAsia"/>
          <w:color w:val="auto"/>
          <w:highlight w:val="none"/>
        </w:rPr>
        <w:t>根据法律法规等相关规定，本项目进行公开招标，欢迎国内合格的</w:t>
      </w:r>
      <w:r>
        <w:rPr>
          <w:rFonts w:hint="eastAsia" w:ascii="宋体" w:hAnsi="宋体" w:cs="宋体"/>
          <w:color w:val="auto"/>
          <w:highlight w:val="none"/>
        </w:rPr>
        <w:t>供应商</w:t>
      </w:r>
      <w:r>
        <w:rPr>
          <w:rFonts w:hint="eastAsia"/>
          <w:color w:val="auto"/>
          <w:highlight w:val="none"/>
        </w:rPr>
        <w:t>参加投标。</w:t>
      </w:r>
    </w:p>
    <w:p w14:paraId="6BA1AB8D">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宋体" w:hAnsi="宋体" w:cs="宋体"/>
          <w:b/>
          <w:bCs w:val="0"/>
          <w:color w:val="auto"/>
          <w:highlight w:val="none"/>
        </w:rPr>
      </w:pPr>
      <w:r>
        <w:rPr>
          <w:rFonts w:hint="eastAsia" w:ascii="宋体" w:hAnsi="宋体" w:cs="宋体"/>
          <w:b/>
          <w:bCs w:val="0"/>
          <w:color w:val="auto"/>
          <w:highlight w:val="none"/>
        </w:rPr>
        <w:t>采购编号：</w:t>
      </w:r>
      <w:r>
        <w:rPr>
          <w:rFonts w:hint="eastAsia" w:ascii="宋体" w:hAnsi="宋体" w:eastAsia="宋体" w:cs="宋体"/>
          <w:b/>
          <w:bCs/>
          <w:color w:val="3D4B64"/>
          <w:sz w:val="21"/>
          <w:szCs w:val="21"/>
          <w:highlight w:val="none"/>
          <w:shd w:val="clear" w:fill="FFFFFF"/>
        </w:rPr>
        <w:t>YWYGZC202512CG0085</w:t>
      </w:r>
      <w:r>
        <w:rPr>
          <w:rStyle w:val="107"/>
          <w:rFonts w:hint="eastAsia" w:ascii="宋体" w:hAnsi="宋体" w:eastAsia="宋体" w:cs="宋体"/>
          <w:b/>
          <w:bCs/>
          <w:color w:val="3D4B64"/>
          <w:sz w:val="21"/>
          <w:szCs w:val="21"/>
          <w:highlight w:val="none"/>
          <w:shd w:val="clear" w:fill="FFFFFF"/>
          <w:lang w:val="en-US" w:eastAsia="zh-CN"/>
        </w:rPr>
        <w:t xml:space="preserve"> </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YCQ-202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-CG</w:t>
      </w:r>
      <w:r>
        <w:rPr>
          <w:rFonts w:hint="eastAsia" w:ascii="宋体" w:hAnsi="宋体" w:eastAsia="宋体" w:cs="宋体"/>
          <w:b/>
          <w:bCs/>
          <w:color w:val="auto"/>
          <w:sz w:val="21"/>
          <w:szCs w:val="21"/>
          <w:highlight w:val="none"/>
          <w:lang w:val="en-US" w:eastAsia="zh-CN"/>
        </w:rPr>
        <w:t>317</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 xml:space="preserve">  </w:t>
      </w:r>
    </w:p>
    <w:p w14:paraId="1589C5D1">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eastAsia" w:ascii="宋体" w:hAnsi="宋体" w:cs="宋体"/>
          <w:b/>
          <w:bCs w:val="0"/>
          <w:color w:val="auto"/>
          <w:highlight w:val="none"/>
        </w:rPr>
        <w:t>采购内容及数量：</w:t>
      </w:r>
      <w:r>
        <w:rPr>
          <w:rFonts w:hint="eastAsia" w:ascii="宋体" w:hAnsi="宋体" w:eastAsia="宋体" w:cs="宋体"/>
          <w:color w:val="auto"/>
          <w:sz w:val="21"/>
          <w:szCs w:val="21"/>
          <w:highlight w:val="none"/>
          <w:lang w:val="en-US" w:eastAsia="zh-CN"/>
        </w:rPr>
        <w:t>浙江义环城市服务有限公司词林</w:t>
      </w:r>
      <w:r>
        <w:rPr>
          <w:rFonts w:hint="eastAsia" w:ascii="宋体" w:hAnsi="宋体" w:eastAsia="宋体" w:cs="宋体"/>
          <w:color w:val="auto"/>
          <w:sz w:val="21"/>
          <w:szCs w:val="21"/>
          <w:highlight w:val="none"/>
          <w:lang w:eastAsia="zh-CN"/>
        </w:rPr>
        <w:t>社区</w:t>
      </w:r>
      <w:r>
        <w:rPr>
          <w:rFonts w:hint="eastAsia" w:ascii="宋体" w:hAnsi="宋体" w:eastAsia="宋体" w:cs="宋体"/>
          <w:color w:val="auto"/>
          <w:sz w:val="21"/>
          <w:szCs w:val="21"/>
          <w:highlight w:val="none"/>
        </w:rPr>
        <w:t>清扫保洁市场化</w:t>
      </w:r>
      <w:r>
        <w:rPr>
          <w:rFonts w:hint="eastAsia" w:ascii="宋体" w:hAnsi="宋体" w:eastAsia="宋体" w:cs="宋体"/>
          <w:color w:val="auto"/>
          <w:sz w:val="21"/>
          <w:szCs w:val="21"/>
          <w:highlight w:val="none"/>
          <w:lang w:val="en-US" w:eastAsia="zh-CN"/>
        </w:rPr>
        <w:t>采购项目</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承包期：</w:t>
      </w:r>
      <w:r>
        <w:rPr>
          <w:rFonts w:hint="eastAsia" w:hAnsi="宋体" w:eastAsia="宋体" w:cs="宋体"/>
          <w:bCs/>
          <w:color w:val="auto"/>
          <w:sz w:val="21"/>
          <w:szCs w:val="21"/>
          <w:highlight w:val="none"/>
          <w:lang w:val="en-US" w:eastAsia="zh-CN"/>
        </w:rPr>
        <w:t>十一个月十四天</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具体详见第三章招标项目要求。</w:t>
      </w:r>
    </w:p>
    <w:p w14:paraId="7223C838">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eastAsia" w:hAnsi="宋体" w:eastAsia="宋体" w:cs="宋体"/>
          <w:b/>
          <w:bCs w:val="0"/>
          <w:color w:val="auto"/>
          <w:sz w:val="21"/>
          <w:szCs w:val="21"/>
          <w:highlight w:val="none"/>
          <w:lang w:val="en-US" w:eastAsia="zh-CN"/>
        </w:rPr>
        <w:t>十一个月十四天</w:t>
      </w:r>
      <w:r>
        <w:rPr>
          <w:rFonts w:hint="eastAsia" w:ascii="宋体" w:hAnsi="宋体" w:eastAsia="宋体" w:cs="宋体"/>
          <w:b/>
          <w:bCs w:val="0"/>
          <w:color w:val="auto"/>
          <w:sz w:val="21"/>
          <w:szCs w:val="21"/>
          <w:highlight w:val="none"/>
        </w:rPr>
        <w:t>采购</w:t>
      </w:r>
      <w:r>
        <w:rPr>
          <w:rFonts w:hint="eastAsia" w:ascii="宋体" w:hAnsi="宋体" w:eastAsia="宋体" w:cs="宋体"/>
          <w:b/>
          <w:bCs/>
          <w:color w:val="auto"/>
          <w:sz w:val="21"/>
          <w:szCs w:val="21"/>
          <w:highlight w:val="none"/>
        </w:rPr>
        <w:t>预算及最高限价：</w:t>
      </w:r>
      <w:r>
        <w:rPr>
          <w:rFonts w:hint="eastAsia" w:ascii="宋体" w:hAnsi="宋体" w:cs="宋体"/>
          <w:b w:val="0"/>
          <w:bCs w:val="0"/>
          <w:color w:val="auto"/>
          <w:sz w:val="21"/>
          <w:szCs w:val="21"/>
          <w:highlight w:val="none"/>
          <w:u w:val="single"/>
          <w:lang w:val="en-US" w:eastAsia="zh-CN"/>
        </w:rPr>
        <w:t>2545623.42</w:t>
      </w:r>
      <w:r>
        <w:rPr>
          <w:rFonts w:hint="eastAsia" w:ascii="宋体" w:hAnsi="宋体" w:eastAsia="宋体" w:cs="宋体"/>
          <w:b/>
          <w:bCs/>
          <w:color w:val="auto"/>
          <w:sz w:val="21"/>
          <w:szCs w:val="21"/>
          <w:highlight w:val="none"/>
        </w:rPr>
        <w:t>元</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超过预算及最高限价的报价均为无效标</w:t>
      </w:r>
      <w:r>
        <w:rPr>
          <w:rFonts w:hint="eastAsia" w:ascii="宋体" w:hAnsi="宋体" w:eastAsia="宋体" w:cs="宋体"/>
          <w:bCs/>
          <w:color w:val="auto"/>
          <w:highlight w:val="none"/>
          <w:lang w:eastAsia="zh-CN"/>
        </w:rPr>
        <w:t>。</w:t>
      </w:r>
    </w:p>
    <w:p w14:paraId="568BF519">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eastAsia" w:hAnsi="宋体"/>
          <w:b/>
          <w:bCs w:val="0"/>
          <w:color w:val="auto"/>
          <w:highlight w:val="none"/>
          <w:lang w:val="zh-CN"/>
        </w:rPr>
        <w:t>投标人的资格要求</w:t>
      </w:r>
      <w:r>
        <w:rPr>
          <w:rFonts w:hint="eastAsia" w:hAnsi="宋体"/>
          <w:b/>
          <w:bCs w:val="0"/>
          <w:color w:val="auto"/>
          <w:highlight w:val="none"/>
        </w:rPr>
        <w:t>：</w:t>
      </w:r>
    </w:p>
    <w:p w14:paraId="00FFFE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en-US" w:eastAsia="zh-CN"/>
        </w:rPr>
        <w:t>1）</w:t>
      </w:r>
      <w:r>
        <w:rPr>
          <w:rFonts w:hint="eastAsia" w:ascii="Times New Roman" w:hAnsi="宋体" w:eastAsia="宋体" w:cs="Times New Roman"/>
          <w:b w:val="0"/>
          <w:bCs/>
          <w:color w:val="auto"/>
          <w:highlight w:val="none"/>
          <w:lang w:val="zh-CN"/>
        </w:rPr>
        <w:t>具有独立承担民事责任的能力；具有良好的商业信誉和健全的财务会计制度；具有履行合同所必需的设备和专业技术能力；有依法缴纳税收和社会保障资金的良好记录。 参加采购活动前三年内，在经营活动中没有重大违法记录。</w:t>
      </w:r>
    </w:p>
    <w:p w14:paraId="063324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en-US" w:eastAsia="zh-CN"/>
        </w:rPr>
        <w:t>2）</w:t>
      </w:r>
      <w:r>
        <w:rPr>
          <w:rFonts w:hint="eastAsia" w:ascii="Times New Roman" w:hAnsi="宋体" w:eastAsia="宋体" w:cs="Times New Roman"/>
          <w:b w:val="0"/>
          <w:bCs/>
          <w:color w:val="auto"/>
          <w:highlight w:val="none"/>
          <w:lang w:val="zh-CN"/>
        </w:rPr>
        <w:t>信用要求：①未被“信用中国”网站（</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"https://www.creditchina.gov.cn"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www.creditchina.gov.cn</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）列入严重失信主体名单；②投标人或法定代表人自2022年1月1日以来在中国裁判文书网（</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"https：//wenshu.court.gov.cn/"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https：//we</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 xml:space="preserve"> </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"https：//wenshu.court.gov.cn/"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nshu.court.gov.cn/</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）上没有行贿犯罪记录情况（以行贿罪判决为准）；</w:t>
      </w:r>
    </w:p>
    <w:p w14:paraId="2A3A6FDA">
      <w:pPr>
        <w:pStyle w:val="18"/>
        <w:pageBreakBefore w:val="0"/>
        <w:widowControl w:val="0"/>
        <w:kinsoku/>
        <w:wordWrap/>
        <w:overflowPunct/>
        <w:topLinePunct w:val="0"/>
        <w:autoSpaceDE/>
        <w:autoSpaceDN/>
        <w:bidi w:val="0"/>
        <w:adjustRightInd/>
        <w:snapToGrid/>
        <w:spacing w:line="440" w:lineRule="exact"/>
        <w:ind w:firstLine="426"/>
        <w:textAlignment w:val="auto"/>
        <w:rPr>
          <w:rFonts w:hint="eastAsia" w:ascii="宋体" w:hAnsi="宋体" w:eastAsia="宋体" w:cs="宋体"/>
          <w:color w:val="auto"/>
          <w:sz w:val="21"/>
          <w:szCs w:val="21"/>
          <w:highlight w:val="none"/>
          <w:lang w:eastAsia="zh-CN"/>
        </w:rPr>
      </w:pPr>
      <w:r>
        <w:rPr>
          <w:rFonts w:hint="eastAsia" w:ascii="Times New Roman" w:hAnsi="宋体" w:eastAsia="宋体" w:cs="Times New Roman"/>
          <w:b w:val="0"/>
          <w:bCs/>
          <w:color w:val="auto"/>
          <w:highlight w:val="none"/>
          <w:lang w:val="zh-CN" w:eastAsia="zh-CN"/>
        </w:rPr>
        <w:t>（</w:t>
      </w:r>
      <w:r>
        <w:rPr>
          <w:rFonts w:hint="eastAsia" w:ascii="Times New Roman" w:hAnsi="宋体" w:cs="Times New Roman"/>
          <w:b w:val="0"/>
          <w:bCs/>
          <w:color w:val="auto"/>
          <w:highlight w:val="none"/>
          <w:lang w:val="en-US" w:eastAsia="zh-CN"/>
        </w:rPr>
        <w:t>3</w:t>
      </w:r>
      <w:r>
        <w:rPr>
          <w:rFonts w:hint="eastAsia" w:ascii="Times New Roman" w:hAnsi="宋体" w:eastAsia="宋体" w:cs="Times New Roman"/>
          <w:b w:val="0"/>
          <w:bCs/>
          <w:color w:val="auto"/>
          <w:highlight w:val="none"/>
          <w:lang w:val="en-US" w:eastAsia="zh-CN"/>
        </w:rPr>
        <w:t>）</w:t>
      </w:r>
      <w:r>
        <w:rPr>
          <w:rFonts w:hint="eastAsia" w:ascii="宋体" w:hAnsi="宋体" w:eastAsia="宋体" w:cs="宋体"/>
          <w:color w:val="auto"/>
          <w:sz w:val="21"/>
          <w:szCs w:val="21"/>
          <w:highlight w:val="none"/>
          <w:lang w:eastAsia="zh-CN"/>
        </w:rPr>
        <w:t>国内具有独立企业法人资格，具有道路清扫保洁</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eastAsia="zh-CN"/>
        </w:rPr>
        <w:t>生活垃圾经营性收集、运输经营范围；</w:t>
      </w:r>
    </w:p>
    <w:p w14:paraId="3543F773">
      <w:pPr>
        <w:pStyle w:val="18"/>
        <w:pageBreakBefore w:val="0"/>
        <w:widowControl w:val="0"/>
        <w:kinsoku/>
        <w:wordWrap/>
        <w:overflowPunct/>
        <w:topLinePunct w:val="0"/>
        <w:autoSpaceDE/>
        <w:autoSpaceDN/>
        <w:bidi w:val="0"/>
        <w:adjustRightInd/>
        <w:snapToGrid/>
        <w:spacing w:line="440" w:lineRule="exact"/>
        <w:ind w:firstLine="426"/>
        <w:textAlignment w:val="auto"/>
        <w:rPr>
          <w:rFonts w:hint="eastAsia" w:ascii="宋体" w:hAnsi="宋体" w:eastAsia="宋体" w:cs="宋体"/>
          <w:color w:val="auto"/>
          <w:sz w:val="21"/>
          <w:szCs w:val="21"/>
          <w:highlight w:val="none"/>
          <w:lang w:eastAsia="zh-CN"/>
        </w:rPr>
      </w:pPr>
      <w:r>
        <w:rPr>
          <w:rFonts w:hint="eastAsia" w:ascii="Times New Roman" w:hAnsi="宋体" w:eastAsia="宋体" w:cs="Times New Roman"/>
          <w:b w:val="0"/>
          <w:bCs/>
          <w:color w:val="auto"/>
          <w:highlight w:val="none"/>
          <w:lang w:val="zh-CN" w:eastAsia="zh-CN"/>
        </w:rPr>
        <w:t>（</w:t>
      </w:r>
      <w:r>
        <w:rPr>
          <w:rFonts w:hint="eastAsia" w:ascii="Times New Roman" w:hAnsi="宋体" w:cs="Times New Roman"/>
          <w:b w:val="0"/>
          <w:bCs/>
          <w:color w:val="auto"/>
          <w:highlight w:val="none"/>
          <w:lang w:val="en-US" w:eastAsia="zh-CN"/>
        </w:rPr>
        <w:t>4</w:t>
      </w:r>
      <w:r>
        <w:rPr>
          <w:rFonts w:hint="eastAsia" w:ascii="Times New Roman" w:hAnsi="宋体" w:eastAsia="宋体" w:cs="Times New Roman"/>
          <w:b w:val="0"/>
          <w:bCs/>
          <w:color w:val="auto"/>
          <w:highlight w:val="none"/>
          <w:lang w:val="en-US" w:eastAsia="zh-CN"/>
        </w:rPr>
        <w:t>）</w:t>
      </w:r>
      <w:r>
        <w:rPr>
          <w:rFonts w:hint="eastAsia" w:ascii="宋体" w:hAnsi="宋体" w:eastAsia="宋体" w:cs="宋体"/>
          <w:color w:val="auto"/>
          <w:sz w:val="21"/>
          <w:szCs w:val="21"/>
          <w:highlight w:val="none"/>
          <w:lang w:eastAsia="zh-CN"/>
        </w:rPr>
        <w:t>具有合法的道路运输经营许可证；</w:t>
      </w:r>
    </w:p>
    <w:p w14:paraId="39D70AD4">
      <w:pPr>
        <w:pStyle w:val="18"/>
        <w:pageBreakBefore w:val="0"/>
        <w:widowControl w:val="0"/>
        <w:kinsoku/>
        <w:wordWrap/>
        <w:overflowPunct/>
        <w:topLinePunct w:val="0"/>
        <w:autoSpaceDE/>
        <w:autoSpaceDN/>
        <w:bidi w:val="0"/>
        <w:adjustRightInd/>
        <w:snapToGrid/>
        <w:spacing w:line="440" w:lineRule="exact"/>
        <w:ind w:firstLine="426"/>
        <w:textAlignment w:val="auto"/>
        <w:rPr>
          <w:rFonts w:hint="eastAsia" w:ascii="宋体" w:hAnsi="宋体" w:eastAsia="宋体" w:cs="宋体"/>
          <w:bCs/>
          <w:color w:val="auto"/>
          <w:sz w:val="21"/>
          <w:szCs w:val="21"/>
          <w:highlight w:val="none"/>
        </w:rPr>
      </w:pPr>
      <w:r>
        <w:rPr>
          <w:rFonts w:hint="eastAsia" w:ascii="Times New Roman" w:hAnsi="宋体" w:eastAsia="宋体" w:cs="Times New Roman"/>
          <w:b w:val="0"/>
          <w:bCs/>
          <w:color w:val="auto"/>
          <w:highlight w:val="none"/>
          <w:lang w:val="zh-CN" w:eastAsia="zh-CN"/>
        </w:rPr>
        <w:t>（</w:t>
      </w:r>
      <w:r>
        <w:rPr>
          <w:rFonts w:hint="eastAsia" w:ascii="Times New Roman" w:hAnsi="宋体" w:cs="Times New Roman"/>
          <w:b w:val="0"/>
          <w:bCs/>
          <w:color w:val="auto"/>
          <w:highlight w:val="none"/>
          <w:lang w:val="en-US" w:eastAsia="zh-CN"/>
        </w:rPr>
        <w:t>5</w:t>
      </w:r>
      <w:r>
        <w:rPr>
          <w:rFonts w:hint="eastAsia" w:ascii="Times New Roman" w:hAnsi="宋体" w:eastAsia="宋体" w:cs="Times New Roman"/>
          <w:b w:val="0"/>
          <w:bCs/>
          <w:color w:val="auto"/>
          <w:highlight w:val="none"/>
          <w:lang w:val="en-US" w:eastAsia="zh-CN"/>
        </w:rPr>
        <w:t>）</w:t>
      </w:r>
      <w:r>
        <w:rPr>
          <w:rFonts w:hint="eastAsia" w:ascii="宋体" w:hAnsi="宋体" w:eastAsia="宋体" w:cs="宋体"/>
          <w:color w:val="auto"/>
          <w:sz w:val="21"/>
          <w:szCs w:val="21"/>
          <w:highlight w:val="none"/>
        </w:rPr>
        <w:t>拥有</w:t>
      </w:r>
      <w:r>
        <w:rPr>
          <w:rFonts w:hint="eastAsia" w:ascii="宋体" w:hAnsi="宋体" w:eastAsia="宋体" w:cs="宋体"/>
          <w:b/>
          <w:bCs/>
          <w:color w:val="auto"/>
          <w:sz w:val="21"/>
          <w:szCs w:val="21"/>
          <w:highlight w:val="none"/>
          <w:lang w:val="en-US" w:eastAsia="zh-CN"/>
        </w:rPr>
        <w:t>2辆荷载≥0.5吨小型垃圾收集车、1辆核载≥3吨洒水车</w:t>
      </w:r>
      <w:r>
        <w:rPr>
          <w:rFonts w:hint="eastAsia" w:ascii="宋体" w:hAnsi="宋体" w:eastAsia="宋体" w:cs="宋体"/>
          <w:b/>
          <w:bCs/>
          <w:color w:val="auto"/>
          <w:sz w:val="21"/>
          <w:szCs w:val="21"/>
          <w:highlight w:val="none"/>
          <w:lang w:eastAsia="zh-CN"/>
        </w:rPr>
        <w:t>及</w:t>
      </w:r>
      <w:r>
        <w:rPr>
          <w:rFonts w:hint="eastAsia" w:ascii="宋体" w:hAnsi="宋体" w:eastAsia="宋体" w:cs="宋体"/>
          <w:b/>
          <w:bCs/>
          <w:color w:val="auto"/>
          <w:sz w:val="21"/>
          <w:szCs w:val="21"/>
          <w:highlight w:val="none"/>
          <w:lang w:val="en-US" w:eastAsia="zh-CN"/>
        </w:rPr>
        <w:t>1辆小型高压冲洗车</w:t>
      </w:r>
      <w:r>
        <w:rPr>
          <w:rFonts w:hint="eastAsia" w:ascii="宋体" w:hAnsi="宋体" w:eastAsia="宋体" w:cs="宋体"/>
          <w:b/>
          <w:bCs/>
          <w:color w:val="auto"/>
          <w:sz w:val="21"/>
          <w:szCs w:val="21"/>
          <w:highlight w:val="none"/>
        </w:rPr>
        <w:t>的企业（所有车辆需在投标人公司名下，需提供</w:t>
      </w:r>
      <w:r>
        <w:rPr>
          <w:rFonts w:hint="eastAsia" w:ascii="宋体" w:hAnsi="宋体" w:eastAsia="宋体" w:cs="宋体"/>
          <w:b/>
          <w:bCs/>
          <w:color w:val="auto"/>
          <w:sz w:val="21"/>
          <w:szCs w:val="21"/>
          <w:highlight w:val="none"/>
          <w:lang w:val="en-US" w:eastAsia="zh-CN"/>
        </w:rPr>
        <w:t>所有车辆行驶证有效期内</w:t>
      </w:r>
      <w:r>
        <w:rPr>
          <w:rFonts w:hint="eastAsia" w:ascii="宋体" w:hAnsi="宋体" w:eastAsia="宋体" w:cs="宋体"/>
          <w:b/>
          <w:bCs/>
          <w:color w:val="auto"/>
          <w:sz w:val="21"/>
          <w:szCs w:val="21"/>
          <w:highlight w:val="none"/>
        </w:rPr>
        <w:t>的清晰照片）</w:t>
      </w:r>
      <w:r>
        <w:rPr>
          <w:rFonts w:hint="eastAsia" w:ascii="宋体" w:hAnsi="宋体" w:eastAsia="宋体" w:cs="宋体"/>
          <w:bCs/>
          <w:color w:val="auto"/>
          <w:sz w:val="21"/>
          <w:szCs w:val="21"/>
          <w:highlight w:val="none"/>
        </w:rPr>
        <w:t>；</w:t>
      </w:r>
    </w:p>
    <w:p w14:paraId="498F21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eastAsia="zh-CN"/>
        </w:rPr>
      </w:pPr>
      <w:r>
        <w:rPr>
          <w:rFonts w:hint="eastAsia" w:ascii="Times New Roman" w:hAnsi="宋体" w:eastAsia="宋体" w:cs="Times New Roman"/>
          <w:b w:val="0"/>
          <w:bCs/>
          <w:color w:val="auto"/>
          <w:highlight w:val="none"/>
          <w:lang w:val="zh-CN" w:eastAsia="zh-CN"/>
        </w:rPr>
        <w:t>（</w:t>
      </w:r>
      <w:r>
        <w:rPr>
          <w:rFonts w:hint="eastAsia" w:ascii="Times New Roman" w:hAnsi="宋体" w:cs="Times New Roman"/>
          <w:b w:val="0"/>
          <w:bCs/>
          <w:color w:val="auto"/>
          <w:highlight w:val="none"/>
          <w:lang w:val="en-US" w:eastAsia="zh-CN"/>
        </w:rPr>
        <w:t>6</w:t>
      </w:r>
      <w:r>
        <w:rPr>
          <w:rFonts w:hint="eastAsia" w:ascii="Times New Roman" w:hAnsi="宋体" w:eastAsia="宋体" w:cs="Times New Roman"/>
          <w:b w:val="0"/>
          <w:bCs/>
          <w:color w:val="auto"/>
          <w:highlight w:val="none"/>
          <w:lang w:val="en-US" w:eastAsia="zh-CN"/>
        </w:rPr>
        <w:t>）</w:t>
      </w:r>
      <w:r>
        <w:rPr>
          <w:rFonts w:hint="eastAsia" w:ascii="宋体" w:hAnsi="宋体" w:eastAsia="宋体" w:cs="宋体"/>
          <w:b/>
          <w:bCs/>
          <w:color w:val="auto"/>
          <w:sz w:val="21"/>
          <w:szCs w:val="21"/>
          <w:highlight w:val="none"/>
        </w:rPr>
        <w:t>投标人至少须有5名以本单位名义参投社会养老保险且在近3个月（近3个月指的是从202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0</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月01日至投标截止时止期间中任何一个连续3个月）正常缴费的</w:t>
      </w:r>
      <w:r>
        <w:rPr>
          <w:rFonts w:hint="eastAsia" w:ascii="宋体" w:hAnsi="宋体" w:eastAsia="宋体" w:cs="宋体"/>
          <w:b/>
          <w:bCs/>
          <w:color w:val="auto"/>
          <w:sz w:val="21"/>
          <w:szCs w:val="21"/>
          <w:highlight w:val="none"/>
          <w:lang w:val="en-US" w:eastAsia="zh-CN"/>
        </w:rPr>
        <w:t>一线</w:t>
      </w:r>
      <w:r>
        <w:rPr>
          <w:rFonts w:hint="eastAsia" w:ascii="宋体" w:hAnsi="宋体" w:eastAsia="宋体" w:cs="宋体"/>
          <w:b/>
          <w:bCs/>
          <w:color w:val="auto"/>
          <w:sz w:val="21"/>
          <w:szCs w:val="21"/>
          <w:highlight w:val="none"/>
        </w:rPr>
        <w:t>员工</w:t>
      </w:r>
      <w:r>
        <w:rPr>
          <w:rFonts w:hint="eastAsia" w:ascii="宋体" w:hAnsi="宋体" w:eastAsia="宋体" w:cs="宋体"/>
          <w:color w:val="auto"/>
          <w:sz w:val="21"/>
          <w:szCs w:val="21"/>
          <w:highlight w:val="none"/>
          <w:lang w:eastAsia="zh-CN"/>
        </w:rPr>
        <w:t>；</w:t>
      </w:r>
    </w:p>
    <w:p w14:paraId="096D0E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eastAsia="zh-CN"/>
        </w:rPr>
        <w:t>（</w:t>
      </w:r>
      <w:r>
        <w:rPr>
          <w:rFonts w:hint="eastAsia" w:hAnsi="宋体" w:cs="Times New Roman"/>
          <w:b w:val="0"/>
          <w:bCs/>
          <w:color w:val="auto"/>
          <w:highlight w:val="none"/>
          <w:lang w:val="en-US" w:eastAsia="zh-CN"/>
        </w:rPr>
        <w:t>7</w:t>
      </w:r>
      <w:r>
        <w:rPr>
          <w:rFonts w:hint="eastAsia" w:ascii="Times New Roman" w:hAnsi="宋体" w:eastAsia="宋体" w:cs="Times New Roman"/>
          <w:b w:val="0"/>
          <w:bCs/>
          <w:color w:val="auto"/>
          <w:highlight w:val="none"/>
          <w:lang w:val="en-US" w:eastAsia="zh-CN"/>
        </w:rPr>
        <w:t>）</w:t>
      </w:r>
      <w:r>
        <w:rPr>
          <w:rFonts w:hint="eastAsia" w:ascii="Times New Roman" w:hAnsi="宋体" w:eastAsia="宋体" w:cs="Times New Roman"/>
          <w:b w:val="0"/>
          <w:bCs/>
          <w:color w:val="auto"/>
          <w:highlight w:val="none"/>
          <w:lang w:val="zh-CN"/>
        </w:rPr>
        <w:t>本项目不得转包（如有转包，</w:t>
      </w:r>
      <w:r>
        <w:rPr>
          <w:rFonts w:hint="eastAsia" w:ascii="Times New Roman" w:hAnsi="宋体" w:eastAsia="宋体" w:cs="Times New Roman"/>
          <w:b w:val="0"/>
          <w:bCs/>
          <w:color w:val="auto"/>
          <w:highlight w:val="none"/>
          <w:lang w:val="en-US" w:eastAsia="zh-CN"/>
        </w:rPr>
        <w:t>解除</w:t>
      </w:r>
      <w:r>
        <w:rPr>
          <w:rFonts w:hint="eastAsia" w:ascii="Times New Roman" w:hAnsi="宋体" w:eastAsia="宋体" w:cs="Times New Roman"/>
          <w:b w:val="0"/>
          <w:bCs/>
          <w:color w:val="auto"/>
          <w:highlight w:val="none"/>
          <w:lang w:val="zh-CN"/>
        </w:rPr>
        <w:t>合同），不接受联合体投标。</w:t>
      </w:r>
    </w:p>
    <w:p w14:paraId="664E159F">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采购文件（即招标文件，下同）获取时间、地点及方式：</w:t>
      </w:r>
    </w:p>
    <w:p w14:paraId="19DD44B7">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①时间：公告发布时间起至投标截止时间止。</w:t>
      </w:r>
    </w:p>
    <w:p w14:paraId="1B057123">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②地点：义乌市阳光招标采购平台(www.ywygzc.com)、义乌产权交易网（www.ywcq.com）。</w:t>
      </w:r>
    </w:p>
    <w:p w14:paraId="7A83D2A4">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③方式：登录义乌市阳光招标采购平台账号获取或直接在招标公告下方获取。</w:t>
      </w:r>
    </w:p>
    <w:p w14:paraId="56CB0D06">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潜在供应商未在规定的期限内按照上述方式获取招标文件的，采购人、采购代理机构可以不予受理其所提出的对招标文件的质疑。</w:t>
      </w:r>
    </w:p>
    <w:p w14:paraId="118DFBDF">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宋体" w:hAnsi="宋体" w:cs="宋体"/>
          <w:color w:val="auto"/>
          <w:highlight w:val="none"/>
        </w:rPr>
      </w:pPr>
      <w:r>
        <w:rPr>
          <w:rFonts w:hint="eastAsia" w:ascii="Times New Roman" w:hAnsi="宋体" w:eastAsia="宋体" w:cs="Times New Roman"/>
          <w:b/>
          <w:bCs w:val="0"/>
          <w:color w:val="auto"/>
          <w:highlight w:val="none"/>
          <w:lang w:val="zh-CN"/>
        </w:rPr>
        <w:t>技术答疑：</w:t>
      </w:r>
      <w:r>
        <w:rPr>
          <w:rFonts w:hint="eastAsia" w:ascii="宋体" w:hAnsi="宋体" w:cs="宋体"/>
          <w:color w:val="auto"/>
          <w:highlight w:val="none"/>
        </w:rPr>
        <w:t>供应商认为采购文件使自己的权益受到损害的，请于投标截止时间</w:t>
      </w:r>
      <w:r>
        <w:rPr>
          <w:rFonts w:hint="eastAsia" w:ascii="宋体" w:hAnsi="宋体" w:cs="宋体"/>
          <w:color w:val="auto"/>
          <w:highlight w:val="none"/>
          <w:lang w:val="en-US" w:eastAsia="zh-CN"/>
        </w:rPr>
        <w:t>3</w:t>
      </w:r>
      <w:r>
        <w:rPr>
          <w:rFonts w:hint="eastAsia" w:ascii="宋体" w:hAnsi="宋体" w:cs="宋体"/>
          <w:color w:val="auto"/>
          <w:highlight w:val="none"/>
        </w:rPr>
        <w:t>日前以书面形式向采购人和采购代理机构提出质疑。质疑以书面方式分别提交至</w:t>
      </w:r>
      <w:r>
        <w:rPr>
          <w:rFonts w:hint="eastAsia" w:ascii="宋体" w:hAnsi="宋体" w:eastAsia="宋体" w:cs="宋体"/>
          <w:color w:val="auto"/>
          <w:highlight w:val="none"/>
          <w:lang w:val="en-US" w:eastAsia="zh-CN"/>
        </w:rPr>
        <w:t>浙江义环城市服务</w:t>
      </w:r>
      <w:r>
        <w:rPr>
          <w:rFonts w:hint="eastAsia" w:ascii="宋体" w:hAnsi="宋体" w:eastAsia="宋体" w:cs="宋体"/>
          <w:color w:val="auto"/>
          <w:highlight w:val="none"/>
        </w:rPr>
        <w:t>有限公司</w:t>
      </w:r>
      <w:r>
        <w:rPr>
          <w:rFonts w:hint="eastAsia" w:ascii="宋体" w:hAnsi="宋体" w:eastAsia="宋体" w:cs="宋体"/>
          <w:color w:val="auto"/>
          <w:highlight w:val="none"/>
          <w:lang w:eastAsia="zh-CN"/>
        </w:rPr>
        <w:t>：</w:t>
      </w:r>
      <w:r>
        <w:rPr>
          <w:rFonts w:hint="eastAsia" w:ascii="宋体" w:hAnsi="宋体" w:eastAsia="宋体" w:cs="宋体"/>
          <w:color w:val="auto"/>
          <w:sz w:val="21"/>
          <w:szCs w:val="21"/>
          <w:highlight w:val="none"/>
          <w:lang w:val="en-US" w:eastAsia="zh-CN"/>
        </w:rPr>
        <w:t>陈先生</w:t>
      </w:r>
      <w:r>
        <w:rPr>
          <w:rFonts w:hint="eastAsia" w:ascii="宋体" w:hAnsi="宋体" w:eastAsia="宋体" w:cs="宋体"/>
          <w:color w:val="auto"/>
          <w:sz w:val="21"/>
          <w:szCs w:val="21"/>
          <w:highlight w:val="none"/>
        </w:rPr>
        <w:t>（</w:t>
      </w:r>
      <w:r>
        <w:rPr>
          <w:rFonts w:hint="eastAsia" w:hAnsi="宋体"/>
          <w:color w:val="auto"/>
          <w:highlight w:val="none"/>
        </w:rPr>
        <w:t>0579-85414005</w:t>
      </w:r>
      <w:r>
        <w:rPr>
          <w:rFonts w:hint="eastAsia" w:ascii="宋体" w:hAnsi="宋体" w:eastAsia="宋体" w:cs="宋体"/>
          <w:color w:val="auto"/>
          <w:sz w:val="21"/>
          <w:szCs w:val="21"/>
          <w:highlight w:val="none"/>
        </w:rPr>
        <w:t>）</w:t>
      </w:r>
      <w:r>
        <w:rPr>
          <w:rFonts w:hint="eastAsia" w:ascii="宋体" w:hAnsi="宋体" w:cs="宋体"/>
          <w:color w:val="auto"/>
          <w:highlight w:val="none"/>
        </w:rPr>
        <w:t>和义乌产权交易所有限公司：王小姐（0579-89903039，ywcqztb001@ywcq.com），并致电采购代理机构确认。书面文件邮寄地址：义乌市北苑街道望道路300号405</w:t>
      </w:r>
      <w:r>
        <w:rPr>
          <w:rFonts w:hint="eastAsia" w:ascii="宋体" w:hAnsi="宋体" w:cs="宋体"/>
          <w:color w:val="auto"/>
          <w:highlight w:val="none"/>
          <w:lang w:val="en-US" w:eastAsia="zh-CN"/>
        </w:rPr>
        <w:t>5。</w:t>
      </w:r>
    </w:p>
    <w:p w14:paraId="777A04F6">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bookmarkStart w:id="2" w:name="_Toc4701"/>
      <w:r>
        <w:rPr>
          <w:rFonts w:hint="eastAsia" w:ascii="Times New Roman" w:hAnsi="宋体" w:eastAsia="宋体" w:cs="Times New Roman"/>
          <w:b/>
          <w:bCs w:val="0"/>
          <w:color w:val="auto"/>
          <w:highlight w:val="none"/>
          <w:lang w:val="zh-CN"/>
        </w:rPr>
        <w:t>投标截止时间及地点：</w:t>
      </w:r>
      <w:bookmarkEnd w:id="2"/>
    </w:p>
    <w:p w14:paraId="4EB945DB">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rPr>
        <w:t>提交投标文件截止时间：</w:t>
      </w:r>
      <w:r>
        <w:rPr>
          <w:rFonts w:hint="eastAsia" w:ascii="宋体" w:hAnsi="宋体" w:cs="宋体"/>
          <w:color w:val="auto"/>
          <w:highlight w:val="none"/>
          <w:lang w:val="en-US" w:eastAsia="zh-CN"/>
        </w:rPr>
        <w:t>2026</w:t>
      </w:r>
      <w:r>
        <w:rPr>
          <w:rFonts w:hint="eastAsia" w:ascii="宋体" w:hAnsi="宋体" w:cs="宋体"/>
          <w:color w:val="auto"/>
          <w:highlight w:val="none"/>
        </w:rPr>
        <w:t>年</w:t>
      </w:r>
      <w:r>
        <w:rPr>
          <w:rFonts w:hint="eastAsia" w:ascii="宋体" w:hAnsi="宋体" w:cs="宋体"/>
          <w:color w:val="auto"/>
          <w:highlight w:val="none"/>
          <w:lang w:val="en-US" w:eastAsia="zh-CN"/>
        </w:rPr>
        <w:t>1月13日09:00</w:t>
      </w:r>
      <w:r>
        <w:rPr>
          <w:rFonts w:hint="eastAsia" w:ascii="宋体" w:hAnsi="宋体" w:eastAsia="宋体" w:cs="宋体"/>
          <w:color w:val="auto"/>
          <w:highlight w:val="none"/>
        </w:rPr>
        <w:t>（北京时间）</w:t>
      </w:r>
    </w:p>
    <w:p w14:paraId="1B86A606">
      <w:pPr>
        <w:pageBreakBefore w:val="0"/>
        <w:widowControl w:val="0"/>
        <w:kinsoku/>
        <w:wordWrap/>
        <w:overflowPunct/>
        <w:topLinePunct w:val="0"/>
        <w:autoSpaceDE/>
        <w:autoSpaceDN/>
        <w:bidi w:val="0"/>
        <w:snapToGrid w:val="0"/>
        <w:spacing w:line="360" w:lineRule="auto"/>
        <w:ind w:firstLine="411" w:firstLineChars="196"/>
        <w:textAlignment w:val="auto"/>
        <w:rPr>
          <w:rFonts w:asci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2）</w:t>
      </w:r>
      <w:r>
        <w:rPr>
          <w:rFonts w:hint="eastAsia" w:ascii="宋体" w:hAnsi="宋体" w:cs="Courier New"/>
          <w:color w:val="auto"/>
          <w:highlight w:val="none"/>
        </w:rPr>
        <w:t>投标地点：</w:t>
      </w:r>
      <w:r>
        <w:rPr>
          <w:rFonts w:hint="eastAsia" w:ascii="宋体" w:hAnsi="宋体" w:cs="Courier New"/>
          <w:iCs/>
          <w:color w:val="auto"/>
          <w:highlight w:val="none"/>
        </w:rPr>
        <w:t>在谷歌或IE浏览器上，</w:t>
      </w:r>
      <w:r>
        <w:rPr>
          <w:rFonts w:hint="eastAsia" w:ascii="宋体" w:hAnsi="宋体" w:cs="Courier New"/>
          <w:color w:val="auto"/>
          <w:highlight w:val="none"/>
        </w:rPr>
        <w:t>用账号登录义乌市阳光招标采购平台（www.ywygzc.com），上传电子加密标书至“义乌市阳光招标采购平台”，逾期或未上传成功的将导致无法投标或投标无效。</w:t>
      </w:r>
    </w:p>
    <w:p w14:paraId="0E9383CE">
      <w:pPr>
        <w:pageBreakBefore w:val="0"/>
        <w:widowControl w:val="0"/>
        <w:kinsoku/>
        <w:wordWrap/>
        <w:overflowPunct/>
        <w:topLinePunct w:val="0"/>
        <w:autoSpaceDE/>
        <w:autoSpaceDN/>
        <w:bidi w:val="0"/>
        <w:snapToGrid w:val="0"/>
        <w:spacing w:line="360" w:lineRule="auto"/>
        <w:ind w:firstLine="411" w:firstLineChars="196"/>
        <w:textAlignment w:val="auto"/>
        <w:rPr>
          <w:rFonts w:asci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3）</w:t>
      </w:r>
      <w:r>
        <w:rPr>
          <w:rFonts w:hint="eastAsia" w:ascii="宋体" w:hAnsi="宋体" w:cs="Courier New"/>
          <w:color w:val="auto"/>
          <w:highlight w:val="none"/>
        </w:rPr>
        <w:t>开标时间：</w:t>
      </w:r>
      <w:r>
        <w:rPr>
          <w:rFonts w:hint="eastAsia" w:ascii="宋体" w:hAnsi="宋体" w:cs="宋体"/>
          <w:color w:val="auto"/>
          <w:highlight w:val="none"/>
          <w:lang w:val="en-US" w:eastAsia="zh-CN"/>
        </w:rPr>
        <w:t>2026</w:t>
      </w:r>
      <w:r>
        <w:rPr>
          <w:rFonts w:hint="eastAsia" w:ascii="宋体" w:hAnsi="宋体" w:cs="宋体"/>
          <w:color w:val="auto"/>
          <w:highlight w:val="none"/>
        </w:rPr>
        <w:t>年</w:t>
      </w:r>
      <w:r>
        <w:rPr>
          <w:rFonts w:hint="eastAsia" w:ascii="宋体" w:hAnsi="宋体" w:cs="宋体"/>
          <w:color w:val="auto"/>
          <w:highlight w:val="none"/>
          <w:lang w:val="en-US" w:eastAsia="zh-CN"/>
        </w:rPr>
        <w:t>1月13日09:00</w:t>
      </w:r>
    </w:p>
    <w:p w14:paraId="156F27B2">
      <w:pPr>
        <w:pageBreakBefore w:val="0"/>
        <w:widowControl w:val="0"/>
        <w:kinsoku/>
        <w:wordWrap/>
        <w:overflowPunct/>
        <w:topLinePunct w:val="0"/>
        <w:autoSpaceDE/>
        <w:autoSpaceDN/>
        <w:bidi w:val="0"/>
        <w:snapToGrid w:val="0"/>
        <w:spacing w:line="360" w:lineRule="auto"/>
        <w:ind w:firstLine="411" w:firstLineChars="196"/>
        <w:textAlignment w:val="auto"/>
        <w:rPr>
          <w:rFonts w:hint="eastAsia" w:ascii="宋体" w:hAns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4）</w:t>
      </w:r>
      <w:r>
        <w:rPr>
          <w:rFonts w:hint="eastAsia" w:ascii="宋体" w:hAnsi="宋体" w:cs="Courier New"/>
          <w:color w:val="auto"/>
          <w:highlight w:val="none"/>
        </w:rPr>
        <w:t>开标地点：“义乌市阳光招标采购平台”（www.ywygzc.com）</w:t>
      </w:r>
    </w:p>
    <w:p w14:paraId="637E6E77">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投标与开标注意事项：</w:t>
      </w:r>
    </w:p>
    <w:p w14:paraId="1EE8DD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①标前准备：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目前“义乌市阳光招标采购平台”仅支持天谷CA锁）】。因未注册入库、未办理CA数字证书等原因造成无法投标或投标失败等后果由供应商自行承担。</w:t>
      </w:r>
    </w:p>
    <w:p w14:paraId="6397F98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②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14:paraId="79D174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③投标文件上传：投标人应在投标截止时间（</w:t>
      </w:r>
      <w:r>
        <w:rPr>
          <w:rFonts w:hint="eastAsia" w:ascii="宋体" w:hAnsi="宋体" w:cs="宋体"/>
          <w:color w:val="auto"/>
          <w:highlight w:val="none"/>
          <w:lang w:val="en-US" w:eastAsia="zh-CN"/>
        </w:rPr>
        <w:t>2026</w:t>
      </w:r>
      <w:r>
        <w:rPr>
          <w:rFonts w:hint="eastAsia" w:ascii="宋体" w:hAnsi="宋体" w:cs="宋体"/>
          <w:color w:val="auto"/>
          <w:highlight w:val="none"/>
        </w:rPr>
        <w:t>年</w:t>
      </w:r>
      <w:r>
        <w:rPr>
          <w:rFonts w:hint="eastAsia" w:ascii="宋体" w:hAnsi="宋体" w:cs="宋体"/>
          <w:color w:val="auto"/>
          <w:highlight w:val="none"/>
          <w:lang w:val="en-US" w:eastAsia="zh-CN"/>
        </w:rPr>
        <w:t>1月13日09:00</w:t>
      </w:r>
      <w:r>
        <w:rPr>
          <w:rFonts w:hint="eastAsia" w:ascii="Times New Roman" w:hAnsi="宋体" w:eastAsia="宋体" w:cs="Times New Roman"/>
          <w:b w:val="0"/>
          <w:bCs/>
          <w:color w:val="auto"/>
          <w:highlight w:val="none"/>
          <w:lang w:val="zh-CN"/>
        </w:rPr>
        <w:t>）之前上传投标文件。</w:t>
      </w:r>
    </w:p>
    <w:p w14:paraId="16E1AB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④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72FBE8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60CE71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（1）该电脑未安装CA驱动，无法读取CA锁——重新下载安装驱动</w:t>
      </w:r>
      <w:r>
        <w:rPr>
          <w:rFonts w:hint="eastAsia" w:hAnsi="宋体" w:cs="Times New Roman"/>
          <w:b w:val="0"/>
          <w:bCs/>
          <w:color w:val="auto"/>
          <w:highlight w:val="none"/>
          <w:lang w:val="en-US" w:eastAsia="zh-CN"/>
        </w:rPr>
        <w:t>；</w:t>
      </w:r>
    </w:p>
    <w:p w14:paraId="1C080B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（2）电脑长时间未关机应用程序未响应，导致无法读取CA锁——重启电脑或重新安装驱动</w:t>
      </w:r>
      <w:r>
        <w:rPr>
          <w:rFonts w:hint="eastAsia" w:hAnsi="宋体" w:cs="Times New Roman"/>
          <w:b w:val="0"/>
          <w:bCs/>
          <w:color w:val="auto"/>
          <w:highlight w:val="none"/>
          <w:lang w:val="en-US" w:eastAsia="zh-CN"/>
        </w:rPr>
        <w:t>；</w:t>
      </w:r>
    </w:p>
    <w:p w14:paraId="70E842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（3）浏览器版本过低导致无法识别——更换Egde、谷歌浏览器</w:t>
      </w:r>
      <w:r>
        <w:rPr>
          <w:rFonts w:hint="eastAsia" w:hAnsi="宋体" w:cs="Times New Roman"/>
          <w:b w:val="0"/>
          <w:bCs/>
          <w:color w:val="auto"/>
          <w:highlight w:val="none"/>
          <w:lang w:val="en-US" w:eastAsia="zh-CN"/>
        </w:rPr>
        <w:t>；</w:t>
      </w:r>
    </w:p>
    <w:p w14:paraId="241555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（4）密码多次输入错误导致无法解密——打开CA工具进行检测密码是否正确</w:t>
      </w:r>
      <w:r>
        <w:rPr>
          <w:rFonts w:hint="eastAsia" w:hAnsi="宋体" w:cs="Times New Roman"/>
          <w:b w:val="0"/>
          <w:bCs/>
          <w:color w:val="auto"/>
          <w:highlight w:val="none"/>
          <w:lang w:val="en-US" w:eastAsia="zh-CN"/>
        </w:rPr>
        <w:t>；</w:t>
      </w:r>
    </w:p>
    <w:p w14:paraId="0388AC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（5）因杀毒软件检测导致无法识别CA锁——关闭杀毒软件</w:t>
      </w:r>
      <w:r>
        <w:rPr>
          <w:rFonts w:hint="eastAsia" w:hAnsi="宋体" w:cs="Times New Roman"/>
          <w:b w:val="0"/>
          <w:bCs/>
          <w:color w:val="auto"/>
          <w:highlight w:val="none"/>
          <w:lang w:val="en-US" w:eastAsia="zh-CN"/>
        </w:rPr>
        <w:t>；</w:t>
      </w:r>
    </w:p>
    <w:p w14:paraId="463EAF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（6）因系统安装多版本驱动导致无法识别CA锁——卸载其他驱动或更换其他电脑安装驱动。</w:t>
      </w:r>
    </w:p>
    <w:p w14:paraId="1608AF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⑤参与在线投标时如遇平台技术问题详询：0579-89920081，电子投标制作问题详询：</w:t>
      </w:r>
      <w:r>
        <w:rPr>
          <w:rFonts w:hint="eastAsia" w:hAnsi="宋体" w:cs="Times New Roman"/>
          <w:b w:val="0"/>
          <w:bCs/>
          <w:color w:val="auto"/>
          <w:highlight w:val="none"/>
          <w:lang w:val="en-US" w:eastAsia="zh-CN"/>
        </w:rPr>
        <w:t>吴先生</w:t>
      </w:r>
      <w:r>
        <w:rPr>
          <w:rFonts w:hint="eastAsia" w:ascii="Times New Roman" w:hAnsi="宋体" w:eastAsia="宋体" w:cs="Times New Roman"/>
          <w:b w:val="0"/>
          <w:bCs/>
          <w:color w:val="auto"/>
          <w:highlight w:val="none"/>
          <w:lang w:val="zh-CN"/>
        </w:rPr>
        <w:t>0579－899</w:t>
      </w:r>
      <w:r>
        <w:rPr>
          <w:rFonts w:hint="eastAsia" w:hAnsi="宋体" w:cs="Times New Roman"/>
          <w:b w:val="0"/>
          <w:bCs/>
          <w:color w:val="auto"/>
          <w:highlight w:val="none"/>
          <w:lang w:val="en-US" w:eastAsia="zh-CN"/>
        </w:rPr>
        <w:t>06383</w:t>
      </w:r>
      <w:r>
        <w:rPr>
          <w:rFonts w:hint="eastAsia" w:ascii="Times New Roman" w:hAnsi="宋体" w:eastAsia="宋体" w:cs="Times New Roman"/>
          <w:b w:val="0"/>
          <w:bCs/>
          <w:color w:val="auto"/>
          <w:highlight w:val="none"/>
          <w:lang w:val="zh-CN"/>
        </w:rPr>
        <w:t>。</w:t>
      </w:r>
    </w:p>
    <w:p w14:paraId="44BCA32D">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投标保证金：无</w:t>
      </w:r>
    </w:p>
    <w:p w14:paraId="64D0CDD9">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业务咨询：</w:t>
      </w:r>
    </w:p>
    <w:p w14:paraId="6FF05780">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eastAsia" w:ascii="宋体" w:hAnsi="宋体" w:cs="Times New Roman"/>
          <w:color w:val="auto"/>
          <w:highlight w:val="none"/>
          <w:lang w:eastAsia="zh-CN"/>
        </w:rPr>
      </w:pPr>
      <w:r>
        <w:rPr>
          <w:rFonts w:hint="eastAsia" w:hAnsi="宋体"/>
          <w:b w:val="0"/>
          <w:bCs w:val="0"/>
          <w:color w:val="auto"/>
          <w:highlight w:val="none"/>
          <w:lang w:val="en-US" w:eastAsia="zh-CN"/>
        </w:rPr>
        <w:t>浙江义环城市服务有限公司：</w:t>
      </w:r>
      <w:r>
        <w:rPr>
          <w:rFonts w:hint="eastAsia" w:hAnsi="宋体"/>
          <w:color w:val="auto"/>
          <w:highlight w:val="none"/>
          <w:lang w:val="en-US" w:eastAsia="zh-CN"/>
        </w:rPr>
        <w:t>陈</w:t>
      </w:r>
      <w:r>
        <w:rPr>
          <w:rFonts w:hint="eastAsia" w:hAnsi="宋体"/>
          <w:color w:val="auto"/>
          <w:highlight w:val="none"/>
        </w:rPr>
        <w:t>先生</w:t>
      </w:r>
      <w:r>
        <w:rPr>
          <w:rFonts w:hint="eastAsia" w:hAnsi="宋体"/>
          <w:color w:val="auto"/>
          <w:highlight w:val="none"/>
          <w:lang w:val="en-US" w:eastAsia="zh-CN"/>
        </w:rPr>
        <w:t xml:space="preserve">  </w:t>
      </w:r>
      <w:r>
        <w:rPr>
          <w:rFonts w:hint="eastAsia" w:hAnsi="宋体"/>
          <w:color w:val="auto"/>
          <w:highlight w:val="none"/>
        </w:rPr>
        <w:t>0579-85414005</w:t>
      </w:r>
    </w:p>
    <w:p w14:paraId="229B0C11">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default" w:ascii="宋体" w:hAnsi="宋体" w:cs="宋体"/>
          <w:color w:val="auto"/>
          <w:szCs w:val="21"/>
          <w:highlight w:val="none"/>
          <w:lang w:val="en-US"/>
        </w:rPr>
      </w:pPr>
      <w:r>
        <w:rPr>
          <w:rFonts w:hint="eastAsia" w:hAnsi="宋体"/>
          <w:color w:val="auto"/>
          <w:highlight w:val="none"/>
        </w:rPr>
        <w:t>义乌产权交易所有限公司</w:t>
      </w:r>
      <w:r>
        <w:rPr>
          <w:rFonts w:hint="eastAsia" w:hAnsi="宋体"/>
          <w:color w:val="auto"/>
          <w:highlight w:val="none"/>
          <w:lang w:eastAsia="zh-CN"/>
        </w:rPr>
        <w:t>：</w:t>
      </w:r>
      <w:r>
        <w:rPr>
          <w:rFonts w:hint="eastAsia" w:hAnsi="宋体"/>
          <w:color w:val="auto"/>
          <w:highlight w:val="none"/>
          <w:lang w:val="en-US" w:eastAsia="zh-CN"/>
        </w:rPr>
        <w:t xml:space="preserve">吴先生 </w:t>
      </w:r>
      <w:r>
        <w:rPr>
          <w:rFonts w:hint="eastAsia" w:ascii="宋体" w:hAnsi="宋体" w:cs="宋体"/>
          <w:color w:val="auto"/>
          <w:szCs w:val="21"/>
          <w:highlight w:val="none"/>
        </w:rPr>
        <w:t xml:space="preserve">  0579-</w:t>
      </w:r>
      <w:r>
        <w:rPr>
          <w:rFonts w:hint="eastAsia" w:ascii="宋体" w:hAnsi="宋体" w:cs="Times New Roman"/>
          <w:color w:val="auto"/>
          <w:highlight w:val="none"/>
          <w:lang w:val="en-US" w:eastAsia="zh-CN"/>
        </w:rPr>
        <w:t xml:space="preserve">89906383 </w:t>
      </w:r>
    </w:p>
    <w:p w14:paraId="678118D7">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eastAsia" w:ascii="宋体" w:hAnsi="宋体" w:cs="宋体"/>
          <w:color w:val="auto"/>
          <w:szCs w:val="21"/>
          <w:highlight w:val="none"/>
        </w:rPr>
      </w:pPr>
    </w:p>
    <w:p w14:paraId="2BC31227">
      <w:pPr>
        <w:pStyle w:val="36"/>
        <w:rPr>
          <w:rFonts w:hint="eastAsia"/>
          <w:color w:val="auto"/>
          <w:highlight w:val="none"/>
        </w:rPr>
      </w:pPr>
    </w:p>
    <w:p w14:paraId="2B05D9C1">
      <w:pPr>
        <w:pStyle w:val="18"/>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int="eastAsia" w:ascii="宋体" w:hAnsi="宋体" w:cs="Times New Roman"/>
          <w:color w:val="auto"/>
          <w:highlight w:val="none"/>
          <w:lang w:eastAsia="zh-CN"/>
        </w:rPr>
      </w:pPr>
      <w:r>
        <w:rPr>
          <w:rFonts w:hint="eastAsia" w:hAnsi="宋体"/>
          <w:color w:val="auto"/>
          <w:highlight w:val="none"/>
          <w:lang w:val="en-US" w:eastAsia="zh-CN"/>
        </w:rPr>
        <w:t>浙江义环城市服务</w:t>
      </w:r>
      <w:r>
        <w:rPr>
          <w:rFonts w:hint="eastAsia" w:hAnsi="宋体"/>
          <w:color w:val="auto"/>
          <w:highlight w:val="none"/>
        </w:rPr>
        <w:t>有限公司</w:t>
      </w:r>
    </w:p>
    <w:p w14:paraId="324161F9">
      <w:pPr>
        <w:pStyle w:val="18"/>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Ansi="宋体"/>
          <w:color w:val="auto"/>
          <w:highlight w:val="none"/>
        </w:rPr>
      </w:pPr>
      <w:r>
        <w:rPr>
          <w:rFonts w:hint="eastAsia" w:hAnsi="宋体"/>
          <w:color w:val="auto"/>
          <w:highlight w:val="none"/>
        </w:rPr>
        <w:t>义乌产权交易所有限公司</w:t>
      </w:r>
    </w:p>
    <w:p w14:paraId="37648C82">
      <w:pPr>
        <w:pStyle w:val="18"/>
        <w:keepNext w:val="0"/>
        <w:keepLines w:val="0"/>
        <w:pageBreakBefore w:val="0"/>
        <w:widowControl w:val="0"/>
        <w:kinsoku/>
        <w:wordWrap/>
        <w:overflowPunct/>
        <w:topLinePunct w:val="0"/>
        <w:autoSpaceDE/>
        <w:autoSpaceDN/>
        <w:bidi w:val="0"/>
        <w:adjustRightInd w:val="0"/>
        <w:snapToGrid w:val="0"/>
        <w:spacing w:line="420" w:lineRule="exact"/>
        <w:jc w:val="right"/>
        <w:textAlignment w:val="auto"/>
        <w:rPr>
          <w:rFonts w:hint="eastAsia" w:hAnsi="宋体"/>
          <w:color w:val="auto"/>
          <w:sz w:val="24"/>
          <w:highlight w:val="none"/>
        </w:rPr>
      </w:pPr>
      <w:r>
        <w:rPr>
          <w:rFonts w:hint="eastAsia" w:hAnsi="宋体"/>
          <w:color w:val="auto"/>
          <w:highlight w:val="none"/>
        </w:rPr>
        <w:t>202</w:t>
      </w:r>
      <w:r>
        <w:rPr>
          <w:rFonts w:hint="eastAsia" w:hAnsi="宋体"/>
          <w:color w:val="auto"/>
          <w:highlight w:val="none"/>
          <w:lang w:val="en-US" w:eastAsia="zh-CN"/>
        </w:rPr>
        <w:t>5</w:t>
      </w:r>
      <w:r>
        <w:rPr>
          <w:rFonts w:hint="eastAsia" w:hAnsi="宋体"/>
          <w:color w:val="auto"/>
          <w:highlight w:val="none"/>
        </w:rPr>
        <w:t>年</w:t>
      </w:r>
      <w:r>
        <w:rPr>
          <w:rFonts w:hint="eastAsia" w:hAnsi="宋体"/>
          <w:color w:val="auto"/>
          <w:highlight w:val="none"/>
          <w:lang w:val="en-US" w:eastAsia="zh-CN"/>
        </w:rPr>
        <w:t>12</w:t>
      </w:r>
      <w:r>
        <w:rPr>
          <w:rFonts w:hint="eastAsia" w:hAnsi="宋体"/>
          <w:color w:val="auto"/>
          <w:highlight w:val="none"/>
        </w:rPr>
        <w:t>月</w:t>
      </w:r>
      <w:r>
        <w:rPr>
          <w:rFonts w:hint="eastAsia" w:hAnsi="宋体"/>
          <w:color w:val="auto"/>
          <w:highlight w:val="none"/>
          <w:lang w:val="en-US" w:eastAsia="zh-CN"/>
        </w:rPr>
        <w:t>25</w:t>
      </w:r>
      <w:r>
        <w:rPr>
          <w:rFonts w:hint="eastAsia" w:hAnsi="宋体"/>
          <w:color w:val="auto"/>
          <w:highlight w:val="none"/>
        </w:rPr>
        <w:t>日</w:t>
      </w:r>
    </w:p>
    <w:p w14:paraId="133D1F79">
      <w:pPr>
        <w:pStyle w:val="18"/>
        <w:adjustRightInd w:val="0"/>
        <w:snapToGrid w:val="0"/>
        <w:spacing w:line="360" w:lineRule="auto"/>
        <w:jc w:val="right"/>
        <w:rPr>
          <w:rFonts w:hint="eastAsia" w:hAnsi="宋体"/>
          <w:color w:val="auto"/>
          <w:sz w:val="24"/>
          <w:highlight w:val="none"/>
        </w:rPr>
      </w:pPr>
    </w:p>
    <w:p w14:paraId="6FE425ED">
      <w:pPr>
        <w:pStyle w:val="18"/>
        <w:adjustRightInd w:val="0"/>
        <w:snapToGrid w:val="0"/>
        <w:spacing w:line="360" w:lineRule="auto"/>
        <w:jc w:val="right"/>
        <w:rPr>
          <w:rFonts w:hint="eastAsia" w:hAnsi="宋体"/>
          <w:color w:val="auto"/>
          <w:sz w:val="24"/>
          <w:highlight w:val="none"/>
        </w:rPr>
      </w:pPr>
    </w:p>
    <w:p w14:paraId="3A51BB30">
      <w:pPr>
        <w:pStyle w:val="18"/>
        <w:adjustRightInd w:val="0"/>
        <w:snapToGrid w:val="0"/>
        <w:spacing w:line="400" w:lineRule="exact"/>
        <w:jc w:val="right"/>
        <w:rPr>
          <w:rFonts w:hint="eastAsia" w:hAnsi="宋体"/>
          <w:color w:val="auto"/>
          <w:sz w:val="24"/>
          <w:highlight w:val="none"/>
        </w:rPr>
      </w:pPr>
    </w:p>
    <w:p w14:paraId="554D3C34">
      <w:pPr>
        <w:pStyle w:val="18"/>
        <w:adjustRightInd w:val="0"/>
        <w:snapToGrid w:val="0"/>
        <w:spacing w:line="400" w:lineRule="exact"/>
        <w:jc w:val="right"/>
        <w:rPr>
          <w:rFonts w:hint="eastAsia" w:hAnsi="宋体"/>
          <w:color w:val="auto"/>
          <w:sz w:val="24"/>
          <w:highlight w:val="none"/>
        </w:rPr>
      </w:pPr>
    </w:p>
    <w:p w14:paraId="22211A3F">
      <w:pPr>
        <w:pStyle w:val="18"/>
        <w:adjustRightInd w:val="0"/>
        <w:snapToGrid w:val="0"/>
        <w:spacing w:line="400" w:lineRule="exact"/>
        <w:jc w:val="right"/>
        <w:rPr>
          <w:rFonts w:hint="eastAsia" w:hAnsi="宋体"/>
          <w:color w:val="auto"/>
          <w:sz w:val="24"/>
          <w:highlight w:val="none"/>
        </w:rPr>
      </w:pPr>
    </w:p>
    <w:p w14:paraId="25C9BF23">
      <w:pPr>
        <w:pStyle w:val="18"/>
        <w:adjustRightInd w:val="0"/>
        <w:snapToGrid w:val="0"/>
        <w:spacing w:line="400" w:lineRule="exact"/>
        <w:jc w:val="right"/>
        <w:rPr>
          <w:rFonts w:hint="eastAsia" w:hAnsi="宋体"/>
          <w:color w:val="auto"/>
          <w:sz w:val="24"/>
          <w:highlight w:val="none"/>
        </w:rPr>
      </w:pPr>
    </w:p>
    <w:p w14:paraId="7628A6F6">
      <w:pPr>
        <w:pStyle w:val="18"/>
        <w:adjustRightInd w:val="0"/>
        <w:snapToGrid w:val="0"/>
        <w:spacing w:line="400" w:lineRule="exact"/>
        <w:jc w:val="right"/>
        <w:rPr>
          <w:rFonts w:hint="eastAsia" w:hAnsi="宋体"/>
          <w:color w:val="auto"/>
          <w:sz w:val="24"/>
          <w:highlight w:val="none"/>
        </w:rPr>
      </w:pPr>
    </w:p>
    <w:p w14:paraId="5900CB75">
      <w:pPr>
        <w:pStyle w:val="18"/>
        <w:adjustRightInd w:val="0"/>
        <w:snapToGrid w:val="0"/>
        <w:spacing w:line="400" w:lineRule="exact"/>
        <w:jc w:val="right"/>
        <w:rPr>
          <w:rFonts w:hAnsi="宋体"/>
          <w:color w:val="auto"/>
          <w:highlight w:val="none"/>
        </w:rPr>
      </w:pPr>
    </w:p>
    <w:p w14:paraId="6A2B0D3F">
      <w:pPr>
        <w:pStyle w:val="18"/>
        <w:adjustRightInd w:val="0"/>
        <w:snapToGrid w:val="0"/>
        <w:spacing w:line="400" w:lineRule="exact"/>
        <w:jc w:val="right"/>
        <w:rPr>
          <w:rFonts w:hAnsi="宋体"/>
          <w:color w:val="auto"/>
          <w:highlight w:val="none"/>
        </w:rPr>
      </w:pPr>
    </w:p>
    <w:p w14:paraId="2E88A213">
      <w:pPr>
        <w:pStyle w:val="3"/>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b/>
          <w:bCs/>
          <w:color w:val="auto"/>
          <w:kern w:val="44"/>
          <w:sz w:val="36"/>
          <w:szCs w:val="44"/>
          <w:highlight w:val="none"/>
          <w:lang w:val="en-US" w:eastAsia="zh-CN" w:bidi="ar-SA"/>
        </w:rPr>
      </w:pPr>
      <w:bookmarkStart w:id="3" w:name="_Toc10680"/>
      <w:r>
        <w:rPr>
          <w:rFonts w:hint="eastAsia" w:ascii="Times New Roman" w:hAnsi="Times New Roman" w:eastAsia="宋体" w:cs="Times New Roman"/>
          <w:b/>
          <w:bCs/>
          <w:color w:val="auto"/>
          <w:kern w:val="44"/>
          <w:sz w:val="36"/>
          <w:szCs w:val="44"/>
          <w:highlight w:val="none"/>
          <w:lang w:val="en-US" w:eastAsia="zh-CN" w:bidi="ar-SA"/>
        </w:rPr>
        <w:br w:type="page"/>
      </w:r>
      <w:bookmarkStart w:id="4" w:name="_Toc17121"/>
      <w:r>
        <w:rPr>
          <w:rFonts w:hint="eastAsia" w:ascii="Times New Roman" w:hAnsi="Times New Roman" w:eastAsia="宋体" w:cs="Times New Roman"/>
          <w:b/>
          <w:bCs/>
          <w:color w:val="auto"/>
          <w:kern w:val="44"/>
          <w:sz w:val="36"/>
          <w:szCs w:val="44"/>
          <w:highlight w:val="none"/>
          <w:lang w:val="en-US" w:eastAsia="zh-CN" w:bidi="ar-SA"/>
        </w:rPr>
        <w:t>第二章　投标须知和投标须知前附表</w:t>
      </w:r>
      <w:bookmarkEnd w:id="3"/>
      <w:bookmarkEnd w:id="4"/>
    </w:p>
    <w:p w14:paraId="0AD12589">
      <w:pPr>
        <w:spacing w:line="360" w:lineRule="auto"/>
        <w:ind w:firstLine="602" w:firstLineChars="200"/>
        <w:jc w:val="center"/>
        <w:rPr>
          <w:rFonts w:hint="eastAsia" w:ascii="宋体" w:hAnsi="宋体"/>
          <w:b/>
          <w:color w:val="auto"/>
          <w:sz w:val="30"/>
          <w:szCs w:val="30"/>
          <w:highlight w:val="none"/>
        </w:rPr>
      </w:pPr>
      <w:r>
        <w:rPr>
          <w:rFonts w:hint="eastAsia" w:ascii="宋体" w:hAnsi="宋体"/>
          <w:b/>
          <w:color w:val="auto"/>
          <w:sz w:val="30"/>
          <w:szCs w:val="30"/>
          <w:highlight w:val="none"/>
        </w:rPr>
        <w:t>投标须知前附表</w:t>
      </w:r>
    </w:p>
    <w:tbl>
      <w:tblPr>
        <w:tblStyle w:val="37"/>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64F2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C467742">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0ABE8240">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内容规定</w:t>
            </w:r>
          </w:p>
        </w:tc>
      </w:tr>
      <w:tr w14:paraId="39E9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2226E4B">
            <w:pPr>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6C0718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项目综合</w:t>
            </w:r>
          </w:p>
          <w:p w14:paraId="07B5B2E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FE9E115">
            <w:pPr>
              <w:spacing w:line="360" w:lineRule="auto"/>
              <w:jc w:val="both"/>
              <w:rPr>
                <w:rFonts w:hint="eastAsia" w:ascii="宋体" w:hAnsi="宋体" w:eastAsia="宋体" w:cs="宋体"/>
                <w:color w:val="auto"/>
                <w:szCs w:val="21"/>
                <w:highlight w:val="none"/>
              </w:rPr>
            </w:pPr>
            <w:r>
              <w:rPr>
                <w:rFonts w:hint="eastAsia" w:ascii="宋体" w:hAnsi="宋体" w:cs="宋体"/>
                <w:b/>
                <w:bCs/>
                <w:color w:val="auto"/>
                <w:szCs w:val="21"/>
                <w:highlight w:val="none"/>
              </w:rPr>
              <w:t>项目名称</w:t>
            </w:r>
            <w:r>
              <w:rPr>
                <w:rFonts w:hint="eastAsia" w:ascii="宋体" w:hAnsi="宋体" w:eastAsia="宋体" w:cs="宋体"/>
                <w:b/>
                <w:bCs/>
                <w:color w:val="auto"/>
                <w:szCs w:val="21"/>
                <w:highlight w:val="none"/>
              </w:rPr>
              <w:t>：</w:t>
            </w:r>
            <w:r>
              <w:rPr>
                <w:rFonts w:hint="eastAsia" w:ascii="宋体" w:hAnsi="宋体" w:eastAsia="宋体" w:cs="宋体"/>
                <w:color w:val="auto"/>
                <w:sz w:val="21"/>
                <w:szCs w:val="21"/>
                <w:highlight w:val="none"/>
                <w:lang w:val="en-US" w:eastAsia="zh-CN"/>
              </w:rPr>
              <w:t>浙江义环城市服务有限公司词林</w:t>
            </w:r>
            <w:r>
              <w:rPr>
                <w:rFonts w:hint="eastAsia" w:ascii="宋体" w:hAnsi="宋体" w:eastAsia="宋体" w:cs="宋体"/>
                <w:color w:val="auto"/>
                <w:sz w:val="21"/>
                <w:szCs w:val="21"/>
                <w:highlight w:val="none"/>
                <w:lang w:eastAsia="zh-CN"/>
              </w:rPr>
              <w:t>社区</w:t>
            </w:r>
            <w:r>
              <w:rPr>
                <w:rFonts w:hint="eastAsia" w:ascii="宋体" w:hAnsi="宋体" w:eastAsia="宋体" w:cs="宋体"/>
                <w:color w:val="auto"/>
                <w:sz w:val="21"/>
                <w:szCs w:val="21"/>
                <w:highlight w:val="none"/>
              </w:rPr>
              <w:t>清扫保洁市场化</w:t>
            </w:r>
            <w:r>
              <w:rPr>
                <w:rFonts w:hint="eastAsia" w:ascii="宋体" w:hAnsi="宋体" w:eastAsia="宋体" w:cs="宋体"/>
                <w:color w:val="auto"/>
                <w:sz w:val="21"/>
                <w:szCs w:val="21"/>
                <w:highlight w:val="none"/>
                <w:lang w:val="en-US" w:eastAsia="zh-CN"/>
              </w:rPr>
              <w:t>采购项目</w:t>
            </w:r>
          </w:p>
          <w:p w14:paraId="024DBBF3">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采购内容及数量:</w:t>
            </w:r>
            <w:r>
              <w:rPr>
                <w:rFonts w:hint="eastAsia" w:ascii="宋体" w:hAnsi="宋体" w:eastAsia="宋体" w:cs="宋体"/>
                <w:color w:val="auto"/>
                <w:sz w:val="21"/>
                <w:szCs w:val="21"/>
                <w:highlight w:val="none"/>
                <w:lang w:val="en-US" w:eastAsia="zh-CN"/>
              </w:rPr>
              <w:t>浙江义环城市服务有限公司词林</w:t>
            </w:r>
            <w:r>
              <w:rPr>
                <w:rFonts w:hint="eastAsia" w:ascii="宋体" w:hAnsi="宋体" w:eastAsia="宋体" w:cs="宋体"/>
                <w:color w:val="auto"/>
                <w:sz w:val="21"/>
                <w:szCs w:val="21"/>
                <w:highlight w:val="none"/>
                <w:lang w:eastAsia="zh-CN"/>
              </w:rPr>
              <w:t>社区</w:t>
            </w:r>
            <w:r>
              <w:rPr>
                <w:rFonts w:hint="eastAsia" w:ascii="宋体" w:hAnsi="宋体" w:eastAsia="宋体" w:cs="宋体"/>
                <w:color w:val="auto"/>
                <w:sz w:val="21"/>
                <w:szCs w:val="21"/>
                <w:highlight w:val="none"/>
              </w:rPr>
              <w:t>清扫保洁市场化</w:t>
            </w:r>
            <w:r>
              <w:rPr>
                <w:rFonts w:hint="eastAsia" w:ascii="宋体" w:hAnsi="宋体" w:eastAsia="宋体" w:cs="宋体"/>
                <w:color w:val="auto"/>
                <w:sz w:val="21"/>
                <w:szCs w:val="21"/>
                <w:highlight w:val="none"/>
                <w:lang w:val="en-US" w:eastAsia="zh-CN"/>
              </w:rPr>
              <w:t>采购项目</w:t>
            </w:r>
            <w:r>
              <w:rPr>
                <w:rFonts w:hint="eastAsia" w:ascii="宋体" w:hAnsi="宋体" w:eastAsia="宋体" w:cs="宋体"/>
                <w:bCs/>
                <w:color w:val="auto"/>
                <w:sz w:val="21"/>
                <w:szCs w:val="21"/>
                <w:highlight w:val="none"/>
                <w:lang w:eastAsia="zh-CN"/>
              </w:rPr>
              <w:t>，</w:t>
            </w:r>
            <w:r>
              <w:rPr>
                <w:rFonts w:hint="eastAsia" w:ascii="宋体" w:hAnsi="宋体" w:eastAsia="宋体" w:cs="宋体"/>
                <w:b/>
                <w:bCs w:val="0"/>
                <w:color w:val="auto"/>
                <w:sz w:val="21"/>
                <w:szCs w:val="21"/>
                <w:highlight w:val="none"/>
              </w:rPr>
              <w:t>承包期：</w:t>
            </w:r>
            <w:r>
              <w:rPr>
                <w:rFonts w:hint="eastAsia" w:hAnsi="宋体" w:eastAsia="宋体" w:cs="宋体"/>
                <w:bCs/>
                <w:color w:val="auto"/>
                <w:sz w:val="21"/>
                <w:szCs w:val="21"/>
                <w:highlight w:val="none"/>
                <w:lang w:val="en-US" w:eastAsia="zh-CN"/>
              </w:rPr>
              <w:t>十一个月十四天</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具体详见第三章招标项目要求。</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 xml:space="preserve">         </w:t>
            </w:r>
          </w:p>
        </w:tc>
      </w:tr>
      <w:tr w14:paraId="79E8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67E41E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B3A5DA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E7B2F3E">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公开招标                       </w:t>
            </w:r>
          </w:p>
        </w:tc>
      </w:tr>
      <w:tr w14:paraId="5B27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EB5E27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46A072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w:t>
            </w:r>
          </w:p>
          <w:p w14:paraId="12356A0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9E2A374">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详见招标公告</w:t>
            </w:r>
          </w:p>
        </w:tc>
      </w:tr>
      <w:tr w14:paraId="5804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628ED5E">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9A56C9E">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E299873">
            <w:pPr>
              <w:pageBreakBefore w:val="0"/>
              <w:widowControl w:val="0"/>
              <w:kinsoku/>
              <w:wordWrap/>
              <w:overflowPunct/>
              <w:topLinePunct w:val="0"/>
              <w:autoSpaceDE/>
              <w:autoSpaceDN/>
              <w:bidi w:val="0"/>
              <w:spacing w:line="400" w:lineRule="exact"/>
              <w:textAlignment w:val="auto"/>
              <w:rPr>
                <w:rFonts w:hint="default" w:ascii="宋体" w:hAnsi="宋体" w:eastAsia="宋体" w:cs="宋体"/>
                <w:color w:val="auto"/>
                <w:kern w:val="0"/>
                <w:sz w:val="21"/>
                <w:szCs w:val="21"/>
                <w:highlight w:val="none"/>
                <w:lang w:val="en-US"/>
              </w:rPr>
            </w:pPr>
            <w:r>
              <w:rPr>
                <w:rFonts w:hint="eastAsia" w:ascii="宋体" w:hAnsi="宋体" w:cs="宋体"/>
                <w:color w:val="auto"/>
                <w:sz w:val="21"/>
                <w:szCs w:val="21"/>
                <w:highlight w:val="none"/>
                <w:lang w:val="en-US" w:eastAsia="zh-CN"/>
              </w:rPr>
              <w:t>综合评分法</w:t>
            </w:r>
          </w:p>
        </w:tc>
      </w:tr>
      <w:tr w14:paraId="44C6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B4C0F3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B4DDBA6">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1"/>
                <w:szCs w:val="21"/>
                <w:highlight w:val="none"/>
                <w:lang w:val="en-US"/>
              </w:rPr>
            </w:pPr>
            <w:r>
              <w:rPr>
                <w:rFonts w:hint="eastAsia" w:ascii="宋体" w:hAnsi="宋体" w:eastAsia="宋体" w:cs="宋体"/>
                <w:b w:val="0"/>
                <w:bCs w:val="0"/>
                <w:color w:val="auto"/>
                <w:szCs w:val="21"/>
                <w:highlight w:val="none"/>
              </w:rPr>
              <w:t>项目承包时间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90CD727">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525C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D145BD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81F267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C143522">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5F95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74A9DF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626202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3A951C3">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投标前，投标人须自行到项目所在地予以踏勘，对项目实施现场及周边环境等进行勘察，以获取编制投标文件和签署合同所需的所有资料，否则，由此所造成的一切后果由投标人自行承担</w:t>
            </w:r>
            <w:r>
              <w:rPr>
                <w:rFonts w:hint="eastAsia" w:ascii="宋体" w:hAnsi="宋体" w:eastAsia="宋体" w:cs="宋体"/>
                <w:color w:val="auto"/>
                <w:sz w:val="21"/>
                <w:szCs w:val="21"/>
                <w:highlight w:val="none"/>
              </w:rPr>
              <w:t>。</w:t>
            </w:r>
          </w:p>
        </w:tc>
      </w:tr>
      <w:tr w14:paraId="4072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78B448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7C82DB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DC9C65F">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cs="宋体"/>
                <w:color w:val="auto"/>
                <w:highlight w:val="none"/>
              </w:rPr>
              <w:t>供应商认为采购文件使自己的权益受到损害的，请于投标截止时间</w:t>
            </w:r>
            <w:r>
              <w:rPr>
                <w:rFonts w:hint="eastAsia" w:ascii="宋体" w:hAnsi="宋体" w:cs="宋体"/>
                <w:color w:val="auto"/>
                <w:highlight w:val="none"/>
                <w:lang w:val="en-US" w:eastAsia="zh-CN"/>
              </w:rPr>
              <w:t>3</w:t>
            </w:r>
            <w:r>
              <w:rPr>
                <w:rFonts w:hint="eastAsia" w:ascii="宋体" w:hAnsi="宋体" w:cs="宋体"/>
                <w:color w:val="auto"/>
                <w:highlight w:val="none"/>
              </w:rPr>
              <w:t>日前以书面形式向采购人和采购代理机构提出质疑。质疑以书面方式分别提交至</w:t>
            </w:r>
            <w:r>
              <w:rPr>
                <w:rFonts w:hint="eastAsia" w:ascii="宋体" w:hAnsi="宋体" w:eastAsia="宋体" w:cs="宋体"/>
                <w:color w:val="auto"/>
                <w:highlight w:val="none"/>
                <w:lang w:val="en-US" w:eastAsia="zh-CN"/>
              </w:rPr>
              <w:t>浙江义环城市服务</w:t>
            </w:r>
            <w:r>
              <w:rPr>
                <w:rFonts w:hint="eastAsia" w:ascii="宋体" w:hAnsi="宋体" w:eastAsia="宋体" w:cs="宋体"/>
                <w:color w:val="auto"/>
                <w:highlight w:val="none"/>
              </w:rPr>
              <w:t>有限公司</w:t>
            </w:r>
            <w:r>
              <w:rPr>
                <w:rFonts w:hint="eastAsia" w:ascii="宋体" w:hAnsi="宋体" w:eastAsia="宋体" w:cs="宋体"/>
                <w:color w:val="auto"/>
                <w:highlight w:val="none"/>
                <w:lang w:eastAsia="zh-CN"/>
              </w:rPr>
              <w:t>：</w:t>
            </w:r>
            <w:r>
              <w:rPr>
                <w:rFonts w:hint="eastAsia" w:ascii="宋体" w:hAnsi="宋体" w:eastAsia="宋体" w:cs="宋体"/>
                <w:color w:val="auto"/>
                <w:sz w:val="21"/>
                <w:szCs w:val="21"/>
                <w:highlight w:val="none"/>
                <w:lang w:val="en-US" w:eastAsia="zh-CN"/>
              </w:rPr>
              <w:t>陈先生</w:t>
            </w:r>
            <w:r>
              <w:rPr>
                <w:rFonts w:hint="eastAsia" w:ascii="宋体" w:hAnsi="宋体" w:eastAsia="宋体" w:cs="宋体"/>
                <w:color w:val="auto"/>
                <w:sz w:val="21"/>
                <w:szCs w:val="21"/>
                <w:highlight w:val="none"/>
              </w:rPr>
              <w:t>（</w:t>
            </w:r>
            <w:r>
              <w:rPr>
                <w:rFonts w:hint="eastAsia" w:hAnsi="宋体"/>
                <w:color w:val="auto"/>
                <w:highlight w:val="none"/>
              </w:rPr>
              <w:t>0579-85414005</w:t>
            </w:r>
            <w:r>
              <w:rPr>
                <w:rFonts w:hint="eastAsia" w:ascii="宋体" w:hAnsi="宋体" w:eastAsia="宋体" w:cs="宋体"/>
                <w:color w:val="auto"/>
                <w:sz w:val="21"/>
                <w:szCs w:val="21"/>
                <w:highlight w:val="none"/>
              </w:rPr>
              <w:t>）</w:t>
            </w:r>
            <w:r>
              <w:rPr>
                <w:rFonts w:hint="eastAsia" w:ascii="宋体" w:hAnsi="宋体" w:cs="宋体"/>
                <w:color w:val="auto"/>
                <w:highlight w:val="none"/>
              </w:rPr>
              <w:t>和义乌产权交易所有限公司：王小姐（0579-89903039，ywcqztb001@ywcq.com），并致电采购代理机构确认。书面文件邮寄地址：义乌市北苑街道望道路300号405</w:t>
            </w:r>
            <w:r>
              <w:rPr>
                <w:rFonts w:hint="eastAsia" w:ascii="宋体" w:hAnsi="宋体" w:cs="宋体"/>
                <w:color w:val="auto"/>
                <w:highlight w:val="none"/>
                <w:lang w:val="en-US" w:eastAsia="zh-CN"/>
              </w:rPr>
              <w:t>5</w:t>
            </w:r>
            <w:r>
              <w:rPr>
                <w:rFonts w:hint="eastAsia" w:ascii="宋体" w:hAnsi="宋体" w:eastAsia="宋体" w:cs="宋体"/>
                <w:color w:val="auto"/>
                <w:highlight w:val="none"/>
              </w:rPr>
              <w:t>。</w:t>
            </w:r>
          </w:p>
        </w:tc>
      </w:tr>
      <w:tr w14:paraId="641A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8014D38">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5837238">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CCD21EC">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自开标之日起60天（日历天）</w:t>
            </w:r>
          </w:p>
        </w:tc>
      </w:tr>
      <w:tr w14:paraId="3337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6E3D87B">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B6505F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7B92783">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cs="宋体"/>
                <w:color w:val="auto"/>
                <w:highlight w:val="none"/>
                <w:lang w:val="en-US" w:eastAsia="zh-CN"/>
              </w:rPr>
              <w:t>2026</w:t>
            </w:r>
            <w:r>
              <w:rPr>
                <w:rFonts w:hint="eastAsia" w:ascii="宋体" w:hAnsi="宋体" w:cs="宋体"/>
                <w:color w:val="auto"/>
                <w:highlight w:val="none"/>
              </w:rPr>
              <w:t>年</w:t>
            </w:r>
            <w:r>
              <w:rPr>
                <w:rFonts w:hint="eastAsia" w:ascii="宋体" w:hAnsi="宋体" w:cs="宋体"/>
                <w:color w:val="auto"/>
                <w:highlight w:val="none"/>
                <w:lang w:val="en-US" w:eastAsia="zh-CN"/>
              </w:rPr>
              <w:t>1月13日09:00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tc>
      </w:tr>
      <w:tr w14:paraId="1C89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CC0BC9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B0CD2A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99CD14E">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r>
              <w:rPr>
                <w:rFonts w:hint="eastAsia" w:ascii="宋体" w:hAnsi="宋体" w:cs="宋体"/>
                <w:color w:val="auto"/>
                <w:highlight w:val="none"/>
                <w:lang w:val="en-US" w:eastAsia="zh-CN"/>
              </w:rPr>
              <w:t>2026</w:t>
            </w:r>
            <w:r>
              <w:rPr>
                <w:rFonts w:hint="eastAsia" w:ascii="宋体" w:hAnsi="宋体" w:cs="宋体"/>
                <w:color w:val="auto"/>
                <w:highlight w:val="none"/>
              </w:rPr>
              <w:t>年</w:t>
            </w:r>
            <w:r>
              <w:rPr>
                <w:rFonts w:hint="eastAsia" w:ascii="宋体" w:hAnsi="宋体" w:cs="宋体"/>
                <w:color w:val="auto"/>
                <w:highlight w:val="none"/>
                <w:lang w:val="en-US" w:eastAsia="zh-CN"/>
              </w:rPr>
              <w:t>1月13日09:00</w:t>
            </w:r>
          </w:p>
          <w:p w14:paraId="799297DE">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开标地点：“义乌市阳光招标采购平台”（www.ywygzc.com）</w:t>
            </w:r>
          </w:p>
          <w:p w14:paraId="604F43C8">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1190CE1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0FD7CB93">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3290D3AE">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3066D966">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浏览器版本过低导致无法识别——更换Egde、谷歌浏览器</w:t>
            </w:r>
            <w:r>
              <w:rPr>
                <w:rFonts w:hint="eastAsia" w:ascii="宋体" w:hAnsi="宋体" w:cs="宋体"/>
                <w:color w:val="auto"/>
                <w:highlight w:val="none"/>
                <w:lang w:eastAsia="zh-CN"/>
              </w:rPr>
              <w:t>；</w:t>
            </w:r>
          </w:p>
          <w:p w14:paraId="74E8ED91">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0A135ECF">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4069B5B8">
            <w:pPr>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color w:val="auto"/>
                <w:highlight w:val="none"/>
              </w:rPr>
              <w:t>因系统安装多版本驱动导致无法识别CA锁——卸载其他驱动或更换其他电脑安装驱动。</w:t>
            </w:r>
          </w:p>
        </w:tc>
      </w:tr>
      <w:tr w14:paraId="2772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C79A0D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D8A8F4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3E3DA75">
            <w:pPr>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w:t>
            </w:r>
          </w:p>
        </w:tc>
      </w:tr>
      <w:tr w14:paraId="410A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690DD1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6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621B8">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476070">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无</w:t>
            </w:r>
          </w:p>
        </w:tc>
      </w:tr>
      <w:tr w14:paraId="34B1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A73EBE0">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16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7EDE45">
            <w:pPr>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p w14:paraId="385DF9DA">
            <w:pPr>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退还</w:t>
            </w:r>
          </w:p>
        </w:tc>
        <w:tc>
          <w:tcPr>
            <w:tcW w:w="7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89B315">
            <w:pPr>
              <w:pageBreakBefore w:val="0"/>
              <w:kinsoku/>
              <w:wordWrap/>
              <w:overflowPunct/>
              <w:topLinePunct w:val="0"/>
              <w:autoSpaceDE/>
              <w:autoSpaceDN/>
              <w:bidi w:val="0"/>
              <w:adjustRightInd/>
              <w:spacing w:line="360" w:lineRule="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无</w:t>
            </w:r>
          </w:p>
        </w:tc>
      </w:tr>
      <w:tr w14:paraId="6355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5C91F7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56C7E5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3689398">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详见招标文件第三章。</w:t>
            </w:r>
          </w:p>
        </w:tc>
      </w:tr>
      <w:tr w14:paraId="4E20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6D440EE">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8D1E402">
            <w:pPr>
              <w:pageBreakBefore w:val="0"/>
              <w:widowControl w:val="0"/>
              <w:kinsoku/>
              <w:wordWrap/>
              <w:overflowPunct/>
              <w:topLinePunct w:val="0"/>
              <w:autoSpaceDE/>
              <w:autoSpaceDN/>
              <w:bidi w:val="0"/>
              <w:spacing w:line="400" w:lineRule="exact"/>
              <w:ind w:left="-99" w:leftChars="-4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8BEB1D6">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投标人发生下列情况之一时，除严格依法依规进行处理外，还将通报市信用管理部门，列入严重失信名单：</w:t>
            </w:r>
          </w:p>
          <w:p w14:paraId="67F17DB9">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（1）投标人在规定的投标有效期内撤回投标或放弃中标的；</w:t>
            </w:r>
          </w:p>
          <w:p w14:paraId="744EC49D">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（2）有意串标或提供虚假材料的；</w:t>
            </w:r>
          </w:p>
          <w:p w14:paraId="0EB1DB64">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（3）中标人在收到中标通知书后，因自身原因不能在投标有效期内和采购人签订合同</w:t>
            </w:r>
            <w:r>
              <w:rPr>
                <w:rFonts w:hint="default" w:ascii="宋体" w:hAnsi="宋体" w:cs="宋体"/>
                <w:color w:val="auto"/>
                <w:sz w:val="21"/>
                <w:szCs w:val="21"/>
                <w:highlight w:val="none"/>
              </w:rPr>
              <w:t>；</w:t>
            </w:r>
          </w:p>
          <w:p w14:paraId="12BB9C45">
            <w:pPr>
              <w:pageBreakBefore w:val="0"/>
              <w:widowControl w:val="0"/>
              <w:kinsoku/>
              <w:wordWrap/>
              <w:overflowPunct/>
              <w:topLinePunct w:val="0"/>
              <w:autoSpaceDE/>
              <w:autoSpaceDN/>
              <w:bidi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（4）中标人未在规定时间缴纳招标代理费的；</w:t>
            </w:r>
          </w:p>
          <w:p w14:paraId="03204653">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（5）中标供应商在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标后履约过程中未按合同约定的期限和要求履约的</w:t>
            </w:r>
            <w:r>
              <w:rPr>
                <w:rFonts w:hint="default" w:ascii="宋体" w:hAnsi="宋体" w:cs="宋体"/>
                <w:color w:val="auto"/>
                <w:sz w:val="21"/>
                <w:szCs w:val="21"/>
                <w:highlight w:val="none"/>
              </w:rPr>
              <w:t>；</w:t>
            </w:r>
          </w:p>
          <w:p w14:paraId="0C0AFE27">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（6）因中标供应商原因在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标后履约过程中擅自终止合同的</w:t>
            </w:r>
            <w:r>
              <w:rPr>
                <w:rFonts w:hint="default" w:ascii="宋体" w:hAnsi="宋体" w:cs="宋体"/>
                <w:color w:val="auto"/>
                <w:sz w:val="21"/>
                <w:szCs w:val="21"/>
                <w:highlight w:val="none"/>
              </w:rPr>
              <w:t>；</w:t>
            </w:r>
          </w:p>
          <w:p w14:paraId="08FC6B07">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 xml:space="preserve">  （7）不符合招标文件要求的其他失信行为。</w:t>
            </w:r>
          </w:p>
        </w:tc>
      </w:tr>
      <w:tr w14:paraId="60F1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3DC8EEF">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9F4508B">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85168A6">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color w:val="auto"/>
                <w:szCs w:val="21"/>
                <w:highlight w:val="none"/>
              </w:rPr>
              <w:t>本项目设有采购预算及最高限价，投标报价超过采购预算及最高限价的，其投标为无效标。</w:t>
            </w:r>
          </w:p>
          <w:p w14:paraId="59CF5099">
            <w:pPr>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val="0"/>
                <w:bCs w:val="0"/>
                <w:color w:val="auto"/>
                <w:szCs w:val="21"/>
                <w:highlight w:val="none"/>
              </w:rPr>
              <w:t>招标文件中要求投标人在制作投标文件时提供的复印件，必须根据评审细则对评审的内容复印完整、清晰可辨，否则在评审时以最不利于投标人原则评审。</w:t>
            </w:r>
          </w:p>
        </w:tc>
      </w:tr>
    </w:tbl>
    <w:p w14:paraId="5777818D">
      <w:pPr>
        <w:spacing w:line="360" w:lineRule="auto"/>
        <w:ind w:right="-313" w:rightChars="-149"/>
        <w:rPr>
          <w:rFonts w:ascii="宋体"/>
          <w:b/>
          <w:color w:val="auto"/>
          <w:szCs w:val="21"/>
          <w:highlight w:val="none"/>
        </w:rPr>
      </w:pPr>
      <w:r>
        <w:rPr>
          <w:rFonts w:hint="eastAsia" w:ascii="宋体" w:hAnsi="宋体" w:cs="宋体"/>
          <w:b/>
          <w:color w:val="auto"/>
          <w:szCs w:val="21"/>
          <w:highlight w:val="none"/>
        </w:rPr>
        <w:t>注：投标人须知前附表内容与本招标文件后述内容不一致的，以投标须知前附表为准。</w:t>
      </w:r>
    </w:p>
    <w:p w14:paraId="48225359">
      <w:pPr>
        <w:pStyle w:val="3"/>
        <w:keepNext/>
        <w:keepLines/>
        <w:pageBreakBefore w:val="0"/>
        <w:widowControl w:val="0"/>
        <w:kinsoku/>
        <w:wordWrap/>
        <w:overflowPunct/>
        <w:topLinePunct w:val="0"/>
        <w:autoSpaceDE/>
        <w:autoSpaceDN/>
        <w:bidi w:val="0"/>
        <w:adjustRightInd/>
        <w:snapToGrid/>
        <w:spacing w:line="240" w:lineRule="exact"/>
        <w:jc w:val="center"/>
        <w:textAlignment w:val="auto"/>
        <w:rPr>
          <w:color w:val="auto"/>
          <w:sz w:val="32"/>
          <w:szCs w:val="32"/>
          <w:highlight w:val="none"/>
        </w:rPr>
      </w:pPr>
      <w:r>
        <w:rPr>
          <w:color w:val="auto"/>
          <w:sz w:val="36"/>
          <w:szCs w:val="36"/>
          <w:highlight w:val="none"/>
        </w:rPr>
        <w:br w:type="page"/>
      </w:r>
      <w:bookmarkStart w:id="5" w:name="_Toc8496"/>
      <w:bookmarkStart w:id="6" w:name="_Toc32581"/>
      <w:bookmarkStart w:id="7" w:name="_Toc11179"/>
      <w:r>
        <w:rPr>
          <w:rFonts w:hint="eastAsia"/>
          <w:color w:val="auto"/>
          <w:sz w:val="32"/>
          <w:szCs w:val="32"/>
          <w:highlight w:val="none"/>
        </w:rPr>
        <w:t>投标须知</w:t>
      </w:r>
      <w:bookmarkEnd w:id="5"/>
      <w:bookmarkEnd w:id="6"/>
      <w:bookmarkEnd w:id="7"/>
    </w:p>
    <w:p w14:paraId="01F6E512">
      <w:pPr>
        <w:pStyle w:val="4"/>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 w:name="_Toc20416"/>
      <w:bookmarkStart w:id="9" w:name="_Toc27843"/>
      <w:bookmarkStart w:id="10" w:name="_Toc274303229"/>
      <w:bookmarkStart w:id="11" w:name="_Toc362250687"/>
      <w:bookmarkStart w:id="12" w:name="_Toc274"/>
      <w:r>
        <w:rPr>
          <w:rFonts w:hint="eastAsia" w:ascii="宋体" w:hAnsi="宋体" w:eastAsia="宋体" w:cs="宋体"/>
          <w:color w:val="auto"/>
          <w:sz w:val="21"/>
          <w:szCs w:val="21"/>
          <w:highlight w:val="none"/>
        </w:rPr>
        <w:t>一、说明</w:t>
      </w:r>
      <w:bookmarkEnd w:id="8"/>
      <w:bookmarkEnd w:id="9"/>
      <w:bookmarkEnd w:id="10"/>
      <w:bookmarkEnd w:id="11"/>
      <w:bookmarkEnd w:id="12"/>
    </w:p>
    <w:p w14:paraId="7519CEEB">
      <w:pPr>
        <w:pStyle w:val="17"/>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适用范围</w:t>
      </w:r>
    </w:p>
    <w:p w14:paraId="74BCF796">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本招标文件仅适用于本次招标采购所叙述的货物和服务项目。</w:t>
      </w:r>
    </w:p>
    <w:p w14:paraId="20467A60">
      <w:pPr>
        <w:pStyle w:val="17"/>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定义</w:t>
      </w:r>
    </w:p>
    <w:p w14:paraId="37957257">
      <w:pPr>
        <w:pStyle w:val="18"/>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2.1采购人：系指</w:t>
      </w:r>
      <w:r>
        <w:rPr>
          <w:rFonts w:hint="eastAsia" w:hAnsi="宋体"/>
          <w:color w:val="auto"/>
          <w:highlight w:val="none"/>
          <w:lang w:val="en-US" w:eastAsia="zh-CN"/>
        </w:rPr>
        <w:t>浙江义环城市服务</w:t>
      </w:r>
      <w:r>
        <w:rPr>
          <w:rFonts w:hint="eastAsia" w:hAnsi="宋体"/>
          <w:color w:val="auto"/>
          <w:highlight w:val="none"/>
        </w:rPr>
        <w:t>有限公司</w:t>
      </w:r>
      <w:r>
        <w:rPr>
          <w:rFonts w:hint="eastAsia" w:ascii="宋体" w:hAnsi="宋体" w:eastAsia="宋体" w:cs="宋体"/>
          <w:color w:val="auto"/>
          <w:sz w:val="21"/>
          <w:szCs w:val="21"/>
          <w:highlight w:val="none"/>
        </w:rPr>
        <w:t>。</w:t>
      </w:r>
    </w:p>
    <w:p w14:paraId="262CC0A9">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2.2招标代理机构：系指义乌产权交易所有限公司。</w:t>
      </w:r>
    </w:p>
    <w:p w14:paraId="2F467AB0">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2.3投标人：系指符合招标公告要求的投标供应商。</w:t>
      </w:r>
    </w:p>
    <w:p w14:paraId="57A92DA6">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2.4服务：系指招标文件规定投标人须承担的劳务及其他类似的服务。</w:t>
      </w:r>
    </w:p>
    <w:p w14:paraId="604DF7C1">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2.5货物：系指按招标文件规定投标人须向采购人提供的一切材料、设备、机械、仪器仪表、工具及其他有关技术资料和文字材料。</w:t>
      </w:r>
    </w:p>
    <w:p w14:paraId="5BFAA5FC">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2.6需方：即采购人，在招投标阶段称为采购人，在签订和执行合同阶段称为需方。</w:t>
      </w:r>
    </w:p>
    <w:p w14:paraId="3B1EBFE9">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2.7供方：在招投标阶段称为投标人，中标后在签订和执行合同阶段称为供方。</w:t>
      </w:r>
    </w:p>
    <w:p w14:paraId="1A726C86">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2.8“原产地”是指货物开采、生长或生产或提供有关服务的来源地。</w:t>
      </w:r>
    </w:p>
    <w:p w14:paraId="19C0CC59">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2.9“★”标记系指必须满足不能负偏离或必须应答的条款。</w:t>
      </w:r>
    </w:p>
    <w:p w14:paraId="692FA384">
      <w:pPr>
        <w:pStyle w:val="17"/>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合格的投标人</w:t>
      </w:r>
    </w:p>
    <w:p w14:paraId="34EE2323">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3.1符合招标公告中要求的条件</w:t>
      </w:r>
      <w:r>
        <w:rPr>
          <w:rFonts w:hint="eastAsia" w:ascii="宋体" w:hAnsi="宋体" w:cs="宋体"/>
          <w:color w:val="auto"/>
          <w:sz w:val="21"/>
          <w:szCs w:val="21"/>
          <w:highlight w:val="none"/>
          <w:lang w:eastAsia="zh-CN"/>
        </w:rPr>
        <w:t>。</w:t>
      </w:r>
    </w:p>
    <w:p w14:paraId="54FFB73C">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保证</w:t>
      </w:r>
    </w:p>
    <w:p w14:paraId="73B2EF14">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4.1投标单位应保证所提交给招标机构和采购人的资料和数据是真实的。</w:t>
      </w:r>
    </w:p>
    <w:p w14:paraId="7285C7F0">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招标投标费用</w:t>
      </w:r>
    </w:p>
    <w:p w14:paraId="6293B6C5">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5.1不论投标过程中的做法和结果如何，投标人应承担所有与投标有关的全部费用。采购人和采购代理机构在任何情况下均无义务和责任承担上述这些费用。</w:t>
      </w:r>
    </w:p>
    <w:p w14:paraId="38C199C6">
      <w:pPr>
        <w:pStyle w:val="18"/>
        <w:pageBreakBefore w:val="0"/>
        <w:widowControl w:val="0"/>
        <w:kinsoku/>
        <w:wordWrap/>
        <w:overflowPunct/>
        <w:topLinePunct w:val="0"/>
        <w:autoSpaceDE/>
        <w:autoSpaceDN/>
        <w:bidi w:val="0"/>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现场勘察 </w:t>
      </w:r>
    </w:p>
    <w:p w14:paraId="766D7157">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59ECA76E">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6.2投标单位在考察过程中发生的各类事件及所发生的各项费用，均由投标单位自行承担。采购人和代理机构概不负责。</w:t>
      </w:r>
    </w:p>
    <w:p w14:paraId="451CC6E6">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6.3采购人向投标单位提供的有关现场的数据和资料，是采购人现有的能被投标人利用的资料，采购人对投标人据此做出的任何推论、理解和结论不负责任。</w:t>
      </w:r>
    </w:p>
    <w:p w14:paraId="7D7C07D3">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6.4现场踏勘完毕，将认为投标人已了解现场情况，并充分理解了为之所承担的风险、义务和责任。</w:t>
      </w:r>
    </w:p>
    <w:p w14:paraId="528D5466">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联合体投标</w:t>
      </w:r>
    </w:p>
    <w:p w14:paraId="62D39A82">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本项目不允许转包。</w:t>
      </w:r>
    </w:p>
    <w:p w14:paraId="25018FD9">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本项目不允许分包。</w:t>
      </w:r>
    </w:p>
    <w:p w14:paraId="406AD56F">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本项目不接受联合体投标。</w:t>
      </w:r>
    </w:p>
    <w:p w14:paraId="1B195FF3">
      <w:pPr>
        <w:pStyle w:val="4"/>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3" w:name="_Toc29690"/>
      <w:bookmarkStart w:id="14" w:name="_Toc362250688"/>
      <w:bookmarkStart w:id="15" w:name="_Toc29212"/>
      <w:bookmarkStart w:id="16" w:name="_Toc274303230"/>
      <w:bookmarkStart w:id="17" w:name="_Toc12737"/>
      <w:r>
        <w:rPr>
          <w:rFonts w:hint="eastAsia" w:ascii="宋体" w:hAnsi="宋体" w:eastAsia="宋体" w:cs="宋体"/>
          <w:color w:val="auto"/>
          <w:sz w:val="21"/>
          <w:szCs w:val="21"/>
          <w:highlight w:val="none"/>
        </w:rPr>
        <w:t>二、招标文件</w:t>
      </w:r>
      <w:bookmarkEnd w:id="13"/>
      <w:bookmarkEnd w:id="14"/>
      <w:bookmarkEnd w:id="15"/>
      <w:bookmarkEnd w:id="16"/>
      <w:bookmarkEnd w:id="17"/>
    </w:p>
    <w:p w14:paraId="670F830A">
      <w:pPr>
        <w:pageBreakBefore w:val="0"/>
        <w:widowControl w:val="0"/>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招标文件的组成</w:t>
      </w:r>
    </w:p>
    <w:p w14:paraId="5C52CF8D">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8.1招标文件包括下列内容：</w:t>
      </w:r>
    </w:p>
    <w:p w14:paraId="60347CD8">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招标公告</w:t>
      </w:r>
    </w:p>
    <w:p w14:paraId="764E3A55">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投标须知和投标须知前附表</w:t>
      </w:r>
    </w:p>
    <w:p w14:paraId="47CB8694">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招标项目要求</w:t>
      </w:r>
    </w:p>
    <w:p w14:paraId="5D87C0FD">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开标、评标和定标须知</w:t>
      </w:r>
    </w:p>
    <w:p w14:paraId="4D8B6080">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投标文件的有效性</w:t>
      </w:r>
    </w:p>
    <w:p w14:paraId="47456BB4">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评标办法</w:t>
      </w:r>
    </w:p>
    <w:p w14:paraId="6593B7D2">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合同主要条款</w:t>
      </w:r>
    </w:p>
    <w:p w14:paraId="2C56827F">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  投标文件部分格式</w:t>
      </w:r>
    </w:p>
    <w:p w14:paraId="7D9F0744">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8.2除8.1内容外，采购人以书面形式发出的对招标文件的澄清或修改内容，均为招标文件的组成部分，对采购人和投标人起约束作用。</w:t>
      </w:r>
    </w:p>
    <w:p w14:paraId="47B1EE42">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8.3上述所列8.1及8.2条内容均以书面文件为准，采购人（招标代理机构）的任何工作人员对投</w:t>
      </w:r>
      <w:r>
        <w:rPr>
          <w:rFonts w:hint="eastAsia" w:ascii="宋体" w:hAnsi="宋体" w:eastAsia="宋体" w:cs="宋体"/>
          <w:color w:val="auto"/>
          <w:sz w:val="21"/>
          <w:szCs w:val="21"/>
          <w:highlight w:val="none"/>
        </w:rPr>
        <w:t>标人所作的任何口头解释、介绍、答复，对采购人和投标人无任何约束力。</w:t>
      </w:r>
    </w:p>
    <w:p w14:paraId="1F463472">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8.4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14:paraId="665586BF">
      <w:pPr>
        <w:pageBreakBefore w:val="0"/>
        <w:widowControl w:val="0"/>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招标文件的澄清</w:t>
      </w:r>
    </w:p>
    <w:p w14:paraId="024A2303">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9.1投标人若对招标文件有任何疑问，应于前附表规定的时间</w:t>
      </w:r>
      <w:r>
        <w:rPr>
          <w:rFonts w:hint="eastAsia" w:ascii="宋体" w:hAnsi="宋体" w:eastAsia="宋体" w:cs="宋体"/>
          <w:color w:val="auto"/>
          <w:sz w:val="21"/>
          <w:szCs w:val="21"/>
          <w:highlight w:val="none"/>
          <w:lang w:val="en-US" w:eastAsia="zh-CN"/>
        </w:rPr>
        <w:t>及方式</w:t>
      </w:r>
      <w:r>
        <w:rPr>
          <w:rFonts w:hint="eastAsia" w:ascii="宋体" w:hAnsi="宋体" w:eastAsia="宋体" w:cs="宋体"/>
          <w:color w:val="auto"/>
          <w:sz w:val="21"/>
          <w:szCs w:val="21"/>
          <w:highlight w:val="none"/>
        </w:rPr>
        <w:t>向采购人和代理机构提出。</w:t>
      </w:r>
    </w:p>
    <w:p w14:paraId="3E9C388F">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9.2无论是采购人根据需要主动对招标文件进行必要澄清，或是根据投标人的要求对招标文件做出澄清，采购人都将答疑；答疑内容是招标文件的组成部分。</w:t>
      </w:r>
    </w:p>
    <w:p w14:paraId="5F5208FF">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同时将书面澄清文件向所有投标人发送。投标人在收到该澄清文件后应于 一 日内，以书面或传真形式（签署意见并加盖公章）向招标代理机构回函给予确认。过期未回复的，视为默认接收。</w:t>
      </w:r>
    </w:p>
    <w:p w14:paraId="2877A171">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9.3投标单位在前附表规定时间未提交疑问的，视作默认对本次招标过程中招标文件无异议，采购人对其提出的问题可以不作解释。</w:t>
      </w:r>
    </w:p>
    <w:p w14:paraId="1ED85D36">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9.4招标文件澄清、修改、补充等内容均以书面形式明确的内容为准。当招标文件、招标文件的澄清、修改、补充等在同一内容的表述上不一致时，以最后发出的书面文件为准。</w:t>
      </w:r>
    </w:p>
    <w:p w14:paraId="4267F0DB">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9.5采购人及招标代理机构工作人员向投标人所作的任何口头答复或电话通知一律无效。</w:t>
      </w:r>
    </w:p>
    <w:p w14:paraId="6883214E">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9.6投标人应仔细阅读和检查招标文件的全部内容。如发现缺页或附件不全，应及时向采购人提出，以便补齐。如有疑问，应在投标人须知前附表规定的方式及时间前以书面或传真的形式要求采购人对招标文件予以澄清。否则，由此引起的损失由投标人自己承担。</w:t>
      </w:r>
    </w:p>
    <w:p w14:paraId="0D10E22D">
      <w:pPr>
        <w:pStyle w:val="4"/>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8" w:name="_Toc362250689"/>
      <w:bookmarkStart w:id="19" w:name="_Toc31250"/>
      <w:bookmarkStart w:id="20" w:name="_Toc274303231"/>
      <w:bookmarkStart w:id="21" w:name="_Toc16783"/>
      <w:bookmarkStart w:id="22" w:name="_Toc6807"/>
      <w:r>
        <w:rPr>
          <w:rFonts w:hint="eastAsia" w:ascii="宋体" w:hAnsi="宋体" w:eastAsia="宋体" w:cs="宋体"/>
          <w:color w:val="auto"/>
          <w:sz w:val="21"/>
          <w:szCs w:val="21"/>
          <w:highlight w:val="none"/>
        </w:rPr>
        <w:t>三、投标文件</w:t>
      </w:r>
      <w:bookmarkEnd w:id="18"/>
      <w:bookmarkEnd w:id="19"/>
      <w:bookmarkEnd w:id="20"/>
      <w:bookmarkEnd w:id="21"/>
      <w:bookmarkEnd w:id="22"/>
    </w:p>
    <w:p w14:paraId="21F4B176">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w:t>
      </w:r>
      <w:r>
        <w:rPr>
          <w:rFonts w:hint="eastAsia" w:ascii="宋体" w:hAnsi="宋体" w:eastAsia="宋体" w:cs="宋体"/>
          <w:b/>
          <w:color w:val="auto"/>
          <w:sz w:val="21"/>
          <w:szCs w:val="21"/>
          <w:highlight w:val="none"/>
          <w:lang w:eastAsia="zh-CN"/>
        </w:rPr>
        <w:t>.</w:t>
      </w:r>
      <w:r>
        <w:rPr>
          <w:rFonts w:hint="eastAsia" w:ascii="宋体" w:hAnsi="宋体" w:eastAsia="宋体" w:cs="宋体"/>
          <w:b/>
          <w:bCs/>
          <w:color w:val="auto"/>
          <w:sz w:val="21"/>
          <w:szCs w:val="21"/>
          <w:highlight w:val="none"/>
        </w:rPr>
        <w:t>投标文件的语言及度量衡单位</w:t>
      </w:r>
    </w:p>
    <w:p w14:paraId="6B182578">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10.1投标文件和与投标有关的所有文件均应使用汉语。</w:t>
      </w:r>
    </w:p>
    <w:p w14:paraId="79D39A8C">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10.2除工程规范另有规定外，投标文件使用的度量衡单位，均采用中华人民共和国法定计量单位。</w:t>
      </w:r>
    </w:p>
    <w:p w14:paraId="62398E11">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对投标文件的要求</w:t>
      </w:r>
    </w:p>
    <w:p w14:paraId="73C7217A">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11.1投标人应仔细阅读招标文件，了解招标文件的要求，在完全了解招标项目的技术要求和商务要求后，编制投标文件。</w:t>
      </w:r>
    </w:p>
    <w:p w14:paraId="5EB3F033">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11.2编制投标文件时，投标人对招标文件中技术及商务要求须逐条逐项作出实质性回答。</w:t>
      </w:r>
    </w:p>
    <w:p w14:paraId="6F3BB333">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在招标文件对技术要求中，投标人必须充分应答和满足用户的强制性的需求，如“★”等，否则将导致废标。</w:t>
      </w:r>
    </w:p>
    <w:p w14:paraId="3A56BB7F">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11.4投标人应提供证明其拟提供的货物及其辅助服务的合格性及符合招标文件规定的文件，作为其投标文件的一部分。</w:t>
      </w:r>
    </w:p>
    <w:p w14:paraId="0CAC58A6">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11.5货物简要说明中对货物和服务原产地的说明，并应有原产地证书证明，进口货物必须有进口产品的商检证明、报关单等资料。</w:t>
      </w:r>
    </w:p>
    <w:p w14:paraId="7A8EEEE7">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11.6投标人在阐述货物和服务与招标文件的要求相一致的资料时应注意采购人和招标代理机构在</w:t>
      </w:r>
      <w:r>
        <w:rPr>
          <w:rFonts w:hint="eastAsia" w:ascii="宋体" w:hAnsi="宋体" w:eastAsia="宋体" w:cs="宋体"/>
          <w:color w:val="auto"/>
          <w:sz w:val="21"/>
          <w:szCs w:val="21"/>
          <w:highlight w:val="none"/>
        </w:rPr>
        <w:t>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466A45B3">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11.7编制的投标文件对招标文件中有关条款未提出异议的，均被视为接受和同意。</w:t>
      </w:r>
    </w:p>
    <w:p w14:paraId="7F68BE3F">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投标文件的组成</w:t>
      </w:r>
    </w:p>
    <w:p w14:paraId="2410C96B">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招标文件“投标文件部分格式”所列的内容、格式及其投标人认为有必要提供的其他文件。</w:t>
      </w:r>
    </w:p>
    <w:p w14:paraId="5F2FBFCA">
      <w:pPr>
        <w:pStyle w:val="17"/>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 投标文件由资格响应文件、商务技术响应文件和报价响应文件组成，以下的“格式”，指的是第八章投标文件</w:t>
      </w:r>
      <w:r>
        <w:rPr>
          <w:rFonts w:hint="eastAsia" w:ascii="宋体" w:hAnsi="宋体" w:cs="宋体"/>
          <w:b/>
          <w:bCs/>
          <w:color w:val="auto"/>
          <w:sz w:val="21"/>
          <w:szCs w:val="21"/>
          <w:highlight w:val="none"/>
          <w:lang w:val="en-US" w:eastAsia="zh-CN"/>
        </w:rPr>
        <w:t>部分</w:t>
      </w:r>
      <w:r>
        <w:rPr>
          <w:rFonts w:hint="eastAsia" w:ascii="宋体" w:hAnsi="宋体" w:eastAsia="宋体" w:cs="宋体"/>
          <w:b/>
          <w:bCs/>
          <w:color w:val="auto"/>
          <w:sz w:val="21"/>
          <w:szCs w:val="21"/>
          <w:highlight w:val="none"/>
        </w:rPr>
        <w:t>格式中的表格；</w:t>
      </w:r>
    </w:p>
    <w:p w14:paraId="47491E62">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12.2.1 资格响应文件：</w:t>
      </w:r>
      <w:r>
        <w:rPr>
          <w:rFonts w:hint="eastAsia" w:hAnsi="宋体" w:cs="宋体"/>
          <w:color w:val="auto"/>
          <w:sz w:val="21"/>
          <w:szCs w:val="21"/>
          <w:highlight w:val="none"/>
          <w:lang w:eastAsia="zh-CN"/>
        </w:rPr>
        <w:t>投标人</w:t>
      </w:r>
      <w:r>
        <w:rPr>
          <w:rFonts w:hint="eastAsia" w:ascii="宋体" w:hAnsi="宋体" w:eastAsia="宋体" w:cs="宋体"/>
          <w:color w:val="auto"/>
          <w:sz w:val="21"/>
          <w:szCs w:val="21"/>
          <w:highlight w:val="none"/>
        </w:rPr>
        <w:t>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ascii="宋体" w:hAnsi="宋体" w:eastAsia="宋体" w:cs="宋体"/>
          <w:b/>
          <w:bCs/>
          <w:color w:val="auto"/>
          <w:sz w:val="21"/>
          <w:szCs w:val="21"/>
          <w:highlight w:val="none"/>
        </w:rPr>
        <w:t>应包括下列内容（并不仅限于以下）：（</w:t>
      </w:r>
      <w:r>
        <w:rPr>
          <w:rFonts w:hint="eastAsia" w:ascii="宋体" w:hAnsi="宋体" w:eastAsia="宋体" w:cs="宋体"/>
          <w:b/>
          <w:bCs/>
          <w:color w:val="auto"/>
          <w:sz w:val="21"/>
          <w:szCs w:val="21"/>
          <w:highlight w:val="none"/>
          <w:u w:val="single"/>
        </w:rPr>
        <w:t>提供的所有证书应在有效期内，过期的文件无效）</w:t>
      </w:r>
    </w:p>
    <w:p w14:paraId="198A4EB6">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（1）有效的营业执照副本等经营资格扫描件或在“国家企业信用信息公示系统”（网址：http://www.gsxt.gov.cn/）上的单位详细信息打印件；</w:t>
      </w:r>
    </w:p>
    <w:p w14:paraId="3A604A62">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（2）义乌市国企采购项目投标承诺书；</w:t>
      </w:r>
    </w:p>
    <w:p w14:paraId="67A66ADB">
      <w:pPr>
        <w:spacing w:line="360" w:lineRule="auto"/>
        <w:ind w:firstLine="422" w:firstLineChars="200"/>
        <w:rPr>
          <w:rFonts w:hint="eastAsia" w:ascii="宋体" w:hAnsi="宋体" w:cs="宋体"/>
          <w:color w:val="auto"/>
          <w:sz w:val="21"/>
          <w:szCs w:val="21"/>
          <w:highlight w:val="none"/>
          <w:lang w:eastAsia="zh-CN"/>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hAnsi="宋体" w:cs="宋体"/>
          <w:b w:val="0"/>
          <w:bCs/>
          <w:color w:val="auto"/>
          <w:sz w:val="21"/>
          <w:szCs w:val="21"/>
          <w:highlight w:val="none"/>
          <w:lang w:val="en-US" w:eastAsia="zh-CN"/>
        </w:rPr>
        <w:t>法定代表人</w:t>
      </w:r>
      <w:r>
        <w:rPr>
          <w:rFonts w:hint="eastAsia" w:ascii="宋体" w:hAnsi="宋体" w:eastAsia="宋体" w:cs="宋体"/>
          <w:b w:val="0"/>
          <w:bCs/>
          <w:color w:val="auto"/>
          <w:sz w:val="21"/>
          <w:szCs w:val="21"/>
          <w:highlight w:val="none"/>
        </w:rPr>
        <w:t>授权委托书及被授权人身份证</w:t>
      </w:r>
      <w:r>
        <w:rPr>
          <w:rFonts w:hint="eastAsia" w:ascii="宋体" w:hAnsi="宋体" w:eastAsia="宋体" w:cs="宋体"/>
          <w:color w:val="auto"/>
          <w:sz w:val="21"/>
          <w:szCs w:val="21"/>
          <w:highlight w:val="none"/>
          <w:lang w:eastAsia="zh-CN"/>
        </w:rPr>
        <w:t>复印件</w:t>
      </w:r>
      <w:r>
        <w:rPr>
          <w:rFonts w:hint="eastAsia" w:ascii="宋体" w:hAnsi="宋体" w:eastAsia="宋体" w:cs="宋体"/>
          <w:b w:val="0"/>
          <w:bCs/>
          <w:color w:val="auto"/>
          <w:sz w:val="21"/>
          <w:szCs w:val="21"/>
          <w:highlight w:val="none"/>
        </w:rPr>
        <w:t>［适用于非法定代表人参加投标的,说明：法定代表人以营业执照载明的人员为准］；</w:t>
      </w:r>
      <w:r>
        <w:rPr>
          <w:rFonts w:hint="eastAsia" w:ascii="宋体" w:hAnsi="宋体" w:eastAsia="宋体" w:cs="宋体"/>
          <w:color w:val="auto"/>
          <w:sz w:val="21"/>
          <w:szCs w:val="21"/>
          <w:highlight w:val="none"/>
          <w:lang w:eastAsia="zh-CN"/>
        </w:rPr>
        <w:t>或法定代表人身份证复印件［适用于法定代表人参加投标的］</w:t>
      </w:r>
      <w:r>
        <w:rPr>
          <w:rFonts w:hint="eastAsia" w:ascii="宋体" w:hAnsi="宋体" w:cs="宋体"/>
          <w:color w:val="auto"/>
          <w:sz w:val="21"/>
          <w:szCs w:val="21"/>
          <w:highlight w:val="none"/>
          <w:lang w:eastAsia="zh-CN"/>
        </w:rPr>
        <w:t>。</w:t>
      </w:r>
    </w:p>
    <w:p w14:paraId="5492251D">
      <w:pPr>
        <w:pStyle w:val="17"/>
        <w:bidi w:val="0"/>
        <w:ind w:left="0" w:leftChars="0"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具有合法的道路运输经营许可证</w:t>
      </w:r>
      <w:r>
        <w:rPr>
          <w:rFonts w:hint="eastAsia" w:ascii="宋体" w:hAnsi="宋体" w:eastAsia="宋体" w:cs="宋体"/>
          <w:sz w:val="21"/>
          <w:szCs w:val="21"/>
          <w:lang w:val="en-US" w:eastAsia="zh-CN"/>
        </w:rPr>
        <w:t>复印件</w:t>
      </w:r>
      <w:r>
        <w:rPr>
          <w:rFonts w:hint="eastAsia" w:ascii="宋体" w:hAnsi="宋体" w:eastAsia="宋体" w:cs="宋体"/>
          <w:sz w:val="21"/>
          <w:szCs w:val="21"/>
          <w:lang w:eastAsia="zh-CN"/>
        </w:rPr>
        <w:t>；</w:t>
      </w:r>
    </w:p>
    <w:p w14:paraId="04E7DF08">
      <w:pPr>
        <w:pStyle w:val="17"/>
        <w:bidi w:val="0"/>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拥有2辆荷载≥0.5吨小型垃圾收集车、1辆核载≥3吨洒水车</w:t>
      </w:r>
      <w:r>
        <w:rPr>
          <w:rFonts w:hint="eastAsia" w:ascii="宋体" w:hAnsi="宋体" w:eastAsia="宋体" w:cs="宋体"/>
          <w:sz w:val="21"/>
          <w:szCs w:val="21"/>
          <w:lang w:eastAsia="zh-CN"/>
        </w:rPr>
        <w:t>及</w:t>
      </w:r>
      <w:r>
        <w:rPr>
          <w:rFonts w:hint="eastAsia" w:ascii="宋体" w:hAnsi="宋体" w:eastAsia="宋体" w:cs="宋体"/>
          <w:sz w:val="21"/>
          <w:szCs w:val="21"/>
          <w:lang w:val="en-US" w:eastAsia="zh-CN"/>
        </w:rPr>
        <w:t>1辆小型高压冲洗车</w:t>
      </w:r>
      <w:r>
        <w:rPr>
          <w:rFonts w:hint="eastAsia" w:ascii="宋体" w:hAnsi="宋体" w:eastAsia="宋体" w:cs="宋体"/>
          <w:sz w:val="21"/>
          <w:szCs w:val="21"/>
        </w:rPr>
        <w:t>的企业（所有车辆需在投标人公司名下，需提供</w:t>
      </w:r>
      <w:r>
        <w:rPr>
          <w:rFonts w:hint="eastAsia" w:ascii="宋体" w:hAnsi="宋体" w:eastAsia="宋体" w:cs="宋体"/>
          <w:sz w:val="21"/>
          <w:szCs w:val="21"/>
          <w:lang w:val="en-US" w:eastAsia="zh-CN"/>
        </w:rPr>
        <w:t>所有车辆行驶证有效期内</w:t>
      </w:r>
      <w:r>
        <w:rPr>
          <w:rFonts w:hint="eastAsia" w:ascii="宋体" w:hAnsi="宋体" w:eastAsia="宋体" w:cs="宋体"/>
          <w:sz w:val="21"/>
          <w:szCs w:val="21"/>
        </w:rPr>
        <w:t>的清晰照片）</w:t>
      </w:r>
      <w:r>
        <w:rPr>
          <w:rFonts w:hint="eastAsia" w:ascii="宋体" w:hAnsi="宋体" w:eastAsia="宋体" w:cs="宋体"/>
          <w:sz w:val="21"/>
          <w:szCs w:val="21"/>
          <w:lang w:val="en-US" w:eastAsia="zh-CN"/>
        </w:rPr>
        <w:t>。</w:t>
      </w:r>
    </w:p>
    <w:p w14:paraId="44334BFB">
      <w:pPr>
        <w:pStyle w:val="17"/>
        <w:bidi w:val="0"/>
        <w:ind w:left="0" w:leftChars="0"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投标人至少须有5名以本单位名义参投社会养老保险且在近3个月（近3个月指的是从202</w:t>
      </w:r>
      <w:r>
        <w:rPr>
          <w:rFonts w:hint="eastAsia" w:ascii="宋体" w:hAnsi="宋体" w:eastAsia="宋体" w:cs="宋体"/>
          <w:sz w:val="21"/>
          <w:szCs w:val="21"/>
          <w:lang w:val="en-US" w:eastAsia="zh-CN"/>
        </w:rPr>
        <w:t>5</w:t>
      </w:r>
      <w:r>
        <w:rPr>
          <w:rFonts w:hint="eastAsia" w:ascii="宋体" w:hAnsi="宋体" w:eastAsia="宋体" w:cs="宋体"/>
          <w:sz w:val="21"/>
          <w:szCs w:val="21"/>
        </w:rPr>
        <w:t>年</w:t>
      </w:r>
      <w:r>
        <w:rPr>
          <w:rFonts w:hint="eastAsia" w:ascii="宋体" w:hAnsi="宋体" w:eastAsia="宋体" w:cs="宋体"/>
          <w:sz w:val="21"/>
          <w:szCs w:val="21"/>
          <w:lang w:val="en-US" w:eastAsia="zh-CN"/>
        </w:rPr>
        <w:t>08</w:t>
      </w:r>
      <w:r>
        <w:rPr>
          <w:rFonts w:hint="eastAsia" w:ascii="宋体" w:hAnsi="宋体" w:eastAsia="宋体" w:cs="宋体"/>
          <w:sz w:val="21"/>
          <w:szCs w:val="21"/>
        </w:rPr>
        <w:t>月01日至投标截止时止期间中任何一个连续3个月）正常缴费的</w:t>
      </w:r>
      <w:r>
        <w:rPr>
          <w:rFonts w:hint="eastAsia" w:ascii="宋体" w:hAnsi="宋体" w:eastAsia="宋体" w:cs="宋体"/>
          <w:sz w:val="21"/>
          <w:szCs w:val="21"/>
          <w:lang w:val="en-US" w:eastAsia="zh-CN"/>
        </w:rPr>
        <w:t>一线</w:t>
      </w:r>
      <w:r>
        <w:rPr>
          <w:rFonts w:hint="eastAsia" w:ascii="宋体" w:hAnsi="宋体" w:eastAsia="宋体" w:cs="宋体"/>
          <w:sz w:val="21"/>
          <w:szCs w:val="21"/>
        </w:rPr>
        <w:t>员工</w:t>
      </w:r>
      <w:r>
        <w:rPr>
          <w:rFonts w:hint="eastAsia" w:ascii="宋体" w:hAnsi="宋体" w:eastAsia="宋体" w:cs="宋体"/>
          <w:sz w:val="21"/>
          <w:szCs w:val="21"/>
          <w:lang w:val="en-US" w:eastAsia="zh-CN"/>
        </w:rPr>
        <w:t>社保证明复印件</w:t>
      </w:r>
      <w:r>
        <w:rPr>
          <w:rFonts w:hint="eastAsia" w:ascii="宋体" w:hAnsi="宋体" w:eastAsia="宋体" w:cs="宋体"/>
          <w:sz w:val="21"/>
          <w:szCs w:val="21"/>
          <w:lang w:eastAsia="zh-CN"/>
        </w:rPr>
        <w:t>；</w:t>
      </w:r>
    </w:p>
    <w:p w14:paraId="081C6E93">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12.2.2 商务技术响应文件</w:t>
      </w:r>
      <w:r>
        <w:rPr>
          <w:rFonts w:hint="eastAsia" w:ascii="宋体" w:hAnsi="宋体" w:eastAsia="宋体" w:cs="宋体"/>
          <w:color w:val="auto"/>
          <w:sz w:val="21"/>
          <w:szCs w:val="21"/>
          <w:highlight w:val="none"/>
        </w:rPr>
        <w:t>：投标货物、服务符合性的有关证明及技术资料：投标人须提交参投货物的详细技术文件，其形式可以是文字资料、图纸和数据等，证明其拟供货物和服务符合</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文件规定的技术响应文件，作为投标文件的一部分。</w:t>
      </w:r>
      <w:r>
        <w:rPr>
          <w:rFonts w:hint="eastAsia" w:ascii="宋体" w:hAnsi="宋体" w:eastAsia="宋体" w:cs="宋体"/>
          <w:b/>
          <w:bCs/>
          <w:color w:val="auto"/>
          <w:sz w:val="21"/>
          <w:szCs w:val="21"/>
          <w:highlight w:val="none"/>
        </w:rPr>
        <w:t>应包括下列内容（并不仅限于以下）</w:t>
      </w:r>
    </w:p>
    <w:p w14:paraId="45F25209">
      <w:pPr>
        <w:widowControl/>
        <w:spacing w:line="480" w:lineRule="exact"/>
        <w:ind w:firstLine="422" w:firstLineChars="200"/>
        <w:rPr>
          <w:rFonts w:hint="eastAsia" w:ascii="宋体" w:hAnsi="宋体"/>
          <w:color w:val="auto"/>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olor w:val="auto"/>
          <w:szCs w:val="21"/>
          <w:highlight w:val="none"/>
        </w:rPr>
        <w:t>项目服务方案；</w:t>
      </w:r>
    </w:p>
    <w:p w14:paraId="3CFDDA96">
      <w:pPr>
        <w:pStyle w:val="18"/>
        <w:spacing w:line="480" w:lineRule="exact"/>
        <w:ind w:firstLine="422" w:firstLineChars="200"/>
        <w:rPr>
          <w:rFonts w:hint="eastAsia" w:hAnsi="宋体" w:cs="宋体"/>
          <w:color w:val="auto"/>
          <w:kern w:val="0"/>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hAnsi="宋体" w:cs="宋体"/>
          <w:color w:val="auto"/>
          <w:kern w:val="0"/>
          <w:highlight w:val="none"/>
        </w:rPr>
        <w:t>设备及</w:t>
      </w:r>
      <w:r>
        <w:rPr>
          <w:rFonts w:hint="eastAsia" w:hAnsi="宋体"/>
          <w:color w:val="auto"/>
          <w:highlight w:val="none"/>
        </w:rPr>
        <w:t>工具材料简要说明一览表</w:t>
      </w:r>
      <w:r>
        <w:rPr>
          <w:rFonts w:hint="eastAsia" w:hAnsi="宋体" w:cs="宋体"/>
          <w:color w:val="auto"/>
          <w:kern w:val="0"/>
          <w:highlight w:val="none"/>
        </w:rPr>
        <w:t>；</w:t>
      </w:r>
    </w:p>
    <w:p w14:paraId="4DD13A2C">
      <w:pPr>
        <w:spacing w:line="360" w:lineRule="auto"/>
        <w:ind w:firstLine="422" w:firstLineChars="200"/>
        <w:rPr>
          <w:rFonts w:hint="eastAsia" w:ascii="宋体" w:hAnsi="宋体" w:cs="宋体"/>
          <w:color w:val="auto"/>
          <w:kern w:val="0"/>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kern w:val="2"/>
          <w:sz w:val="21"/>
          <w:szCs w:val="24"/>
          <w:highlight w:val="none"/>
          <w:lang w:val="en-US" w:eastAsia="zh-CN" w:bidi="ar-SA"/>
        </w:rPr>
        <w:t>规范偏离表；</w:t>
      </w:r>
    </w:p>
    <w:p w14:paraId="0AEB55F2">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eastAsia="宋体" w:cs="宋体"/>
          <w:b/>
          <w:color w:val="auto"/>
          <w:sz w:val="21"/>
          <w:szCs w:val="21"/>
          <w:highlight w:val="none"/>
        </w:rPr>
        <w:t>★</w:t>
      </w: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color w:val="auto"/>
          <w:kern w:val="0"/>
          <w:szCs w:val="21"/>
          <w:highlight w:val="none"/>
        </w:rPr>
        <w:t>服务质量保证承诺书</w:t>
      </w:r>
      <w:r>
        <w:rPr>
          <w:rFonts w:hint="eastAsia" w:hAnsi="宋体"/>
          <w:color w:val="auto"/>
          <w:kern w:val="0"/>
          <w:szCs w:val="21"/>
          <w:highlight w:val="none"/>
          <w:lang w:eastAsia="zh-CN"/>
        </w:rPr>
        <w:t>；</w:t>
      </w:r>
    </w:p>
    <w:p w14:paraId="6482C44C">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b w:val="0"/>
          <w:bCs w:val="0"/>
          <w:color w:val="auto"/>
          <w:szCs w:val="21"/>
          <w:highlight w:val="none"/>
          <w:u w:val="none"/>
          <w:lang w:val="en-US" w:eastAsia="zh-CN"/>
        </w:rPr>
        <w:t>按时支付工人工资的承诺书</w:t>
      </w:r>
      <w:r>
        <w:rPr>
          <w:rFonts w:hint="eastAsia" w:hAnsi="宋体" w:cs="宋体"/>
          <w:b w:val="0"/>
          <w:bCs w:val="0"/>
          <w:color w:val="auto"/>
          <w:szCs w:val="21"/>
          <w:highlight w:val="none"/>
          <w:u w:val="none"/>
          <w:lang w:val="en-US" w:eastAsia="zh-CN"/>
        </w:rPr>
        <w:t>；</w:t>
      </w:r>
    </w:p>
    <w:p w14:paraId="2AE4DF33">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2"/>
          <w:sz w:val="21"/>
          <w:szCs w:val="24"/>
          <w:highlight w:val="none"/>
          <w:lang w:val="en-US" w:eastAsia="zh-CN" w:bidi="ar-SA"/>
        </w:rPr>
        <w:t>（</w:t>
      </w:r>
      <w:r>
        <w:rPr>
          <w:rFonts w:hint="eastAsia" w:hAnsi="宋体" w:cs="宋体"/>
          <w:b w:val="0"/>
          <w:bCs w:val="0"/>
          <w:color w:val="auto"/>
          <w:kern w:val="2"/>
          <w:sz w:val="21"/>
          <w:szCs w:val="24"/>
          <w:highlight w:val="none"/>
          <w:lang w:val="en-US" w:eastAsia="zh-CN" w:bidi="ar-SA"/>
        </w:rPr>
        <w:t>6</w:t>
      </w:r>
      <w:r>
        <w:rPr>
          <w:rFonts w:hint="eastAsia" w:ascii="宋体" w:hAnsi="宋体" w:eastAsia="宋体" w:cs="宋体"/>
          <w:b w:val="0"/>
          <w:bCs w:val="0"/>
          <w:color w:val="auto"/>
          <w:kern w:val="2"/>
          <w:sz w:val="21"/>
          <w:szCs w:val="24"/>
          <w:highlight w:val="none"/>
          <w:lang w:val="en-US" w:eastAsia="zh-CN" w:bidi="ar-SA"/>
        </w:rPr>
        <w:t>）</w:t>
      </w:r>
      <w:r>
        <w:rPr>
          <w:rFonts w:hint="eastAsia" w:ascii="宋体" w:hAnsi="宋体" w:eastAsia="宋体" w:cs="宋体"/>
          <w:color w:val="auto"/>
          <w:szCs w:val="21"/>
          <w:highlight w:val="none"/>
        </w:rPr>
        <w:t>根据评审需要、招标文件要求等，投标人自行考虑需提供的资料。</w:t>
      </w:r>
    </w:p>
    <w:p w14:paraId="20D7EC80">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549DE752">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12.2.3报价响应文件：应包括下列内容（并不仅限于以下）</w:t>
      </w:r>
    </w:p>
    <w:p w14:paraId="550C7B11">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（1）开标一览表；</w:t>
      </w:r>
    </w:p>
    <w:p w14:paraId="4CFB29F5">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2684FB7C">
      <w:pPr>
        <w:pStyle w:val="17"/>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投标人资格的有关证明资料</w:t>
      </w:r>
    </w:p>
    <w:p w14:paraId="6C59314C">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13.1投标人应提交证明其有资格参加投标和中标后有能力履行合同的文件，并作为其投标文件的一部分。</w:t>
      </w:r>
    </w:p>
    <w:p w14:paraId="066DB560">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投标人提交的合格性的证明文件应使采购人满意，投标人在投标时应是符合条件的投标人。</w:t>
      </w:r>
    </w:p>
    <w:p w14:paraId="29A2E915">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投标报价</w:t>
      </w:r>
    </w:p>
    <w:p w14:paraId="7F9D5C1E">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14.1投标人应根据国家的有关规定和招标文件要求并结合企业的实际情况进行投标报价。具体详见招标文件第三章中的商务要求。</w:t>
      </w:r>
    </w:p>
    <w:p w14:paraId="65119F82">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投标文件格式</w:t>
      </w:r>
    </w:p>
    <w:p w14:paraId="6260128C">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213EB799">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504B5760">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投标文件编制要求</w:t>
      </w:r>
    </w:p>
    <w:p w14:paraId="2105AA9C">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16.1投标人应仔细阅读招标文件，了解招标文件的要求，在完全了解招标项目的要求后，编制投标文件。</w:t>
      </w:r>
    </w:p>
    <w:p w14:paraId="79F94134">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16.2在招标文件对技术要求中，投标人必须充分应答和满足用户的强制性的需求，如“★”等，否则将导致无效标。</w:t>
      </w:r>
    </w:p>
    <w:p w14:paraId="12726F4C">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16.3编制的投标文件对招标文件中有关条款未提出异议的，均被视为接受和同意。</w:t>
      </w:r>
    </w:p>
    <w:p w14:paraId="1C824CC6">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16.4投标人应根据电子投标操作指南按本招标文件规定的格式和顺序编制电子投标文件并进行关联定位。</w:t>
      </w:r>
    </w:p>
    <w:p w14:paraId="42042EC3">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16.5由于未按招标文件的规定要求编制投标文件，导致评审小组作出的对投标人的误判，责任由投标人自己承担。</w:t>
      </w:r>
    </w:p>
    <w:p w14:paraId="4CE272B4">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投标有效期</w:t>
      </w:r>
    </w:p>
    <w:p w14:paraId="27E322EC">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投标文件从开标之日起，投标有效期为60天。</w:t>
      </w:r>
    </w:p>
    <w:p w14:paraId="7387231C">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特殊情况下，在原投标有效期截止之前，采购人可要求投标人同意延长有效期，这种要求与答复均应以书面形式提交。</w:t>
      </w:r>
      <w:bookmarkStart w:id="23" w:name="_Toc274303232"/>
      <w:bookmarkStart w:id="24" w:name="_Toc27009"/>
      <w:bookmarkStart w:id="25" w:name="_Toc362250690"/>
      <w:bookmarkStart w:id="26" w:name="_Toc8254"/>
    </w:p>
    <w:p w14:paraId="7B3460FB">
      <w:pPr>
        <w:pStyle w:val="4"/>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27" w:name="_Toc24242"/>
      <w:r>
        <w:rPr>
          <w:rFonts w:hint="eastAsia" w:ascii="宋体" w:hAnsi="宋体" w:eastAsia="宋体" w:cs="宋体"/>
          <w:color w:val="auto"/>
          <w:sz w:val="21"/>
          <w:szCs w:val="21"/>
          <w:highlight w:val="none"/>
        </w:rPr>
        <w:t>四、投标文件的递交</w:t>
      </w:r>
      <w:bookmarkEnd w:id="23"/>
      <w:bookmarkEnd w:id="24"/>
      <w:bookmarkEnd w:id="25"/>
      <w:bookmarkEnd w:id="26"/>
      <w:bookmarkEnd w:id="27"/>
      <w:bookmarkStart w:id="28" w:name="_Toc7770"/>
      <w:bookmarkStart w:id="29" w:name="_Toc6809"/>
    </w:p>
    <w:p w14:paraId="156C5EB9">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18.电子投标文件上传的地点和截止时间</w:t>
      </w:r>
    </w:p>
    <w:p w14:paraId="2A51FF5B">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cs="宋体"/>
          <w:color w:val="auto"/>
          <w:highlight w:val="none"/>
          <w:lang w:val="en-US" w:eastAsia="zh-CN"/>
        </w:rPr>
        <w:t>2026</w:t>
      </w:r>
      <w:r>
        <w:rPr>
          <w:rFonts w:hint="eastAsia" w:ascii="宋体" w:hAnsi="宋体" w:cs="宋体"/>
          <w:color w:val="auto"/>
          <w:highlight w:val="none"/>
        </w:rPr>
        <w:t>年</w:t>
      </w:r>
      <w:r>
        <w:rPr>
          <w:rFonts w:hint="eastAsia" w:ascii="宋体" w:hAnsi="宋体" w:cs="宋体"/>
          <w:color w:val="auto"/>
          <w:highlight w:val="none"/>
          <w:lang w:val="en-US" w:eastAsia="zh-CN"/>
        </w:rPr>
        <w:t>1月13日09:00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p w14:paraId="5E782BE4">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19.</w:t>
      </w:r>
      <w:r>
        <w:rPr>
          <w:rFonts w:hint="eastAsia" w:ascii="宋体" w:hAnsi="宋体" w:eastAsia="宋体" w:cs="宋体"/>
          <w:b/>
          <w:bCs/>
          <w:color w:val="auto"/>
          <w:sz w:val="21"/>
          <w:szCs w:val="21"/>
          <w:highlight w:val="none"/>
        </w:rPr>
        <w:t>投标文件的补充、修改与撤回</w:t>
      </w:r>
    </w:p>
    <w:p w14:paraId="7D40BFE6">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19.1投标人在“义乌市阳光招标采购平台”上提交投标文件以后，在规定的投标截止时间之前，可以重新补充修改或撤回已上传的投标文件，补充、修改的内容为投标文件的组成部分。</w:t>
      </w:r>
    </w:p>
    <w:p w14:paraId="699C4A67">
      <w:pPr>
        <w:pStyle w:val="17"/>
        <w:pageBreakBefore w:val="0"/>
        <w:widowControl w:val="0"/>
        <w:kinsoku/>
        <w:wordWrap/>
        <w:overflowPunct/>
        <w:topLinePunct w:val="0"/>
        <w:autoSpaceDE/>
        <w:autoSpaceDN/>
        <w:bidi w:val="0"/>
        <w:spacing w:line="360" w:lineRule="auto"/>
        <w:ind w:firstLine="411" w:firstLineChars="196"/>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19.2在投标截止时间之后，</w:t>
      </w:r>
      <w:r>
        <w:rPr>
          <w:rFonts w:hint="eastAsia" w:ascii="宋体" w:hAnsi="宋体" w:eastAsia="宋体" w:cs="宋体"/>
          <w:color w:val="auto"/>
          <w:spacing w:val="-6"/>
          <w:sz w:val="21"/>
          <w:szCs w:val="21"/>
          <w:highlight w:val="none"/>
        </w:rPr>
        <w:t>投标人不得对其投标做任何修改。</w:t>
      </w:r>
    </w:p>
    <w:p w14:paraId="369D2146">
      <w:pPr>
        <w:pStyle w:val="18"/>
        <w:pageBreakBefore w:val="0"/>
        <w:widowControl w:val="0"/>
        <w:kinsoku/>
        <w:wordWrap/>
        <w:overflowPunct/>
        <w:topLinePunct w:val="0"/>
        <w:autoSpaceDE/>
        <w:autoSpaceDN/>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19.3从投标截止时间至投标人在投标书格式中确定的投标有效期期满这段时间内，投标人不得撤回其投标，否则将通报市信用管理部门，列入严重失信名单。</w:t>
      </w:r>
    </w:p>
    <w:p w14:paraId="05F0993A">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20.投标文件解密</w:t>
      </w:r>
    </w:p>
    <w:p w14:paraId="4781F3B9">
      <w:pPr>
        <w:pStyle w:val="18"/>
        <w:spacing w:line="360" w:lineRule="auto"/>
        <w:ind w:firstLine="480"/>
        <w:rPr>
          <w:rFonts w:hint="eastAsia" w:hAnsi="宋体" w:cs="宋体"/>
          <w:color w:val="auto"/>
          <w:highlight w:val="none"/>
        </w:rPr>
      </w:pPr>
      <w:r>
        <w:rPr>
          <w:rFonts w:hint="eastAsia" w:ascii="Times New Roman" w:hAnsi="宋体" w:eastAsia="宋体" w:cs="Times New Roman"/>
          <w:b w:val="0"/>
          <w:bCs/>
          <w:color w:val="auto"/>
          <w:highlight w:val="none"/>
          <w:lang w:val="zh-CN"/>
        </w:rPr>
        <w:t>本项目采用不见面开标方式</w:t>
      </w:r>
      <w:r>
        <w:rPr>
          <w:rFonts w:hint="eastAsia" w:hAnsi="宋体" w:cs="宋体"/>
          <w:color w:val="auto"/>
          <w:highlight w:val="none"/>
        </w:rPr>
        <w:t>，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4CBC1FA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4A880413">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4C85B1B0">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7325504C">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浏览器版本过低导致无法识别——更换Egde、谷歌浏览器</w:t>
      </w:r>
      <w:r>
        <w:rPr>
          <w:rFonts w:hint="eastAsia" w:ascii="宋体" w:hAnsi="宋体" w:cs="宋体"/>
          <w:color w:val="auto"/>
          <w:highlight w:val="none"/>
          <w:lang w:eastAsia="zh-CN"/>
        </w:rPr>
        <w:t>；</w:t>
      </w:r>
    </w:p>
    <w:p w14:paraId="651B72FE">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259D8B6B">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4C51D66B">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（6）因系统安装多版本驱动导致无法识别CA锁——卸载其他驱动或更换其他电脑安装驱动。</w:t>
      </w:r>
    </w:p>
    <w:p w14:paraId="0AD4BC48">
      <w:pPr>
        <w:pStyle w:val="4"/>
        <w:pageBreakBefore w:val="0"/>
        <w:widowControl w:val="0"/>
        <w:kinsoku/>
        <w:wordWrap/>
        <w:overflowPunct/>
        <w:topLinePunct w:val="0"/>
        <w:autoSpaceDE/>
        <w:autoSpaceDN/>
        <w:bidi w:val="0"/>
        <w:spacing w:before="120" w:after="120" w:line="360" w:lineRule="auto"/>
        <w:rPr>
          <w:rFonts w:hint="default" w:ascii="宋体" w:hAnsi="宋体" w:eastAsia="宋体" w:cs="宋体"/>
          <w:color w:val="auto"/>
          <w:sz w:val="21"/>
          <w:szCs w:val="21"/>
          <w:highlight w:val="none"/>
          <w:lang w:val="en-US" w:eastAsia="zh-CN"/>
        </w:rPr>
      </w:pPr>
      <w:bookmarkStart w:id="30" w:name="_Toc2235"/>
      <w:r>
        <w:rPr>
          <w:rFonts w:hint="eastAsia" w:ascii="宋体" w:hAnsi="宋体" w:eastAsia="宋体" w:cs="宋体"/>
          <w:color w:val="auto"/>
          <w:sz w:val="21"/>
          <w:szCs w:val="21"/>
          <w:highlight w:val="none"/>
        </w:rPr>
        <w:t>五、</w:t>
      </w:r>
      <w:bookmarkEnd w:id="28"/>
      <w:bookmarkEnd w:id="29"/>
      <w:r>
        <w:rPr>
          <w:rFonts w:hint="eastAsia" w:ascii="宋体" w:hAnsi="宋体" w:eastAsia="宋体" w:cs="宋体"/>
          <w:color w:val="auto"/>
          <w:sz w:val="21"/>
          <w:szCs w:val="21"/>
          <w:highlight w:val="none"/>
          <w:lang w:val="en-US" w:eastAsia="zh-CN"/>
        </w:rPr>
        <w:t>费用缴纳</w:t>
      </w:r>
      <w:bookmarkEnd w:id="30"/>
    </w:p>
    <w:p w14:paraId="5C330C0A">
      <w:pPr>
        <w:spacing w:line="360" w:lineRule="auto"/>
        <w:ind w:firstLine="435"/>
        <w:rPr>
          <w:rFonts w:hint="eastAsia" w:ascii="宋体" w:hAnsi="宋体" w:cs="宋体"/>
          <w:color w:val="auto"/>
          <w:spacing w:val="-6"/>
          <w:highlight w:val="none"/>
          <w:lang w:val="en-US" w:eastAsia="zh-CN"/>
        </w:rPr>
      </w:pPr>
      <w:r>
        <w:rPr>
          <w:rFonts w:hint="eastAsia" w:ascii="宋体" w:hAnsi="宋体" w:cs="宋体"/>
          <w:color w:val="auto"/>
          <w:spacing w:val="-6"/>
          <w:highlight w:val="none"/>
          <w:lang w:val="en-US" w:eastAsia="zh-CN"/>
        </w:rPr>
        <w:t>1.</w:t>
      </w:r>
      <w:r>
        <w:rPr>
          <w:rFonts w:hint="eastAsia" w:ascii="宋体" w:hAnsi="宋体" w:cs="宋体"/>
          <w:color w:val="auto"/>
          <w:spacing w:val="-6"/>
          <w:szCs w:val="21"/>
          <w:highlight w:val="none"/>
        </w:rPr>
        <w:t>招标服务费于中标通知书发送前按照</w:t>
      </w:r>
      <w:r>
        <w:rPr>
          <w:rFonts w:hint="eastAsia" w:ascii="宋体" w:hAnsi="宋体" w:cs="宋体"/>
          <w:b/>
          <w:bCs/>
          <w:color w:val="auto"/>
          <w:spacing w:val="-6"/>
          <w:szCs w:val="21"/>
          <w:highlight w:val="none"/>
          <w:lang w:val="en-US" w:eastAsia="zh-CN"/>
        </w:rPr>
        <w:t>中标</w:t>
      </w:r>
      <w:r>
        <w:rPr>
          <w:rFonts w:hint="eastAsia" w:ascii="宋体" w:hAnsi="宋体" w:cs="宋体"/>
          <w:color w:val="auto"/>
          <w:spacing w:val="-6"/>
          <w:szCs w:val="21"/>
          <w:highlight w:val="none"/>
        </w:rPr>
        <w:t>金额向中标方收取。单宗招标服务费不足3000元按3000元收取。</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1335"/>
        <w:gridCol w:w="3967"/>
      </w:tblGrid>
      <w:tr w14:paraId="462C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14:paraId="720FC436">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中标金额（万元）</w:t>
            </w:r>
          </w:p>
        </w:tc>
        <w:tc>
          <w:tcPr>
            <w:tcW w:w="1335" w:type="dxa"/>
            <w:tcBorders>
              <w:top w:val="single" w:color="auto" w:sz="4" w:space="0"/>
              <w:left w:val="single" w:color="auto" w:sz="4" w:space="0"/>
              <w:bottom w:val="single" w:color="auto" w:sz="4" w:space="0"/>
              <w:right w:val="single" w:color="auto" w:sz="4" w:space="0"/>
            </w:tcBorders>
            <w:noWrap w:val="0"/>
            <w:vAlign w:val="top"/>
          </w:tcPr>
          <w:p w14:paraId="6745CD51">
            <w:pPr>
              <w:pStyle w:val="18"/>
              <w:pageBreakBefore w:val="0"/>
              <w:kinsoku/>
              <w:wordWrap/>
              <w:topLinePunct w:val="0"/>
              <w:bidi w:val="0"/>
              <w:spacing w:line="48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收费标准</w:t>
            </w:r>
          </w:p>
        </w:tc>
        <w:tc>
          <w:tcPr>
            <w:tcW w:w="3967" w:type="dxa"/>
            <w:tcBorders>
              <w:top w:val="single" w:color="auto" w:sz="4" w:space="0"/>
              <w:left w:val="single" w:color="auto" w:sz="4" w:space="0"/>
              <w:bottom w:val="single" w:color="auto" w:sz="4" w:space="0"/>
              <w:right w:val="single" w:color="auto" w:sz="4" w:space="0"/>
            </w:tcBorders>
            <w:noWrap w:val="0"/>
            <w:vAlign w:val="top"/>
          </w:tcPr>
          <w:p w14:paraId="0F3F3D8C">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备注</w:t>
            </w:r>
          </w:p>
        </w:tc>
      </w:tr>
      <w:tr w14:paraId="11AF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14:paraId="2E8B32D7">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以下</w:t>
            </w:r>
          </w:p>
        </w:tc>
        <w:tc>
          <w:tcPr>
            <w:tcW w:w="1335" w:type="dxa"/>
            <w:tcBorders>
              <w:top w:val="single" w:color="auto" w:sz="4" w:space="0"/>
              <w:left w:val="single" w:color="auto" w:sz="4" w:space="0"/>
              <w:bottom w:val="single" w:color="auto" w:sz="4" w:space="0"/>
              <w:right w:val="single" w:color="auto" w:sz="4" w:space="0"/>
            </w:tcBorders>
            <w:noWrap w:val="0"/>
            <w:vAlign w:val="top"/>
          </w:tcPr>
          <w:p w14:paraId="154D4234">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1.5%</w:t>
            </w:r>
          </w:p>
        </w:tc>
        <w:tc>
          <w:tcPr>
            <w:tcW w:w="3967" w:type="dxa"/>
            <w:vMerge w:val="restart"/>
            <w:tcBorders>
              <w:top w:val="single" w:color="auto" w:sz="4" w:space="0"/>
              <w:left w:val="single" w:color="auto" w:sz="4" w:space="0"/>
              <w:right w:val="single" w:color="auto" w:sz="4" w:space="0"/>
            </w:tcBorders>
            <w:noWrap w:val="0"/>
            <w:vAlign w:val="top"/>
          </w:tcPr>
          <w:p w14:paraId="6669450D">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招标服务采用差额定率累进法计算，向中标方单向收取。</w:t>
            </w:r>
          </w:p>
          <w:p w14:paraId="2224308A">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例：中标金额为1000万。服务费=100万×1.5%+400万×0.8%+500万×0.45%=6.95万</w:t>
            </w:r>
          </w:p>
        </w:tc>
      </w:tr>
      <w:tr w14:paraId="39E6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14:paraId="6B893494">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100-500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14:paraId="49B3F9BA">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0.8%</w:t>
            </w:r>
          </w:p>
        </w:tc>
        <w:tc>
          <w:tcPr>
            <w:tcW w:w="3967" w:type="dxa"/>
            <w:vMerge w:val="continue"/>
            <w:tcBorders>
              <w:left w:val="single" w:color="auto" w:sz="4" w:space="0"/>
              <w:right w:val="single" w:color="auto" w:sz="4" w:space="0"/>
            </w:tcBorders>
            <w:noWrap w:val="0"/>
            <w:vAlign w:val="center"/>
          </w:tcPr>
          <w:p w14:paraId="04DC3884">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14:paraId="5203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14:paraId="2E76ACEC">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500-1000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14:paraId="40D5A712">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0.45%</w:t>
            </w:r>
          </w:p>
        </w:tc>
        <w:tc>
          <w:tcPr>
            <w:tcW w:w="3967" w:type="dxa"/>
            <w:vMerge w:val="continue"/>
            <w:tcBorders>
              <w:left w:val="single" w:color="auto" w:sz="4" w:space="0"/>
              <w:right w:val="single" w:color="auto" w:sz="4" w:space="0"/>
            </w:tcBorders>
            <w:noWrap w:val="0"/>
            <w:vAlign w:val="center"/>
          </w:tcPr>
          <w:p w14:paraId="28D56348">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14:paraId="62CE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14:paraId="606C4A10">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1000-5000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14:paraId="710C5544">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0.25%</w:t>
            </w:r>
          </w:p>
        </w:tc>
        <w:tc>
          <w:tcPr>
            <w:tcW w:w="3967" w:type="dxa"/>
            <w:vMerge w:val="continue"/>
            <w:tcBorders>
              <w:left w:val="single" w:color="auto" w:sz="4" w:space="0"/>
              <w:right w:val="single" w:color="auto" w:sz="4" w:space="0"/>
            </w:tcBorders>
            <w:noWrap w:val="0"/>
            <w:vAlign w:val="center"/>
          </w:tcPr>
          <w:p w14:paraId="0300CD35">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14:paraId="6D22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14:paraId="2824DA74">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5000-10000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14:paraId="75EF68B6">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0.1%</w:t>
            </w:r>
          </w:p>
        </w:tc>
        <w:tc>
          <w:tcPr>
            <w:tcW w:w="3967" w:type="dxa"/>
            <w:vMerge w:val="continue"/>
            <w:tcBorders>
              <w:left w:val="single" w:color="auto" w:sz="4" w:space="0"/>
              <w:right w:val="single" w:color="auto" w:sz="4" w:space="0"/>
            </w:tcBorders>
            <w:noWrap w:val="0"/>
            <w:vAlign w:val="center"/>
          </w:tcPr>
          <w:p w14:paraId="4261A6B3">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14:paraId="600C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14:paraId="735D232C">
            <w:pPr>
              <w:pStyle w:val="18"/>
              <w:pageBreakBefore w:val="0"/>
              <w:kinsoku/>
              <w:wordWrap/>
              <w:topLinePunct w:val="0"/>
              <w:bidi w:val="0"/>
              <w:spacing w:line="48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10</w:t>
            </w:r>
            <w:r>
              <w:rPr>
                <w:rFonts w:hint="eastAsia" w:ascii="宋体" w:hAnsi="宋体" w:eastAsia="宋体" w:cs="宋体"/>
                <w:strike w:val="0"/>
                <w:dstrike w:val="0"/>
                <w:color w:val="auto"/>
                <w:sz w:val="21"/>
                <w:szCs w:val="21"/>
                <w:highlight w:val="none"/>
              </w:rPr>
              <w:t>000-</w:t>
            </w:r>
            <w:r>
              <w:rPr>
                <w:rFonts w:hint="eastAsia" w:ascii="宋体" w:hAnsi="宋体" w:eastAsia="宋体" w:cs="宋体"/>
                <w:strike w:val="0"/>
                <w:dstrike w:val="0"/>
                <w:color w:val="auto"/>
                <w:sz w:val="21"/>
                <w:szCs w:val="21"/>
                <w:highlight w:val="none"/>
                <w:lang w:val="en-US" w:eastAsia="zh-CN"/>
              </w:rPr>
              <w:t>5</w:t>
            </w:r>
            <w:r>
              <w:rPr>
                <w:rFonts w:hint="eastAsia" w:ascii="宋体" w:hAnsi="宋体" w:eastAsia="宋体" w:cs="宋体"/>
                <w:strike w:val="0"/>
                <w:dstrike w:val="0"/>
                <w:color w:val="auto"/>
                <w:sz w:val="21"/>
                <w:szCs w:val="21"/>
                <w:highlight w:val="none"/>
              </w:rPr>
              <w:t>0000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14:paraId="16C6DB80">
            <w:pPr>
              <w:pStyle w:val="18"/>
              <w:pageBreakBefore w:val="0"/>
              <w:kinsoku/>
              <w:wordWrap/>
              <w:topLinePunct w:val="0"/>
              <w:bidi w:val="0"/>
              <w:spacing w:line="480" w:lineRule="exact"/>
              <w:ind w:firstLine="480"/>
              <w:rPr>
                <w:rFonts w:hint="default"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0.05%</w:t>
            </w:r>
          </w:p>
        </w:tc>
        <w:tc>
          <w:tcPr>
            <w:tcW w:w="3967" w:type="dxa"/>
            <w:vMerge w:val="continue"/>
            <w:tcBorders>
              <w:left w:val="single" w:color="auto" w:sz="4" w:space="0"/>
              <w:right w:val="single" w:color="auto" w:sz="4" w:space="0"/>
            </w:tcBorders>
            <w:noWrap w:val="0"/>
            <w:vAlign w:val="center"/>
          </w:tcPr>
          <w:p w14:paraId="5D367957">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14:paraId="342C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14:paraId="052613FB">
            <w:pPr>
              <w:pStyle w:val="18"/>
              <w:pageBreakBefore w:val="0"/>
              <w:kinsoku/>
              <w:wordWrap/>
              <w:topLinePunct w:val="0"/>
              <w:bidi w:val="0"/>
              <w:spacing w:line="48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w:t>
            </w:r>
            <w:r>
              <w:rPr>
                <w:rFonts w:hint="eastAsia" w:ascii="宋体" w:hAnsi="宋体" w:eastAsia="宋体" w:cs="宋体"/>
                <w:strike w:val="0"/>
                <w:dstrike w:val="0"/>
                <w:color w:val="auto"/>
                <w:sz w:val="21"/>
                <w:szCs w:val="21"/>
                <w:highlight w:val="none"/>
                <w:lang w:val="en-US" w:eastAsia="zh-CN"/>
              </w:rPr>
              <w:t>0</w:t>
            </w:r>
            <w:r>
              <w:rPr>
                <w:rFonts w:hint="eastAsia" w:ascii="宋体" w:hAnsi="宋体" w:eastAsia="宋体" w:cs="宋体"/>
                <w:strike w:val="0"/>
                <w:dstrike w:val="0"/>
                <w:color w:val="auto"/>
                <w:sz w:val="21"/>
                <w:szCs w:val="21"/>
                <w:highlight w:val="none"/>
              </w:rPr>
              <w:t>000-1</w:t>
            </w:r>
            <w:r>
              <w:rPr>
                <w:rFonts w:hint="eastAsia" w:ascii="宋体" w:hAnsi="宋体" w:eastAsia="宋体" w:cs="宋体"/>
                <w:strike w:val="0"/>
                <w:dstrike w:val="0"/>
                <w:color w:val="auto"/>
                <w:sz w:val="21"/>
                <w:szCs w:val="21"/>
                <w:highlight w:val="none"/>
                <w:lang w:val="en-US" w:eastAsia="zh-CN"/>
              </w:rPr>
              <w:t>0</w:t>
            </w:r>
            <w:r>
              <w:rPr>
                <w:rFonts w:hint="eastAsia" w:ascii="宋体" w:hAnsi="宋体" w:eastAsia="宋体" w:cs="宋体"/>
                <w:strike w:val="0"/>
                <w:dstrike w:val="0"/>
                <w:color w:val="auto"/>
                <w:sz w:val="21"/>
                <w:szCs w:val="21"/>
                <w:highlight w:val="none"/>
              </w:rPr>
              <w:t>0000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14:paraId="615DED14">
            <w:pPr>
              <w:pStyle w:val="18"/>
              <w:pageBreakBefore w:val="0"/>
              <w:kinsoku/>
              <w:wordWrap/>
              <w:topLinePunct w:val="0"/>
              <w:bidi w:val="0"/>
              <w:spacing w:line="480" w:lineRule="exact"/>
              <w:ind w:firstLine="480"/>
              <w:rPr>
                <w:rFonts w:hint="default"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0.035%</w:t>
            </w:r>
          </w:p>
        </w:tc>
        <w:tc>
          <w:tcPr>
            <w:tcW w:w="3967" w:type="dxa"/>
            <w:vMerge w:val="continue"/>
            <w:tcBorders>
              <w:left w:val="single" w:color="auto" w:sz="4" w:space="0"/>
              <w:right w:val="single" w:color="auto" w:sz="4" w:space="0"/>
            </w:tcBorders>
            <w:noWrap w:val="0"/>
            <w:vAlign w:val="center"/>
          </w:tcPr>
          <w:p w14:paraId="3647C495">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14:paraId="4308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14:paraId="43AFC405">
            <w:pPr>
              <w:pStyle w:val="18"/>
              <w:pageBreakBefore w:val="0"/>
              <w:kinsoku/>
              <w:wordWrap/>
              <w:topLinePunct w:val="0"/>
              <w:bidi w:val="0"/>
              <w:spacing w:line="480" w:lineRule="exact"/>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100</w:t>
            </w:r>
            <w:r>
              <w:rPr>
                <w:rFonts w:hint="eastAsia" w:ascii="宋体" w:hAnsi="宋体" w:eastAsia="宋体" w:cs="宋体"/>
                <w:strike w:val="0"/>
                <w:dstrike w:val="0"/>
                <w:color w:val="auto"/>
                <w:sz w:val="21"/>
                <w:szCs w:val="21"/>
                <w:highlight w:val="none"/>
              </w:rPr>
              <w:t>000-</w:t>
            </w:r>
            <w:r>
              <w:rPr>
                <w:rFonts w:hint="eastAsia" w:ascii="宋体" w:hAnsi="宋体" w:eastAsia="宋体" w:cs="宋体"/>
                <w:strike w:val="0"/>
                <w:dstrike w:val="0"/>
                <w:color w:val="auto"/>
                <w:sz w:val="21"/>
                <w:szCs w:val="21"/>
                <w:highlight w:val="none"/>
                <w:lang w:val="en-US" w:eastAsia="zh-CN"/>
              </w:rPr>
              <w:t>50</w:t>
            </w:r>
            <w:r>
              <w:rPr>
                <w:rFonts w:hint="eastAsia" w:ascii="宋体" w:hAnsi="宋体" w:eastAsia="宋体" w:cs="宋体"/>
                <w:strike w:val="0"/>
                <w:dstrike w:val="0"/>
                <w:color w:val="auto"/>
                <w:sz w:val="21"/>
                <w:szCs w:val="21"/>
                <w:highlight w:val="none"/>
              </w:rPr>
              <w:t>0000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14:paraId="75A172D2">
            <w:pPr>
              <w:pStyle w:val="18"/>
              <w:pageBreakBefore w:val="0"/>
              <w:kinsoku/>
              <w:wordWrap/>
              <w:topLinePunct w:val="0"/>
              <w:bidi w:val="0"/>
              <w:spacing w:line="480" w:lineRule="exact"/>
              <w:ind w:firstLine="480"/>
              <w:rPr>
                <w:rFonts w:hint="default"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0.008%</w:t>
            </w:r>
          </w:p>
        </w:tc>
        <w:tc>
          <w:tcPr>
            <w:tcW w:w="3967" w:type="dxa"/>
            <w:vMerge w:val="continue"/>
            <w:tcBorders>
              <w:left w:val="single" w:color="auto" w:sz="4" w:space="0"/>
              <w:right w:val="single" w:color="auto" w:sz="4" w:space="0"/>
            </w:tcBorders>
            <w:noWrap w:val="0"/>
            <w:vAlign w:val="center"/>
          </w:tcPr>
          <w:p w14:paraId="06C59995">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14:paraId="4E20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14:paraId="2C031C36">
            <w:pPr>
              <w:pStyle w:val="18"/>
              <w:pageBreakBefore w:val="0"/>
              <w:kinsoku/>
              <w:wordWrap/>
              <w:topLinePunct w:val="0"/>
              <w:bidi w:val="0"/>
              <w:spacing w:line="480" w:lineRule="exact"/>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500</w:t>
            </w:r>
            <w:r>
              <w:rPr>
                <w:rFonts w:hint="eastAsia" w:ascii="宋体" w:hAnsi="宋体" w:eastAsia="宋体" w:cs="宋体"/>
                <w:strike w:val="0"/>
                <w:dstrike w:val="0"/>
                <w:color w:val="auto"/>
                <w:sz w:val="21"/>
                <w:szCs w:val="21"/>
                <w:highlight w:val="none"/>
              </w:rPr>
              <w:t>000-</w:t>
            </w:r>
            <w:r>
              <w:rPr>
                <w:rFonts w:hint="eastAsia" w:ascii="宋体" w:hAnsi="宋体" w:eastAsia="宋体" w:cs="宋体"/>
                <w:strike w:val="0"/>
                <w:dstrike w:val="0"/>
                <w:color w:val="auto"/>
                <w:sz w:val="21"/>
                <w:szCs w:val="21"/>
                <w:highlight w:val="none"/>
                <w:lang w:val="en-US" w:eastAsia="zh-CN"/>
              </w:rPr>
              <w:t>100</w:t>
            </w:r>
            <w:r>
              <w:rPr>
                <w:rFonts w:hint="eastAsia" w:ascii="宋体" w:hAnsi="宋体" w:eastAsia="宋体" w:cs="宋体"/>
                <w:strike w:val="0"/>
                <w:dstrike w:val="0"/>
                <w:color w:val="auto"/>
                <w:sz w:val="21"/>
                <w:szCs w:val="21"/>
                <w:highlight w:val="none"/>
              </w:rPr>
              <w:t>0000</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含</w:t>
            </w:r>
            <w:r>
              <w:rPr>
                <w:rFonts w:hint="eastAsia" w:ascii="宋体" w:hAnsi="宋体" w:eastAsia="宋体" w:cs="宋体"/>
                <w:strike w:val="0"/>
                <w:dstrike w:val="0"/>
                <w:color w:val="auto"/>
                <w:sz w:val="21"/>
                <w:szCs w:val="21"/>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14:paraId="4D3A6A7C">
            <w:pPr>
              <w:pStyle w:val="18"/>
              <w:pageBreakBefore w:val="0"/>
              <w:kinsoku/>
              <w:wordWrap/>
              <w:topLinePunct w:val="0"/>
              <w:bidi w:val="0"/>
              <w:spacing w:line="480" w:lineRule="exact"/>
              <w:ind w:firstLine="480"/>
              <w:rPr>
                <w:rFonts w:hint="default"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0.006%</w:t>
            </w:r>
          </w:p>
        </w:tc>
        <w:tc>
          <w:tcPr>
            <w:tcW w:w="3967" w:type="dxa"/>
            <w:vMerge w:val="continue"/>
            <w:tcBorders>
              <w:left w:val="single" w:color="auto" w:sz="4" w:space="0"/>
              <w:right w:val="single" w:color="auto" w:sz="4" w:space="0"/>
            </w:tcBorders>
            <w:noWrap w:val="0"/>
            <w:vAlign w:val="center"/>
          </w:tcPr>
          <w:p w14:paraId="7FE4CCCA">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r w14:paraId="1669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top"/>
          </w:tcPr>
          <w:p w14:paraId="4FDE9D3F">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100</w:t>
            </w:r>
            <w:r>
              <w:rPr>
                <w:rFonts w:hint="eastAsia" w:ascii="宋体" w:hAnsi="宋体" w:eastAsia="宋体" w:cs="宋体"/>
                <w:strike w:val="0"/>
                <w:dstrike w:val="0"/>
                <w:color w:val="auto"/>
                <w:sz w:val="21"/>
                <w:szCs w:val="21"/>
                <w:highlight w:val="none"/>
              </w:rPr>
              <w:t>0</w:t>
            </w:r>
            <w:r>
              <w:rPr>
                <w:rFonts w:hint="eastAsia" w:ascii="宋体" w:hAnsi="宋体" w:eastAsia="宋体" w:cs="宋体"/>
                <w:strike w:val="0"/>
                <w:dstrike w:val="0"/>
                <w:color w:val="auto"/>
                <w:sz w:val="21"/>
                <w:szCs w:val="21"/>
                <w:highlight w:val="none"/>
                <w:lang w:val="en-US" w:eastAsia="zh-CN"/>
              </w:rPr>
              <w:t>0</w:t>
            </w:r>
            <w:r>
              <w:rPr>
                <w:rFonts w:hint="eastAsia" w:ascii="宋体" w:hAnsi="宋体" w:eastAsia="宋体" w:cs="宋体"/>
                <w:strike w:val="0"/>
                <w:dstrike w:val="0"/>
                <w:color w:val="auto"/>
                <w:sz w:val="21"/>
                <w:szCs w:val="21"/>
                <w:highlight w:val="none"/>
              </w:rPr>
              <w:t>00</w:t>
            </w:r>
            <w:r>
              <w:rPr>
                <w:rFonts w:hint="eastAsia" w:ascii="宋体" w:hAnsi="宋体" w:eastAsia="宋体" w:cs="宋体"/>
                <w:strike w:val="0"/>
                <w:dstrike w:val="0"/>
                <w:color w:val="auto"/>
                <w:sz w:val="21"/>
                <w:szCs w:val="21"/>
                <w:highlight w:val="none"/>
                <w:lang w:val="en-US" w:eastAsia="zh-CN"/>
              </w:rPr>
              <w:t>以上</w:t>
            </w:r>
          </w:p>
        </w:tc>
        <w:tc>
          <w:tcPr>
            <w:tcW w:w="1335" w:type="dxa"/>
            <w:tcBorders>
              <w:top w:val="single" w:color="auto" w:sz="4" w:space="0"/>
              <w:left w:val="single" w:color="auto" w:sz="4" w:space="0"/>
              <w:bottom w:val="single" w:color="auto" w:sz="4" w:space="0"/>
              <w:right w:val="single" w:color="auto" w:sz="4" w:space="0"/>
            </w:tcBorders>
            <w:noWrap w:val="0"/>
            <w:vAlign w:val="top"/>
          </w:tcPr>
          <w:p w14:paraId="546FAF44">
            <w:pPr>
              <w:pStyle w:val="18"/>
              <w:pageBreakBefore w:val="0"/>
              <w:kinsoku/>
              <w:wordWrap/>
              <w:topLinePunct w:val="0"/>
              <w:bidi w:val="0"/>
              <w:spacing w:line="480" w:lineRule="exact"/>
              <w:ind w:firstLine="480"/>
              <w:rPr>
                <w:rFonts w:hint="default"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0.004%</w:t>
            </w:r>
          </w:p>
        </w:tc>
        <w:tc>
          <w:tcPr>
            <w:tcW w:w="3967" w:type="dxa"/>
            <w:vMerge w:val="continue"/>
            <w:tcBorders>
              <w:left w:val="single" w:color="auto" w:sz="4" w:space="0"/>
              <w:bottom w:val="single" w:color="auto" w:sz="4" w:space="0"/>
              <w:right w:val="single" w:color="auto" w:sz="4" w:space="0"/>
            </w:tcBorders>
            <w:noWrap w:val="0"/>
            <w:vAlign w:val="center"/>
          </w:tcPr>
          <w:p w14:paraId="775F91FC">
            <w:pPr>
              <w:pStyle w:val="18"/>
              <w:pageBreakBefore w:val="0"/>
              <w:kinsoku/>
              <w:wordWrap/>
              <w:topLinePunct w:val="0"/>
              <w:bidi w:val="0"/>
              <w:spacing w:line="480" w:lineRule="exact"/>
              <w:ind w:firstLine="480"/>
              <w:rPr>
                <w:rFonts w:hint="eastAsia" w:ascii="宋体" w:hAnsi="宋体" w:eastAsia="宋体" w:cs="宋体"/>
                <w:strike w:val="0"/>
                <w:dstrike w:val="0"/>
                <w:color w:val="auto"/>
                <w:sz w:val="21"/>
                <w:szCs w:val="21"/>
                <w:highlight w:val="none"/>
              </w:rPr>
            </w:pPr>
          </w:p>
        </w:tc>
      </w:tr>
    </w:tbl>
    <w:p w14:paraId="48AA30A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p>
    <w:p w14:paraId="2E685E5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服务费汇至：</w:t>
      </w:r>
    </w:p>
    <w:p w14:paraId="2D7DCA9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银行账号名称：义乌产权交易所有限公司</w:t>
      </w:r>
    </w:p>
    <w:p w14:paraId="61C99C5A">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银行账号：1208020009045009586 </w:t>
      </w:r>
    </w:p>
    <w:p w14:paraId="2106A48F">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sectPr>
          <w:footerReference r:id="rId6" w:type="first"/>
          <w:headerReference r:id="rId4" w:type="default"/>
          <w:footerReference r:id="rId5" w:type="default"/>
          <w:pgSz w:w="11906" w:h="16838"/>
          <w:pgMar w:top="1246" w:right="1134" w:bottom="1440" w:left="141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53D85968">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开户银行：中国工商银行义乌分行</w:t>
      </w:r>
    </w:p>
    <w:p w14:paraId="4BAF25EE">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7"/>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7"/>
        <w:gridCol w:w="3573"/>
      </w:tblGrid>
      <w:tr w14:paraId="2593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03F098A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585" w:type="pct"/>
            <w:noWrap w:val="0"/>
            <w:vAlign w:val="center"/>
          </w:tcPr>
          <w:p w14:paraId="691E304A">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188E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27A27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2585" w:type="pct"/>
            <w:noWrap w:val="0"/>
            <w:vAlign w:val="center"/>
          </w:tcPr>
          <w:p w14:paraId="4DA1FFA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25F7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B6EEE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2585" w:type="pct"/>
            <w:noWrap w:val="0"/>
            <w:vAlign w:val="center"/>
          </w:tcPr>
          <w:p w14:paraId="4B1A7D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6C49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66C645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2585" w:type="pct"/>
            <w:noWrap w:val="0"/>
            <w:vAlign w:val="center"/>
          </w:tcPr>
          <w:p w14:paraId="109E15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683A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6F08FD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2585" w:type="pct"/>
            <w:noWrap w:val="0"/>
            <w:vAlign w:val="center"/>
          </w:tcPr>
          <w:p w14:paraId="7E5F35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6F44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5B82F3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2585" w:type="pct"/>
            <w:noWrap w:val="0"/>
            <w:vAlign w:val="center"/>
          </w:tcPr>
          <w:p w14:paraId="3B0E73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2041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50240B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2585" w:type="pct"/>
            <w:noWrap w:val="0"/>
            <w:vAlign w:val="center"/>
          </w:tcPr>
          <w:p w14:paraId="766C21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4609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2F23A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2585" w:type="pct"/>
            <w:noWrap w:val="0"/>
            <w:vAlign w:val="center"/>
          </w:tcPr>
          <w:p w14:paraId="2CFC70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2C5E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5B2F2CF">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2585" w:type="pct"/>
            <w:noWrap w:val="0"/>
            <w:vAlign w:val="center"/>
          </w:tcPr>
          <w:p w14:paraId="4637571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168D421D">
      <w:pPr>
        <w:spacing w:line="480" w:lineRule="exact"/>
        <w:ind w:firstLine="396" w:firstLineChars="200"/>
        <w:rPr>
          <w:rFonts w:hint="eastAsia" w:ascii="宋体" w:hAnsi="宋体" w:eastAsia="宋体" w:cs="宋体"/>
          <w:b/>
          <w:bCs/>
          <w:color w:val="auto"/>
          <w:sz w:val="21"/>
          <w:szCs w:val="21"/>
          <w:highlight w:val="none"/>
          <w:lang w:eastAsia="zh-CN"/>
        </w:rPr>
      </w:pPr>
      <w:r>
        <w:rPr>
          <w:rFonts w:hint="eastAsia" w:ascii="宋体" w:hAnsi="宋体" w:cs="宋体"/>
          <w:color w:val="auto"/>
          <w:spacing w:val="-6"/>
          <w:szCs w:val="21"/>
          <w:highlight w:val="none"/>
        </w:rPr>
        <w:t>注：1）不涉及具体金额的采购项目，中标单位收取交易服务费1000元/次；2）以上收费不包含作为投标单位</w:t>
      </w:r>
      <w:r>
        <w:rPr>
          <w:rFonts w:hint="eastAsia" w:ascii="宋体" w:hAnsi="宋体" w:cs="宋体"/>
          <w:color w:val="auto"/>
          <w:spacing w:val="-6"/>
          <w:szCs w:val="21"/>
          <w:highlight w:val="none"/>
          <w:lang w:val="en-US" w:eastAsia="zh-CN"/>
        </w:rPr>
        <w:t>缴</w:t>
      </w:r>
      <w:r>
        <w:rPr>
          <w:rFonts w:hint="eastAsia" w:ascii="宋体" w:hAnsi="宋体" w:cs="宋体"/>
          <w:color w:val="auto"/>
          <w:spacing w:val="-6"/>
          <w:szCs w:val="21"/>
          <w:highlight w:val="none"/>
        </w:rPr>
        <w:t>纳的150元技术服务费；3）具体操作流程详见“义乌市阳光招标采购平台-下载中心-义乌市阳光招标采购平台投标人操作手册”</w:t>
      </w:r>
      <w:r>
        <w:rPr>
          <w:rFonts w:hint="eastAsia" w:ascii="宋体" w:hAnsi="宋体" w:cs="宋体"/>
          <w:color w:val="auto"/>
          <w:spacing w:val="-6"/>
          <w:szCs w:val="21"/>
          <w:highlight w:val="none"/>
          <w:lang w:eastAsia="zh-CN"/>
        </w:rPr>
        <w:t>。</w:t>
      </w:r>
    </w:p>
    <w:p w14:paraId="5BDA13D0">
      <w:pPr>
        <w:pStyle w:val="4"/>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31" w:name="_Toc3329"/>
      <w:r>
        <w:rPr>
          <w:rFonts w:hint="eastAsia" w:ascii="宋体" w:hAnsi="宋体" w:eastAsia="宋体" w:cs="宋体"/>
          <w:color w:val="auto"/>
          <w:sz w:val="21"/>
          <w:szCs w:val="21"/>
          <w:highlight w:val="none"/>
        </w:rPr>
        <w:t>六、其它</w:t>
      </w:r>
      <w:bookmarkEnd w:id="31"/>
    </w:p>
    <w:p w14:paraId="1FE0F80B">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sectPr>
          <w:footerReference r:id="rId8" w:type="first"/>
          <w:footerReference r:id="rId7" w:type="default"/>
          <w:pgSz w:w="11906" w:h="16838"/>
          <w:pgMar w:top="1246" w:right="1134" w:bottom="1440" w:left="141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b/>
          <w:bCs/>
          <w:color w:val="auto"/>
          <w:sz w:val="21"/>
          <w:szCs w:val="21"/>
          <w:highlight w:val="none"/>
        </w:rPr>
        <w:t>本招标文件解释权归采购人。</w:t>
      </w:r>
    </w:p>
    <w:p w14:paraId="3CC69F31">
      <w:pPr>
        <w:pStyle w:val="3"/>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color w:val="auto"/>
          <w:sz w:val="36"/>
          <w:highlight w:val="none"/>
          <w:lang w:val="en-US" w:eastAsia="zh-CN"/>
        </w:rPr>
      </w:pPr>
      <w:bookmarkStart w:id="32" w:name="_Toc2240"/>
      <w:r>
        <w:rPr>
          <w:rFonts w:hint="eastAsia" w:ascii="Times New Roman" w:hAnsi="Times New Roman" w:eastAsia="宋体" w:cs="Times New Roman"/>
          <w:color w:val="auto"/>
          <w:sz w:val="36"/>
          <w:highlight w:val="none"/>
          <w:lang w:val="en-US" w:eastAsia="zh-CN"/>
        </w:rPr>
        <w:t>第三章  招标项目要求</w:t>
      </w:r>
      <w:bookmarkEnd w:id="32"/>
    </w:p>
    <w:p w14:paraId="4E10BE1C">
      <w:pPr>
        <w:pStyle w:val="4"/>
        <w:bidi w:val="0"/>
        <w:rPr>
          <w:rFonts w:hint="eastAsia" w:ascii="宋体" w:hAnsi="宋体" w:eastAsia="宋体" w:cs="宋体"/>
          <w:sz w:val="21"/>
          <w:szCs w:val="21"/>
        </w:rPr>
      </w:pPr>
      <w:bookmarkStart w:id="33" w:name="_Toc3268"/>
      <w:bookmarkStart w:id="34" w:name="_Toc7717"/>
      <w:r>
        <w:rPr>
          <w:rFonts w:hint="eastAsia" w:ascii="宋体" w:hAnsi="宋体" w:eastAsia="宋体" w:cs="宋体"/>
          <w:sz w:val="21"/>
          <w:szCs w:val="21"/>
          <w:lang w:val="en-US" w:eastAsia="zh-CN"/>
        </w:rPr>
        <w:t>一、</w:t>
      </w:r>
      <w:r>
        <w:rPr>
          <w:rFonts w:hint="eastAsia" w:ascii="宋体" w:hAnsi="宋体" w:eastAsia="宋体" w:cs="宋体"/>
          <w:sz w:val="21"/>
          <w:szCs w:val="21"/>
        </w:rPr>
        <w:t>保洁内容</w:t>
      </w:r>
      <w:bookmarkEnd w:id="33"/>
    </w:p>
    <w:p w14:paraId="4697745A">
      <w:pPr>
        <w:pStyle w:val="83"/>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1．清扫保洁清运范围：</w:t>
      </w:r>
    </w:p>
    <w:p w14:paraId="580D3470">
      <w:pPr>
        <w:snapToGrid w:val="0"/>
        <w:spacing w:line="420" w:lineRule="exact"/>
        <w:ind w:firstLine="487" w:firstLineChars="232"/>
        <w:jc w:val="left"/>
        <w:textAlignment w:val="baseline"/>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清扫保洁范围：</w:t>
      </w:r>
      <w:r>
        <w:rPr>
          <w:rFonts w:hint="eastAsia" w:ascii="宋体" w:hAnsi="宋体" w:eastAsia="宋体" w:cs="宋体"/>
          <w:color w:val="auto"/>
          <w:sz w:val="21"/>
          <w:szCs w:val="21"/>
          <w:highlight w:val="none"/>
          <w:lang w:val="en-US" w:eastAsia="zh-CN"/>
        </w:rPr>
        <w:t>稠城</w:t>
      </w:r>
      <w:r>
        <w:rPr>
          <w:rFonts w:hint="eastAsia" w:ascii="宋体" w:hAnsi="宋体" w:eastAsia="宋体" w:cs="宋体"/>
          <w:color w:val="auto"/>
          <w:sz w:val="21"/>
          <w:szCs w:val="21"/>
          <w:highlight w:val="none"/>
        </w:rPr>
        <w:t>街道</w:t>
      </w:r>
      <w:r>
        <w:rPr>
          <w:rFonts w:hint="eastAsia" w:ascii="宋体" w:hAnsi="宋体" w:eastAsia="宋体" w:cs="宋体"/>
          <w:color w:val="auto"/>
          <w:sz w:val="21"/>
          <w:szCs w:val="21"/>
          <w:highlight w:val="none"/>
          <w:lang w:val="en-US" w:eastAsia="zh-CN"/>
        </w:rPr>
        <w:t>词林</w:t>
      </w:r>
      <w:r>
        <w:rPr>
          <w:rFonts w:hint="eastAsia" w:ascii="宋体" w:hAnsi="宋体" w:eastAsia="宋体" w:cs="宋体"/>
          <w:color w:val="auto"/>
          <w:sz w:val="21"/>
          <w:szCs w:val="21"/>
          <w:highlight w:val="none"/>
          <w:lang w:eastAsia="zh-CN"/>
        </w:rPr>
        <w:t>社区</w:t>
      </w:r>
      <w:r>
        <w:rPr>
          <w:rFonts w:hint="eastAsia" w:ascii="宋体" w:hAnsi="宋体" w:eastAsia="宋体" w:cs="宋体"/>
          <w:color w:val="auto"/>
          <w:sz w:val="21"/>
          <w:szCs w:val="21"/>
          <w:highlight w:val="none"/>
        </w:rPr>
        <w:t>范围内除由物业公司负责清扫保洁的所有</w:t>
      </w:r>
      <w:r>
        <w:rPr>
          <w:rFonts w:hint="eastAsia" w:ascii="宋体" w:hAnsi="宋体" w:eastAsia="宋体" w:cs="宋体"/>
          <w:color w:val="auto"/>
          <w:sz w:val="21"/>
          <w:szCs w:val="21"/>
          <w:highlight w:val="none"/>
          <w:lang w:eastAsia="zh-CN"/>
        </w:rPr>
        <w:t>区域</w:t>
      </w:r>
      <w:r>
        <w:rPr>
          <w:rFonts w:hint="eastAsia" w:ascii="宋体" w:hAnsi="宋体" w:eastAsia="宋体" w:cs="宋体"/>
          <w:color w:val="auto"/>
          <w:sz w:val="21"/>
          <w:szCs w:val="21"/>
          <w:highlight w:val="none"/>
        </w:rPr>
        <w:t>保洁等共计清扫保洁面积为</w:t>
      </w:r>
      <w:r>
        <w:rPr>
          <w:rFonts w:hint="eastAsia" w:ascii="宋体" w:hAnsi="宋体" w:eastAsia="宋体" w:cs="宋体"/>
          <w:color w:val="auto"/>
          <w:sz w:val="21"/>
          <w:szCs w:val="21"/>
          <w:highlight w:val="none"/>
          <w:lang w:val="en-US" w:eastAsia="zh-CN"/>
        </w:rPr>
        <w:t>254096.89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的清扫保洁，</w:t>
      </w:r>
      <w:r>
        <w:rPr>
          <w:rFonts w:hint="eastAsia" w:ascii="宋体" w:hAnsi="宋体" w:eastAsia="宋体" w:cs="宋体"/>
          <w:color w:val="auto"/>
          <w:sz w:val="21"/>
          <w:szCs w:val="21"/>
          <w:highlight w:val="none"/>
          <w:lang w:val="en-US" w:eastAsia="zh-CN"/>
        </w:rPr>
        <w:t>包括硬化路面、空闲地、</w:t>
      </w:r>
      <w:r>
        <w:rPr>
          <w:rFonts w:hint="eastAsia" w:ascii="宋体" w:hAnsi="宋体" w:eastAsia="宋体" w:cs="宋体"/>
          <w:color w:val="auto"/>
          <w:sz w:val="21"/>
          <w:szCs w:val="21"/>
          <w:highlight w:val="none"/>
          <w:lang w:eastAsia="zh-CN"/>
        </w:rPr>
        <w:t>绿化带的保洁，</w:t>
      </w:r>
      <w:r>
        <w:rPr>
          <w:rFonts w:hint="eastAsia" w:ascii="宋体" w:hAnsi="宋体" w:eastAsia="宋体" w:cs="宋体"/>
          <w:color w:val="auto"/>
          <w:sz w:val="21"/>
          <w:szCs w:val="21"/>
          <w:highlight w:val="none"/>
        </w:rPr>
        <w:t>以及该辖区范围内除物业公司负责外果壳箱</w:t>
      </w:r>
      <w:r>
        <w:rPr>
          <w:rFonts w:hint="eastAsia" w:ascii="宋体" w:hAnsi="宋体" w:eastAsia="宋体" w:cs="宋体"/>
          <w:color w:val="auto"/>
          <w:sz w:val="21"/>
          <w:szCs w:val="21"/>
          <w:highlight w:val="none"/>
          <w:lang w:eastAsia="zh-CN"/>
        </w:rPr>
        <w:t>等环卫设施</w:t>
      </w:r>
      <w:r>
        <w:rPr>
          <w:rFonts w:hint="eastAsia" w:ascii="宋体" w:hAnsi="宋体" w:eastAsia="宋体" w:cs="宋体"/>
          <w:color w:val="auto"/>
          <w:sz w:val="21"/>
          <w:szCs w:val="21"/>
          <w:highlight w:val="none"/>
        </w:rPr>
        <w:t>的保洁、管理和树池</w:t>
      </w:r>
      <w:r>
        <w:rPr>
          <w:rFonts w:hint="eastAsia" w:ascii="宋体" w:hAnsi="宋体" w:eastAsia="宋体" w:cs="宋体"/>
          <w:color w:val="auto"/>
          <w:sz w:val="21"/>
          <w:szCs w:val="21"/>
          <w:highlight w:val="none"/>
          <w:lang w:eastAsia="zh-CN"/>
        </w:rPr>
        <w:t>杂草</w:t>
      </w:r>
      <w:r>
        <w:rPr>
          <w:rFonts w:hint="eastAsia" w:ascii="宋体" w:hAnsi="宋体" w:eastAsia="宋体" w:cs="宋体"/>
          <w:color w:val="auto"/>
          <w:sz w:val="21"/>
          <w:szCs w:val="21"/>
          <w:highlight w:val="none"/>
        </w:rPr>
        <w:t>清除</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工作</w:t>
      </w:r>
      <w:r>
        <w:rPr>
          <w:rFonts w:hint="eastAsia" w:ascii="宋体" w:hAnsi="宋体" w:eastAsia="宋体" w:cs="宋体"/>
          <w:b w:val="0"/>
          <w:bCs w:val="0"/>
          <w:color w:val="auto"/>
          <w:sz w:val="21"/>
          <w:szCs w:val="21"/>
          <w:highlight w:val="none"/>
        </w:rPr>
        <w:t>。</w:t>
      </w:r>
    </w:p>
    <w:p w14:paraId="1EE04CEF">
      <w:pPr>
        <w:pStyle w:val="83"/>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0C4FC95D">
      <w:pPr>
        <w:pStyle w:val="83"/>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清扫保洁范围包括除由物业公司负责清扫保洁的道路外的所有道路、村民房前屋后、池塘、公共厕所、空闲地、垃圾房、绿化带、边沟、路肩、人行道及视线范围内垃圾，以及该辖区范围内除物业公司负责外的所有垃圾房和果壳箱的保洁、管理、“牛皮癣”清除工作、打捞水塘水面漂浮物</w:t>
      </w:r>
      <w:r>
        <w:rPr>
          <w:rFonts w:hint="eastAsia" w:ascii="宋体" w:hAnsi="宋体" w:eastAsia="宋体" w:cs="宋体"/>
          <w:b/>
          <w:color w:val="auto"/>
          <w:sz w:val="21"/>
          <w:szCs w:val="21"/>
          <w:highlight w:val="none"/>
          <w:lang w:val="en-US" w:eastAsia="zh-CN"/>
        </w:rPr>
        <w:t>，要求清扫</w:t>
      </w:r>
      <w:r>
        <w:rPr>
          <w:rFonts w:hint="eastAsia" w:ascii="宋体" w:hAnsi="宋体" w:eastAsia="宋体" w:cs="宋体"/>
          <w:b/>
          <w:color w:val="auto"/>
          <w:sz w:val="21"/>
          <w:szCs w:val="21"/>
          <w:highlight w:val="none"/>
        </w:rPr>
        <w:t>垃圾按“可回收物、有害垃圾、易腐垃圾、其他垃圾”要求进行分类、清运和处置（含工业垃圾、大件废弃物</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建筑装潢垃圾）。</w:t>
      </w:r>
    </w:p>
    <w:p w14:paraId="43BBCBA2">
      <w:pPr>
        <w:pStyle w:val="83"/>
        <w:ind w:firstLine="422"/>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(2)未列出但属于投标区块行政范围内的区域、管理的道路、新建或延伸的道路也应列入清扫、保洁、清运范围，并将费用列入投标总价中。</w:t>
      </w:r>
    </w:p>
    <w:p w14:paraId="48A17D9F">
      <w:pPr>
        <w:pStyle w:val="4"/>
        <w:bidi w:val="0"/>
        <w:rPr>
          <w:rFonts w:hint="eastAsia" w:ascii="宋体" w:hAnsi="宋体" w:eastAsia="宋体" w:cs="宋体"/>
          <w:sz w:val="21"/>
          <w:szCs w:val="21"/>
        </w:rPr>
      </w:pPr>
      <w:bookmarkStart w:id="35" w:name="_Toc10273"/>
      <w:r>
        <w:rPr>
          <w:rFonts w:hint="eastAsia" w:ascii="宋体" w:hAnsi="宋体" w:eastAsia="宋体" w:cs="宋体"/>
          <w:sz w:val="21"/>
          <w:szCs w:val="21"/>
          <w:lang w:val="en-US" w:eastAsia="zh-CN"/>
        </w:rPr>
        <w:t>二</w:t>
      </w:r>
      <w:r>
        <w:rPr>
          <w:rFonts w:hint="eastAsia" w:ascii="宋体" w:hAnsi="宋体" w:eastAsia="宋体" w:cs="宋体"/>
          <w:sz w:val="21"/>
          <w:szCs w:val="21"/>
        </w:rPr>
        <w:t>、服务内容</w:t>
      </w:r>
      <w:bookmarkEnd w:id="35"/>
    </w:p>
    <w:p w14:paraId="053B6092">
      <w:pPr>
        <w:widowControl/>
        <w:overflowPunct w:val="0"/>
        <w:autoSpaceDE w:val="0"/>
        <w:autoSpaceDN w:val="0"/>
        <w:adjustRightInd w:val="0"/>
        <w:ind w:firstLine="420" w:firstLineChars="200"/>
        <w:jc w:val="both"/>
        <w:rPr>
          <w:rFonts w:hint="eastAsia" w:ascii="宋体" w:hAnsi="宋体" w:eastAsia="宋体" w:cs="宋体"/>
          <w:b w:val="0"/>
          <w:color w:val="auto"/>
          <w:kern w:val="0"/>
          <w:sz w:val="21"/>
          <w:szCs w:val="21"/>
          <w:highlight w:val="none"/>
          <w:lang w:val="en-GB" w:eastAsia="zh-CN" w:bidi="ar-SA"/>
        </w:rPr>
      </w:pPr>
      <w:r>
        <w:rPr>
          <w:rFonts w:hint="eastAsia" w:ascii="宋体" w:hAnsi="宋体" w:eastAsia="宋体" w:cs="宋体"/>
          <w:b w:val="0"/>
          <w:color w:val="auto"/>
          <w:kern w:val="0"/>
          <w:sz w:val="21"/>
          <w:szCs w:val="21"/>
          <w:highlight w:val="none"/>
          <w:lang w:val="en-GB" w:eastAsia="zh-CN" w:bidi="ar-SA"/>
        </w:rPr>
        <w:t>(</w:t>
      </w:r>
      <w:r>
        <w:rPr>
          <w:rFonts w:hint="eastAsia" w:ascii="宋体" w:hAnsi="宋体" w:eastAsia="宋体" w:cs="宋体"/>
          <w:b w:val="0"/>
          <w:color w:val="auto"/>
          <w:kern w:val="0"/>
          <w:sz w:val="21"/>
          <w:szCs w:val="21"/>
          <w:highlight w:val="none"/>
          <w:lang w:val="en-US" w:eastAsia="zh-CN" w:bidi="ar-SA"/>
        </w:rPr>
        <w:t>1</w:t>
      </w:r>
      <w:r>
        <w:rPr>
          <w:rFonts w:hint="eastAsia" w:ascii="宋体" w:hAnsi="宋体" w:eastAsia="宋体" w:cs="宋体"/>
          <w:b w:val="0"/>
          <w:color w:val="auto"/>
          <w:kern w:val="0"/>
          <w:sz w:val="21"/>
          <w:szCs w:val="21"/>
          <w:highlight w:val="none"/>
          <w:lang w:val="en-GB" w:eastAsia="zh-CN" w:bidi="ar-SA"/>
        </w:rPr>
        <w:t>)清扫保洁作业按要求配备人员，并穿着规定的安全作业工作服。</w:t>
      </w:r>
    </w:p>
    <w:p w14:paraId="7DCB00A0">
      <w:pPr>
        <w:widowControl/>
        <w:overflowPunct w:val="0"/>
        <w:autoSpaceDE w:val="0"/>
        <w:autoSpaceDN w:val="0"/>
        <w:adjustRightInd w:val="0"/>
        <w:ind w:firstLine="420" w:firstLineChars="200"/>
        <w:jc w:val="both"/>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GB" w:eastAsia="zh-CN" w:bidi="ar-SA"/>
        </w:rPr>
        <w:t>(</w:t>
      </w:r>
      <w:r>
        <w:rPr>
          <w:rFonts w:hint="eastAsia" w:ascii="宋体" w:hAnsi="宋体" w:eastAsia="宋体" w:cs="宋体"/>
          <w:b w:val="0"/>
          <w:color w:val="auto"/>
          <w:kern w:val="0"/>
          <w:sz w:val="21"/>
          <w:szCs w:val="21"/>
          <w:highlight w:val="none"/>
          <w:lang w:val="en-US" w:eastAsia="zh-CN" w:bidi="ar-SA"/>
        </w:rPr>
        <w:t>2</w:t>
      </w:r>
      <w:r>
        <w:rPr>
          <w:rFonts w:hint="eastAsia" w:ascii="宋体" w:hAnsi="宋体" w:eastAsia="宋体" w:cs="宋体"/>
          <w:b w:val="0"/>
          <w:color w:val="auto"/>
          <w:kern w:val="0"/>
          <w:sz w:val="21"/>
          <w:szCs w:val="21"/>
          <w:highlight w:val="none"/>
          <w:lang w:val="en-GB" w:eastAsia="zh-CN" w:bidi="ar-SA"/>
        </w:rPr>
        <w:t>)清扫保洁每天不少于2遍的普扫 (包括机动车道两个或四个边、非机动车道两个边以及人行道所有需清扫的面积)，普扫后应不间断地巡回保洁。</w:t>
      </w:r>
      <w:r>
        <w:rPr>
          <w:rFonts w:hint="eastAsia" w:ascii="宋体" w:hAnsi="宋体" w:eastAsia="宋体" w:cs="宋体"/>
          <w:b w:val="0"/>
          <w:color w:val="auto"/>
          <w:kern w:val="0"/>
          <w:sz w:val="21"/>
          <w:szCs w:val="21"/>
          <w:highlight w:val="none"/>
          <w:lang w:val="en-US" w:eastAsia="zh-CN" w:bidi="ar-SA"/>
        </w:rPr>
        <w:t>南城小区及宾王拉链街为二班制保洁，</w:t>
      </w:r>
      <w:r>
        <w:rPr>
          <w:rFonts w:hint="eastAsia" w:ascii="宋体" w:hAnsi="宋体" w:eastAsia="宋体" w:cs="宋体"/>
          <w:b w:val="0"/>
          <w:color w:val="auto"/>
          <w:kern w:val="0"/>
          <w:sz w:val="21"/>
          <w:szCs w:val="21"/>
          <w:highlight w:val="none"/>
          <w:lang w:val="en-GB" w:eastAsia="zh-CN" w:bidi="ar-SA"/>
        </w:rPr>
        <w:t>清扫保洁每天不少于</w:t>
      </w:r>
      <w:r>
        <w:rPr>
          <w:rFonts w:hint="eastAsia" w:ascii="宋体" w:hAnsi="宋体" w:eastAsia="宋体" w:cs="宋体"/>
          <w:b w:val="0"/>
          <w:color w:val="auto"/>
          <w:kern w:val="0"/>
          <w:sz w:val="21"/>
          <w:szCs w:val="21"/>
          <w:highlight w:val="none"/>
          <w:lang w:val="en-US" w:eastAsia="zh-CN" w:bidi="ar-SA"/>
        </w:rPr>
        <w:t>4</w:t>
      </w:r>
      <w:r>
        <w:rPr>
          <w:rFonts w:hint="eastAsia" w:ascii="宋体" w:hAnsi="宋体" w:eastAsia="宋体" w:cs="宋体"/>
          <w:b w:val="0"/>
          <w:color w:val="auto"/>
          <w:kern w:val="0"/>
          <w:sz w:val="21"/>
          <w:szCs w:val="21"/>
          <w:highlight w:val="none"/>
          <w:lang w:val="en-GB" w:eastAsia="zh-CN" w:bidi="ar-SA"/>
        </w:rPr>
        <w:t>遍的普扫。</w:t>
      </w:r>
    </w:p>
    <w:p w14:paraId="3B61501D">
      <w:pPr>
        <w:widowControl/>
        <w:overflowPunct w:val="0"/>
        <w:autoSpaceDE w:val="0"/>
        <w:autoSpaceDN w:val="0"/>
        <w:adjustRightInd w:val="0"/>
        <w:ind w:firstLine="420" w:firstLineChars="200"/>
        <w:jc w:val="both"/>
        <w:rPr>
          <w:rFonts w:hint="eastAsia" w:ascii="宋体" w:hAnsi="宋体" w:eastAsia="宋体" w:cs="宋体"/>
          <w:b w:val="0"/>
          <w:color w:val="auto"/>
          <w:kern w:val="0"/>
          <w:sz w:val="21"/>
          <w:szCs w:val="21"/>
          <w:highlight w:val="none"/>
          <w:lang w:val="en-GB" w:eastAsia="zh-CN" w:bidi="ar-SA"/>
        </w:rPr>
      </w:pPr>
      <w:r>
        <w:rPr>
          <w:rFonts w:hint="eastAsia" w:ascii="宋体" w:hAnsi="宋体" w:eastAsia="宋体" w:cs="宋体"/>
          <w:b w:val="0"/>
          <w:color w:val="auto"/>
          <w:kern w:val="0"/>
          <w:sz w:val="21"/>
          <w:szCs w:val="21"/>
          <w:highlight w:val="none"/>
          <w:lang w:val="en-GB" w:eastAsia="zh-CN" w:bidi="ar-SA"/>
        </w:rPr>
        <w:t>(3)道路路面、人行道、绿化带、空闲地及时清理，要求无零星垃圾、果皮、纸屑、塑料袋、烟蒂等其它杂物。</w:t>
      </w:r>
    </w:p>
    <w:p w14:paraId="0CDF4A19">
      <w:pPr>
        <w:widowControl/>
        <w:overflowPunct w:val="0"/>
        <w:autoSpaceDE w:val="0"/>
        <w:autoSpaceDN w:val="0"/>
        <w:adjustRightInd w:val="0"/>
        <w:ind w:firstLine="420" w:firstLineChars="200"/>
        <w:jc w:val="both"/>
        <w:rPr>
          <w:rFonts w:hint="eastAsia" w:ascii="宋体" w:hAnsi="宋体" w:eastAsia="宋体" w:cs="宋体"/>
          <w:b w:val="0"/>
          <w:color w:val="auto"/>
          <w:kern w:val="0"/>
          <w:sz w:val="21"/>
          <w:szCs w:val="21"/>
          <w:highlight w:val="none"/>
          <w:lang w:val="en-GB" w:eastAsia="zh-CN" w:bidi="ar-SA"/>
        </w:rPr>
      </w:pPr>
      <w:r>
        <w:rPr>
          <w:rFonts w:hint="eastAsia" w:ascii="宋体" w:hAnsi="宋体" w:eastAsia="宋体" w:cs="宋体"/>
          <w:b w:val="0"/>
          <w:color w:val="auto"/>
          <w:kern w:val="0"/>
          <w:sz w:val="21"/>
          <w:szCs w:val="21"/>
          <w:highlight w:val="none"/>
          <w:lang w:val="en-GB" w:eastAsia="zh-CN" w:bidi="ar-SA"/>
        </w:rPr>
        <w:t>(</w:t>
      </w:r>
      <w:r>
        <w:rPr>
          <w:rFonts w:hint="eastAsia" w:ascii="宋体" w:hAnsi="宋体" w:eastAsia="宋体" w:cs="宋体"/>
          <w:b w:val="0"/>
          <w:color w:val="auto"/>
          <w:kern w:val="0"/>
          <w:sz w:val="21"/>
          <w:szCs w:val="21"/>
          <w:highlight w:val="none"/>
          <w:lang w:val="en-US" w:eastAsia="zh-CN" w:bidi="ar-SA"/>
        </w:rPr>
        <w:t>4</w:t>
      </w:r>
      <w:r>
        <w:rPr>
          <w:rFonts w:hint="eastAsia" w:ascii="宋体" w:hAnsi="宋体" w:eastAsia="宋体" w:cs="宋体"/>
          <w:b w:val="0"/>
          <w:color w:val="auto"/>
          <w:kern w:val="0"/>
          <w:sz w:val="21"/>
          <w:szCs w:val="21"/>
          <w:highlight w:val="none"/>
          <w:lang w:val="en-GB" w:eastAsia="zh-CN" w:bidi="ar-SA"/>
        </w:rPr>
        <w:t>)小区宽幅12m以上道路每天洒水2次以上，人行道每个月清洗2次，清洗效果应达到采购人创建部门的要求, 取水点由中标单位自行解决。</w:t>
      </w:r>
    </w:p>
    <w:p w14:paraId="40C40F98">
      <w:pPr>
        <w:widowControl/>
        <w:overflowPunct w:val="0"/>
        <w:autoSpaceDE w:val="0"/>
        <w:autoSpaceDN w:val="0"/>
        <w:adjustRightInd w:val="0"/>
        <w:ind w:firstLine="420" w:firstLineChars="200"/>
        <w:jc w:val="both"/>
        <w:rPr>
          <w:rFonts w:hint="eastAsia" w:ascii="宋体" w:hAnsi="宋体" w:eastAsia="宋体" w:cs="宋体"/>
          <w:b w:val="0"/>
          <w:color w:val="auto"/>
          <w:kern w:val="0"/>
          <w:sz w:val="21"/>
          <w:szCs w:val="21"/>
          <w:highlight w:val="yellow"/>
          <w:lang w:val="en-GB" w:eastAsia="zh-CN" w:bidi="ar-SA"/>
        </w:rPr>
      </w:pPr>
      <w:r>
        <w:rPr>
          <w:rFonts w:hint="eastAsia" w:ascii="宋体" w:hAnsi="宋体" w:eastAsia="宋体" w:cs="宋体"/>
          <w:b w:val="0"/>
          <w:color w:val="auto"/>
          <w:kern w:val="0"/>
          <w:sz w:val="21"/>
          <w:szCs w:val="21"/>
          <w:highlight w:val="none"/>
          <w:lang w:val="en-GB" w:eastAsia="zh-CN" w:bidi="ar-SA"/>
        </w:rPr>
        <w:t>(</w:t>
      </w:r>
      <w:r>
        <w:rPr>
          <w:rFonts w:hint="eastAsia" w:ascii="宋体" w:hAnsi="宋体" w:eastAsia="宋体" w:cs="宋体"/>
          <w:b w:val="0"/>
          <w:color w:val="auto"/>
          <w:kern w:val="0"/>
          <w:sz w:val="21"/>
          <w:szCs w:val="21"/>
          <w:highlight w:val="none"/>
          <w:lang w:val="en-US" w:eastAsia="zh-CN" w:bidi="ar-SA"/>
        </w:rPr>
        <w:t>5</w:t>
      </w:r>
      <w:r>
        <w:rPr>
          <w:rFonts w:hint="eastAsia" w:ascii="宋体" w:hAnsi="宋体" w:eastAsia="宋体" w:cs="宋体"/>
          <w:b w:val="0"/>
          <w:color w:val="auto"/>
          <w:kern w:val="0"/>
          <w:sz w:val="21"/>
          <w:szCs w:val="21"/>
          <w:highlight w:val="none"/>
          <w:lang w:val="en-GB" w:eastAsia="zh-CN" w:bidi="ar-SA"/>
        </w:rPr>
        <w:t>)辖区内除</w:t>
      </w:r>
      <w:r>
        <w:rPr>
          <w:rFonts w:hint="eastAsia" w:ascii="宋体" w:hAnsi="宋体" w:eastAsia="宋体" w:cs="宋体"/>
          <w:b w:val="0"/>
          <w:color w:val="auto"/>
          <w:kern w:val="0"/>
          <w:sz w:val="21"/>
          <w:szCs w:val="21"/>
          <w:highlight w:val="none"/>
          <w:lang w:val="en-US" w:eastAsia="zh-CN" w:bidi="ar-SA"/>
        </w:rPr>
        <w:t>有主</w:t>
      </w:r>
      <w:r>
        <w:rPr>
          <w:rFonts w:hint="eastAsia" w:ascii="宋体" w:hAnsi="宋体" w:eastAsia="宋体" w:cs="宋体"/>
          <w:b w:val="0"/>
          <w:color w:val="auto"/>
          <w:kern w:val="0"/>
          <w:sz w:val="21"/>
          <w:szCs w:val="21"/>
          <w:highlight w:val="none"/>
          <w:lang w:val="en-GB" w:eastAsia="zh-CN" w:bidi="ar-SA"/>
        </w:rPr>
        <w:t>建筑、装潢垃圾以外所有垃圾均由保洁公司负责清运。生活垃圾按“可回收物、有害垃圾、易腐垃圾、其他垃圾”要求进行分类、清运和处置，工业垃圾和破床、破沙发、马桶等大件废弃物清运至填埋场或消纳场。所有清运车辆必须符合市政府有关规定，严禁使用机动三轮车；工业垃圾、大件废弃物须使用密封式垃圾压缩车清运，如中转站不接收工业垃圾，由保洁公司直运至焚烧场或填埋场，所有费用由保洁公司负责。保洁公司有义务将有建筑垃圾堆放的地点通知给网格工作人员。</w:t>
      </w:r>
    </w:p>
    <w:p w14:paraId="37A707FC">
      <w:pPr>
        <w:widowControl/>
        <w:overflowPunct w:val="0"/>
        <w:autoSpaceDE w:val="0"/>
        <w:autoSpaceDN w:val="0"/>
        <w:adjustRightInd w:val="0"/>
        <w:ind w:firstLine="420" w:firstLineChars="200"/>
        <w:jc w:val="both"/>
        <w:rPr>
          <w:rFonts w:hint="eastAsia" w:ascii="宋体" w:hAnsi="宋体" w:eastAsia="宋体" w:cs="宋体"/>
          <w:b w:val="0"/>
          <w:color w:val="auto"/>
          <w:kern w:val="0"/>
          <w:sz w:val="21"/>
          <w:szCs w:val="21"/>
          <w:highlight w:val="none"/>
          <w:lang w:val="en-GB" w:eastAsia="zh-CN" w:bidi="ar-SA"/>
        </w:rPr>
      </w:pPr>
      <w:r>
        <w:rPr>
          <w:rFonts w:hint="eastAsia" w:ascii="宋体" w:hAnsi="宋体" w:eastAsia="宋体" w:cs="宋体"/>
          <w:b w:val="0"/>
          <w:color w:val="auto"/>
          <w:kern w:val="0"/>
          <w:sz w:val="21"/>
          <w:szCs w:val="21"/>
          <w:highlight w:val="none"/>
          <w:lang w:val="en-GB" w:eastAsia="zh-CN" w:bidi="ar-SA"/>
        </w:rPr>
        <w:t>(</w:t>
      </w:r>
      <w:r>
        <w:rPr>
          <w:rFonts w:hint="eastAsia" w:ascii="宋体" w:hAnsi="宋体" w:eastAsia="宋体" w:cs="宋体"/>
          <w:b w:val="0"/>
          <w:color w:val="auto"/>
          <w:kern w:val="0"/>
          <w:sz w:val="21"/>
          <w:szCs w:val="21"/>
          <w:highlight w:val="none"/>
          <w:lang w:val="en-US" w:eastAsia="zh-CN" w:bidi="ar-SA"/>
        </w:rPr>
        <w:t>6</w:t>
      </w:r>
      <w:r>
        <w:rPr>
          <w:rFonts w:hint="eastAsia" w:ascii="宋体" w:hAnsi="宋体" w:eastAsia="宋体" w:cs="宋体"/>
          <w:b w:val="0"/>
          <w:color w:val="auto"/>
          <w:kern w:val="0"/>
          <w:sz w:val="21"/>
          <w:szCs w:val="21"/>
          <w:highlight w:val="none"/>
          <w:lang w:val="en-GB" w:eastAsia="zh-CN" w:bidi="ar-SA"/>
        </w:rPr>
        <w:t>)中标公司所有投入使用的车辆全部安装GPS，费用由保洁公司承担。</w:t>
      </w:r>
    </w:p>
    <w:p w14:paraId="4DCE1362">
      <w:pPr>
        <w:ind w:firstLine="420" w:firstLineChars="200"/>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)清扫保洁辖区范围内（楼道除外）所有“牛皮癣”及时清除</w:t>
      </w:r>
      <w:r>
        <w:rPr>
          <w:rFonts w:hint="eastAsia" w:ascii="宋体" w:hAnsi="宋体" w:eastAsia="宋体" w:cs="宋体"/>
          <w:b w:val="0"/>
          <w:color w:val="auto"/>
          <w:sz w:val="21"/>
          <w:szCs w:val="21"/>
          <w:highlight w:val="none"/>
          <w:lang w:eastAsia="zh-CN"/>
        </w:rPr>
        <w:t>。</w:t>
      </w:r>
    </w:p>
    <w:p w14:paraId="51DFB35E">
      <w:pPr>
        <w:pStyle w:val="4"/>
        <w:bidi w:val="0"/>
        <w:rPr>
          <w:rFonts w:hint="eastAsia" w:ascii="宋体" w:hAnsi="宋体" w:eastAsia="宋体" w:cs="宋体"/>
          <w:sz w:val="21"/>
          <w:szCs w:val="21"/>
        </w:rPr>
      </w:pPr>
      <w:bookmarkStart w:id="36" w:name="_Toc30776"/>
      <w:r>
        <w:rPr>
          <w:rFonts w:hint="eastAsia" w:ascii="宋体" w:hAnsi="宋体" w:eastAsia="宋体" w:cs="宋体"/>
          <w:sz w:val="21"/>
          <w:szCs w:val="21"/>
        </w:rPr>
        <w:t>三、最低人员及车辆配置情况如下：</w:t>
      </w:r>
      <w:bookmarkEnd w:id="36"/>
    </w:p>
    <w:tbl>
      <w:tblPr>
        <w:tblStyle w:val="38"/>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864"/>
        <w:gridCol w:w="1154"/>
        <w:gridCol w:w="1005"/>
        <w:gridCol w:w="1740"/>
        <w:gridCol w:w="1236"/>
        <w:gridCol w:w="1538"/>
        <w:gridCol w:w="957"/>
      </w:tblGrid>
      <w:tr w14:paraId="51E5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05" w:type="dxa"/>
            <w:vMerge w:val="restart"/>
            <w:noWrap w:val="0"/>
            <w:vAlign w:val="center"/>
          </w:tcPr>
          <w:p w14:paraId="67F2E2B2">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清扫保洁面积（㎡）</w:t>
            </w:r>
          </w:p>
        </w:tc>
        <w:tc>
          <w:tcPr>
            <w:tcW w:w="3023" w:type="dxa"/>
            <w:gridSpan w:val="3"/>
            <w:noWrap w:val="0"/>
            <w:vAlign w:val="center"/>
          </w:tcPr>
          <w:p w14:paraId="59D5A79E">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一线作业人员最低核定（人）</w:t>
            </w:r>
          </w:p>
        </w:tc>
        <w:tc>
          <w:tcPr>
            <w:tcW w:w="5471" w:type="dxa"/>
            <w:gridSpan w:val="4"/>
            <w:noWrap w:val="0"/>
            <w:vAlign w:val="center"/>
          </w:tcPr>
          <w:p w14:paraId="0831F9FC">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车辆最低核定（辆）</w:t>
            </w:r>
          </w:p>
        </w:tc>
      </w:tr>
      <w:tr w14:paraId="4F70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205" w:type="dxa"/>
            <w:vMerge w:val="continue"/>
            <w:noWrap w:val="0"/>
            <w:vAlign w:val="center"/>
          </w:tcPr>
          <w:p w14:paraId="0B3C167E">
            <w:pPr>
              <w:spacing w:line="360" w:lineRule="auto"/>
              <w:jc w:val="center"/>
              <w:rPr>
                <w:rFonts w:hint="eastAsia" w:ascii="宋体" w:hAnsi="宋体" w:eastAsia="宋体" w:cs="宋体"/>
                <w:b w:val="0"/>
                <w:bCs w:val="0"/>
                <w:color w:val="auto"/>
                <w:sz w:val="21"/>
                <w:szCs w:val="21"/>
                <w:highlight w:val="none"/>
                <w:lang w:val="en-US" w:eastAsia="zh-CN"/>
              </w:rPr>
            </w:pPr>
          </w:p>
        </w:tc>
        <w:tc>
          <w:tcPr>
            <w:tcW w:w="864" w:type="dxa"/>
            <w:noWrap w:val="0"/>
            <w:vAlign w:val="center"/>
          </w:tcPr>
          <w:p w14:paraId="45A3BCBC">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清扫工</w:t>
            </w:r>
          </w:p>
        </w:tc>
        <w:tc>
          <w:tcPr>
            <w:tcW w:w="1154" w:type="dxa"/>
            <w:noWrap w:val="0"/>
            <w:vAlign w:val="center"/>
          </w:tcPr>
          <w:p w14:paraId="42AECCDF">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管理班长</w:t>
            </w:r>
          </w:p>
        </w:tc>
        <w:tc>
          <w:tcPr>
            <w:tcW w:w="1005" w:type="dxa"/>
            <w:noWrap w:val="0"/>
            <w:vAlign w:val="center"/>
          </w:tcPr>
          <w:p w14:paraId="42D43324">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总人数</w:t>
            </w:r>
          </w:p>
        </w:tc>
        <w:tc>
          <w:tcPr>
            <w:tcW w:w="1740" w:type="dxa"/>
            <w:noWrap w:val="0"/>
            <w:vAlign w:val="center"/>
          </w:tcPr>
          <w:p w14:paraId="74BE8E17">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荷载≥0.5吨小型垃圾收集车</w:t>
            </w:r>
          </w:p>
        </w:tc>
        <w:tc>
          <w:tcPr>
            <w:tcW w:w="1236" w:type="dxa"/>
            <w:noWrap w:val="0"/>
            <w:vAlign w:val="center"/>
          </w:tcPr>
          <w:p w14:paraId="1F2826F9">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核载≥3吨洒水车</w:t>
            </w:r>
          </w:p>
        </w:tc>
        <w:tc>
          <w:tcPr>
            <w:tcW w:w="1538" w:type="dxa"/>
            <w:noWrap w:val="0"/>
            <w:vAlign w:val="center"/>
          </w:tcPr>
          <w:p w14:paraId="3FE0635E">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小型高压冲洗车</w:t>
            </w:r>
          </w:p>
        </w:tc>
        <w:tc>
          <w:tcPr>
            <w:tcW w:w="957" w:type="dxa"/>
            <w:noWrap w:val="0"/>
            <w:vAlign w:val="center"/>
          </w:tcPr>
          <w:p w14:paraId="397F9432">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总数</w:t>
            </w:r>
          </w:p>
        </w:tc>
      </w:tr>
      <w:tr w14:paraId="53A4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205" w:type="dxa"/>
            <w:noWrap w:val="0"/>
            <w:vAlign w:val="center"/>
          </w:tcPr>
          <w:p w14:paraId="486874E6">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254096.89</w:t>
            </w:r>
          </w:p>
        </w:tc>
        <w:tc>
          <w:tcPr>
            <w:tcW w:w="864" w:type="dxa"/>
            <w:noWrap w:val="0"/>
            <w:vAlign w:val="center"/>
          </w:tcPr>
          <w:p w14:paraId="46DB6017">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37</w:t>
            </w:r>
          </w:p>
        </w:tc>
        <w:tc>
          <w:tcPr>
            <w:tcW w:w="1154" w:type="dxa"/>
            <w:noWrap w:val="0"/>
            <w:vAlign w:val="center"/>
          </w:tcPr>
          <w:p w14:paraId="231D7431">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005" w:type="dxa"/>
            <w:noWrap w:val="0"/>
            <w:vAlign w:val="center"/>
          </w:tcPr>
          <w:p w14:paraId="3A9CB777">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38</w:t>
            </w:r>
          </w:p>
        </w:tc>
        <w:tc>
          <w:tcPr>
            <w:tcW w:w="1740" w:type="dxa"/>
            <w:noWrap w:val="0"/>
            <w:vAlign w:val="center"/>
          </w:tcPr>
          <w:p w14:paraId="09366CC5">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236" w:type="dxa"/>
            <w:noWrap w:val="0"/>
            <w:vAlign w:val="center"/>
          </w:tcPr>
          <w:p w14:paraId="01FA0C69">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538" w:type="dxa"/>
            <w:noWrap w:val="0"/>
            <w:vAlign w:val="center"/>
          </w:tcPr>
          <w:p w14:paraId="4D361734">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957" w:type="dxa"/>
            <w:noWrap w:val="0"/>
            <w:vAlign w:val="center"/>
          </w:tcPr>
          <w:p w14:paraId="6B084AFD">
            <w:pPr>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r>
    </w:tbl>
    <w:p w14:paraId="7BCF8997">
      <w:pPr>
        <w:rPr>
          <w:rFonts w:hint="eastAsia" w:ascii="宋体" w:hAnsi="宋体" w:eastAsia="宋体" w:cs="宋体"/>
          <w:sz w:val="21"/>
          <w:szCs w:val="21"/>
        </w:rPr>
      </w:pPr>
    </w:p>
    <w:p w14:paraId="2E8A96CC">
      <w:pPr>
        <w:pStyle w:val="4"/>
        <w:bidi w:val="0"/>
        <w:rPr>
          <w:rFonts w:hint="eastAsia" w:ascii="宋体" w:hAnsi="宋体" w:eastAsia="宋体" w:cs="宋体"/>
          <w:sz w:val="21"/>
          <w:szCs w:val="21"/>
        </w:rPr>
      </w:pPr>
      <w:bookmarkStart w:id="37" w:name="_Toc6170"/>
      <w:r>
        <w:rPr>
          <w:rFonts w:hint="eastAsia" w:ascii="宋体" w:hAnsi="宋体" w:eastAsia="宋体" w:cs="宋体"/>
          <w:sz w:val="21"/>
          <w:szCs w:val="21"/>
          <w:lang w:val="en-US" w:eastAsia="zh-CN"/>
        </w:rPr>
        <w:t>四</w:t>
      </w:r>
      <w:r>
        <w:rPr>
          <w:rFonts w:hint="eastAsia" w:ascii="宋体" w:hAnsi="宋体" w:eastAsia="宋体" w:cs="宋体"/>
          <w:sz w:val="21"/>
          <w:szCs w:val="21"/>
        </w:rPr>
        <w:t>、商务要求</w:t>
      </w:r>
      <w:bookmarkEnd w:id="37"/>
    </w:p>
    <w:p w14:paraId="4B173FE0">
      <w:pPr>
        <w:spacing w:line="360" w:lineRule="auto"/>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（一）项目投标报价要求</w:t>
      </w:r>
    </w:p>
    <w:p w14:paraId="711C33A7">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投标人应根据国家的有关规定和招标文件要求并结合企业的实际情况进行投标报价。投标报价以人民币为结算货币，投标报价包括职工工资、服装费、油费、水费、车辆修理费、折旧费、工具费、GPS安装、垃圾清运费、管理费、社保服务费、保险、利润、税金等完成本项目的其它费用和政策性文件规定及合同包含的所有风险、责任等各项应有费用，如有漏项，视同已包含在其总报价中。</w:t>
      </w:r>
    </w:p>
    <w:p w14:paraId="220B6C34">
      <w:pPr>
        <w:widowControl/>
        <w:spacing w:line="48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eastAsia="宋体" w:cs="宋体"/>
          <w:color w:val="auto"/>
          <w:kern w:val="0"/>
          <w:sz w:val="21"/>
          <w:szCs w:val="21"/>
          <w:highlight w:val="none"/>
        </w:rPr>
        <w:t>投标人应在投标书的《报价一览表》上写明投标报价项目的单价和总价，如总价金额与按单价汇总金额不一致的，以单价汇总金额计算结果为准；若文字大写表示的数据与数字表示的有差别，则以文字大写表示的数据为准；当单价与数量的乘积与合价不一致时，以单价为准，除非评标小组认为单价金额小数点有明显错误的，此时应以总价为准，并修改单价。</w:t>
      </w:r>
    </w:p>
    <w:p w14:paraId="54BC77F7">
      <w:pPr>
        <w:pStyle w:val="18"/>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3.中标后，</w:t>
      </w:r>
      <w:r>
        <w:rPr>
          <w:rFonts w:hint="eastAsia" w:ascii="宋体" w:hAnsi="宋体" w:eastAsia="宋体" w:cs="宋体"/>
          <w:b/>
          <w:color w:val="auto"/>
          <w:sz w:val="21"/>
          <w:szCs w:val="21"/>
          <w:highlight w:val="none"/>
        </w:rPr>
        <w:t>中标人所填写的单价在合同实施期间不因市场变化因素而变动；</w:t>
      </w:r>
      <w:r>
        <w:rPr>
          <w:rFonts w:hint="eastAsia" w:ascii="宋体" w:hAnsi="宋体" w:eastAsia="宋体" w:cs="宋体"/>
          <w:color w:val="auto"/>
          <w:sz w:val="21"/>
          <w:szCs w:val="21"/>
          <w:highlight w:val="none"/>
        </w:rPr>
        <w:t>投标人在计算报价时应考虑一定的风险系数。因设计与工程因素引起实际施工中发生设计变更、修改、调整、完善等情况，修改部分则按其投标书相应部分货物及施工的单价同口径计算。</w:t>
      </w:r>
    </w:p>
    <w:p w14:paraId="3EE4DA33">
      <w:pPr>
        <w:pStyle w:val="18"/>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4.投标人应按招标文件规定的报价格式进行投标报价。投标人对每种货物只允许有一个报价，采购人不接受任何有选择性的报价。</w:t>
      </w:r>
    </w:p>
    <w:p w14:paraId="790EF79A">
      <w:pPr>
        <w:pStyle w:val="18"/>
        <w:spacing w:line="460" w:lineRule="exact"/>
        <w:ind w:firstLine="420" w:firstLineChars="200"/>
        <w:rPr>
          <w:rFonts w:hint="eastAsia" w:ascii="宋体" w:hAnsi="宋体" w:eastAsia="宋体" w:cs="宋体"/>
          <w:color w:val="auto"/>
          <w:spacing w:val="-8"/>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pacing w:val="-8"/>
          <w:sz w:val="21"/>
          <w:szCs w:val="21"/>
          <w:highlight w:val="none"/>
        </w:rPr>
        <w:t>采购人不接受低于成本的投标报价。</w:t>
      </w:r>
    </w:p>
    <w:p w14:paraId="0911A52C">
      <w:pPr>
        <w:pStyle w:val="18"/>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6.投标人按照上述要求编制投标报价。一旦确认某一投标人中标，除合同规定的可调整内容外，中标人不得要求追加任何费用。</w:t>
      </w:r>
    </w:p>
    <w:p w14:paraId="199017F1">
      <w:pPr>
        <w:pStyle w:val="18"/>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7.须由中标单位开具正式发票。</w:t>
      </w:r>
    </w:p>
    <w:p w14:paraId="47B969C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8.招标文件中规定由投标单位承担并支付的相关费用在投标报价时应一并考虑</w:t>
      </w:r>
      <w:r>
        <w:rPr>
          <w:rFonts w:hint="eastAsia" w:ascii="宋体" w:hAnsi="宋体" w:eastAsia="宋体" w:cs="宋体"/>
          <w:bCs/>
          <w:color w:val="auto"/>
          <w:sz w:val="21"/>
          <w:szCs w:val="21"/>
          <w:highlight w:val="none"/>
        </w:rPr>
        <w:t>。</w:t>
      </w:r>
    </w:p>
    <w:p w14:paraId="30D0781C">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二</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进场要求和违约责任</w:t>
      </w:r>
    </w:p>
    <w:p w14:paraId="3E2675AF">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进场时间：中标方应按招标方要求的进场日期准时安排工作人员入场，机械设备、工具材料准时到位；若人员、机械设备、工具材料准备中任何一项不能按时到位而影响市场正常的物业工作，在中标方承包款中扣</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万元。</w:t>
      </w:r>
    </w:p>
    <w:p w14:paraId="0F599E05">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2.2进场地点：采购方指定。</w:t>
      </w:r>
    </w:p>
    <w:p w14:paraId="6EBF54B2">
      <w:pPr>
        <w:numPr>
          <w:ilvl w:val="0"/>
          <w:numId w:val="0"/>
        </w:numPr>
        <w:spacing w:line="360" w:lineRule="auto"/>
        <w:ind w:left="-2" w:leftChars="0" w:firstLine="422"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rPr>
        <w:t>付款方式</w:t>
      </w:r>
    </w:p>
    <w:p w14:paraId="32186AFD">
      <w:pPr>
        <w:spacing w:line="4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承包款每</w:t>
      </w:r>
      <w:r>
        <w:rPr>
          <w:rFonts w:hint="eastAsia" w:ascii="宋体" w:hAnsi="宋体" w:eastAsia="宋体" w:cs="宋体"/>
          <w:color w:val="auto"/>
          <w:sz w:val="21"/>
          <w:szCs w:val="21"/>
          <w:highlight w:val="none"/>
          <w:u w:val="single"/>
          <w:lang w:val="en-US" w:eastAsia="zh-CN"/>
        </w:rPr>
        <w:t>3个月</w:t>
      </w:r>
      <w:r>
        <w:rPr>
          <w:rFonts w:hint="eastAsia" w:ascii="宋体" w:hAnsi="宋体" w:eastAsia="宋体" w:cs="宋体"/>
          <w:color w:val="auto"/>
          <w:sz w:val="21"/>
          <w:szCs w:val="21"/>
          <w:highlight w:val="none"/>
          <w:u w:val="single"/>
        </w:rPr>
        <w:t>根据采购方考核奖惩情况增减后结算一次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于第</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个月 25 日前</w:t>
      </w:r>
      <w:r>
        <w:rPr>
          <w:rFonts w:hint="eastAsia" w:ascii="宋体" w:hAnsi="宋体" w:eastAsia="宋体" w:cs="宋体"/>
          <w:color w:val="auto"/>
          <w:sz w:val="21"/>
          <w:szCs w:val="21"/>
          <w:highlight w:val="none"/>
          <w:u w:val="single"/>
          <w:lang w:val="en-US" w:eastAsia="zh-CN"/>
        </w:rPr>
        <w:t>支付</w:t>
      </w:r>
      <w:r>
        <w:rPr>
          <w:rFonts w:hint="eastAsia" w:ascii="宋体" w:hAnsi="宋体" w:eastAsia="宋体" w:cs="宋体"/>
          <w:color w:val="auto"/>
          <w:sz w:val="21"/>
          <w:szCs w:val="21"/>
          <w:highlight w:val="none"/>
          <w:u w:val="single"/>
        </w:rPr>
        <w:t>划拨到以中标方公司名称为开户名称的帐户（费用凭合同、正式增值税发票等相关资料由</w:t>
      </w:r>
      <w:r>
        <w:rPr>
          <w:rFonts w:hint="eastAsia" w:ascii="宋体" w:hAnsi="宋体" w:eastAsia="宋体" w:cs="宋体"/>
          <w:color w:val="auto"/>
          <w:sz w:val="21"/>
          <w:szCs w:val="21"/>
          <w:highlight w:val="none"/>
          <w:u w:val="single"/>
          <w:lang w:val="en-US" w:eastAsia="zh-CN"/>
        </w:rPr>
        <w:t>浙江义环城市服务</w:t>
      </w:r>
      <w:r>
        <w:rPr>
          <w:rFonts w:hint="eastAsia" w:ascii="宋体" w:hAnsi="宋体" w:eastAsia="宋体" w:cs="宋体"/>
          <w:color w:val="auto"/>
          <w:sz w:val="21"/>
          <w:szCs w:val="21"/>
          <w:highlight w:val="none"/>
          <w:u w:val="single"/>
        </w:rPr>
        <w:t>有限公司直接支付）。</w:t>
      </w:r>
    </w:p>
    <w:p w14:paraId="57FC884E">
      <w:pPr>
        <w:spacing w:line="460" w:lineRule="exact"/>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u w:val="single"/>
        </w:rPr>
        <w:t>尾款支付：无劳动纠纷的，于履约期满后第</w:t>
      </w:r>
      <w:r>
        <w:rPr>
          <w:rFonts w:hint="eastAsia" w:ascii="宋体" w:hAnsi="宋体" w:eastAsia="宋体" w:cs="宋体"/>
          <w:color w:val="auto"/>
          <w:sz w:val="21"/>
          <w:szCs w:val="21"/>
          <w:highlight w:val="none"/>
          <w:u w:val="single"/>
          <w:lang w:val="en-US" w:eastAsia="zh-CN"/>
        </w:rPr>
        <w:t>三</w:t>
      </w:r>
      <w:r>
        <w:rPr>
          <w:rFonts w:hint="eastAsia" w:ascii="宋体" w:hAnsi="宋体" w:eastAsia="宋体" w:cs="宋体"/>
          <w:color w:val="auto"/>
          <w:sz w:val="21"/>
          <w:szCs w:val="21"/>
          <w:highlight w:val="none"/>
          <w:u w:val="single"/>
        </w:rPr>
        <w:t>个月内支付；有劳动纠纷的，延期支付，直至劳动纠纷解除。</w:t>
      </w:r>
    </w:p>
    <w:p w14:paraId="34307B5A">
      <w:pPr>
        <w:numPr>
          <w:ilvl w:val="0"/>
          <w:numId w:val="0"/>
        </w:numPr>
        <w:spacing w:line="450" w:lineRule="exact"/>
        <w:ind w:left="-2" w:leftChars="0" w:firstLine="422"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u w:val="none"/>
          <w:lang w:val="en-US" w:eastAsia="zh-CN"/>
        </w:rPr>
        <w:t>★（四）投标单位需提供中标后按月按时支付工人工资的承诺书。</w:t>
      </w:r>
    </w:p>
    <w:p w14:paraId="55A485C1">
      <w:pPr>
        <w:numPr>
          <w:ilvl w:val="0"/>
          <w:numId w:val="0"/>
        </w:numPr>
        <w:spacing w:line="450" w:lineRule="exact"/>
        <w:ind w:left="-2" w:leftChars="0" w:firstLine="422"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（五）</w:t>
      </w:r>
      <w:r>
        <w:rPr>
          <w:rFonts w:hint="eastAsia" w:ascii="宋体" w:hAnsi="宋体" w:eastAsia="宋体" w:cs="宋体"/>
          <w:color w:val="auto"/>
          <w:sz w:val="21"/>
          <w:szCs w:val="21"/>
          <w:highlight w:val="none"/>
          <w:lang w:val="en-US" w:eastAsia="zh-CN"/>
        </w:rPr>
        <w:t>服务时间：</w:t>
      </w:r>
    </w:p>
    <w:p w14:paraId="30CBC842">
      <w:pPr>
        <w:numPr>
          <w:ilvl w:val="0"/>
          <w:numId w:val="0"/>
        </w:numPr>
        <w:spacing w:line="450" w:lineRule="exact"/>
        <w:ind w:left="420"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项目服务时间：</w:t>
      </w:r>
      <w:r>
        <w:rPr>
          <w:rFonts w:hint="eastAsia" w:ascii="宋体" w:hAnsi="宋体" w:eastAsia="宋体" w:cs="宋体"/>
          <w:color w:val="auto"/>
          <w:sz w:val="21"/>
          <w:szCs w:val="21"/>
          <w:highlight w:val="none"/>
          <w:lang w:val="en-US" w:eastAsia="zh-CN"/>
        </w:rPr>
        <w:t>十一个月十四天；具体服务期限以甲乙双方签订的合同为准。</w:t>
      </w:r>
    </w:p>
    <w:p w14:paraId="4024547C">
      <w:pPr>
        <w:pStyle w:val="4"/>
        <w:bidi w:val="0"/>
        <w:rPr>
          <w:rFonts w:hint="eastAsia" w:ascii="宋体" w:hAnsi="宋体" w:eastAsia="宋体" w:cs="宋体"/>
          <w:sz w:val="21"/>
          <w:szCs w:val="21"/>
        </w:rPr>
      </w:pPr>
      <w:bookmarkStart w:id="38" w:name="_Toc25587"/>
      <w:r>
        <w:rPr>
          <w:rFonts w:hint="eastAsia" w:ascii="宋体" w:hAnsi="宋体" w:eastAsia="宋体" w:cs="宋体"/>
          <w:sz w:val="21"/>
          <w:szCs w:val="21"/>
          <w:lang w:val="en-US" w:eastAsia="zh-CN"/>
        </w:rPr>
        <w:t>五</w:t>
      </w:r>
      <w:r>
        <w:rPr>
          <w:rFonts w:hint="eastAsia" w:ascii="宋体" w:hAnsi="宋体" w:eastAsia="宋体" w:cs="宋体"/>
          <w:sz w:val="21"/>
          <w:szCs w:val="21"/>
        </w:rPr>
        <w:t>、其它说明</w:t>
      </w:r>
      <w:bookmarkEnd w:id="38"/>
    </w:p>
    <w:p w14:paraId="6C15CCA8">
      <w:pPr>
        <w:keepNext w:val="0"/>
        <w:keepLines w:val="0"/>
        <w:pageBreakBefore w:val="0"/>
        <w:widowControl w:val="0"/>
        <w:kinsoku/>
        <w:wordWrap/>
        <w:overflowPunct/>
        <w:topLinePunct w:val="0"/>
        <w:autoSpaceDE/>
        <w:autoSpaceDN/>
        <w:bidi w:val="0"/>
        <w:adjustRightInd/>
        <w:spacing w:line="44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１、投标人所投的技术参数不得低于本项目在服务质量要求中所涉及的服务质量标准要求和设备工具。</w:t>
      </w:r>
    </w:p>
    <w:p w14:paraId="57D6989E">
      <w:pPr>
        <w:keepNext w:val="0"/>
        <w:keepLines w:val="0"/>
        <w:pageBreakBefore w:val="0"/>
        <w:widowControl w:val="0"/>
        <w:kinsoku/>
        <w:wordWrap/>
        <w:overflowPunct/>
        <w:topLinePunct w:val="0"/>
        <w:autoSpaceDE/>
        <w:autoSpaceDN/>
        <w:bidi w:val="0"/>
        <w:adjustRightInd/>
        <w:spacing w:line="44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2、中标单位在签订合同时，若坚持提出附加条件和不合理要求，中标资格将被取消。</w:t>
      </w:r>
    </w:p>
    <w:p w14:paraId="25BF1314">
      <w:pPr>
        <w:keepNext w:val="0"/>
        <w:keepLines w:val="0"/>
        <w:pageBreakBefore w:val="0"/>
        <w:widowControl w:val="0"/>
        <w:kinsoku/>
        <w:wordWrap/>
        <w:overflowPunct/>
        <w:topLinePunct w:val="0"/>
        <w:autoSpaceDE/>
        <w:autoSpaceDN/>
        <w:bidi w:val="0"/>
        <w:adjustRightInd/>
        <w:spacing w:line="44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3、投标方须按期提供人员花名册、必备工具清单及购置发票。</w:t>
      </w:r>
    </w:p>
    <w:p w14:paraId="686EFCBD">
      <w:pPr>
        <w:pageBreakBefore w:val="0"/>
        <w:widowControl w:val="0"/>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color w:val="auto"/>
          <w:sz w:val="21"/>
          <w:szCs w:val="21"/>
          <w:highlight w:val="none"/>
          <w:lang w:eastAsia="zh-CN"/>
        </w:rPr>
        <w:sectPr>
          <w:footerReference r:id="rId9" w:type="default"/>
          <w:pgSz w:w="11906" w:h="16838"/>
          <w:pgMar w:top="1135" w:right="1800" w:bottom="851" w:left="1800" w:header="851" w:footer="992" w:gutter="0"/>
          <w:pgNumType w:fmt="decimal"/>
          <w:cols w:space="720" w:num="1"/>
          <w:docGrid w:type="lines" w:linePitch="312" w:charSpace="0"/>
        </w:sectPr>
      </w:pPr>
      <w:r>
        <w:rPr>
          <w:rFonts w:hint="eastAsia" w:ascii="宋体" w:hAnsi="宋体" w:eastAsia="宋体" w:cs="宋体"/>
          <w:color w:val="auto"/>
          <w:kern w:val="2"/>
          <w:sz w:val="21"/>
          <w:szCs w:val="21"/>
          <w:highlight w:val="none"/>
          <w:lang w:val="en-US" w:eastAsia="zh-CN" w:bidi="ar-SA"/>
        </w:rPr>
        <w:t>4、鼓励投标方增加机械投入，有效提高物业效率、质量。</w:t>
      </w:r>
    </w:p>
    <w:p w14:paraId="4A1E39D4">
      <w:pPr>
        <w:keepNext w:val="0"/>
        <w:keepLines w:val="0"/>
        <w:pageBreakBefore w:val="0"/>
        <w:kinsoku/>
        <w:wordWrap/>
        <w:topLinePunct w:val="0"/>
        <w:bidi w:val="0"/>
        <w:adjustRightInd/>
        <w:spacing w:line="360" w:lineRule="auto"/>
        <w:jc w:val="center"/>
        <w:textAlignment w:val="auto"/>
        <w:outlineLvl w:val="0"/>
        <w:rPr>
          <w:rFonts w:ascii="Times New Roman" w:hAnsi="Times New Roman" w:eastAsia="宋体" w:cs="Times New Roman"/>
          <w:b/>
          <w:bCs/>
          <w:color w:val="auto"/>
          <w:kern w:val="44"/>
          <w:sz w:val="36"/>
          <w:szCs w:val="44"/>
          <w:highlight w:val="none"/>
          <w:lang w:val="en-US" w:eastAsia="zh-CN" w:bidi="ar-SA"/>
        </w:rPr>
      </w:pPr>
      <w:bookmarkStart w:id="39" w:name="_Toc10783"/>
      <w:r>
        <w:rPr>
          <w:rFonts w:hint="eastAsia" w:ascii="Times New Roman" w:hAnsi="Times New Roman" w:eastAsia="宋体" w:cs="Times New Roman"/>
          <w:b/>
          <w:bCs/>
          <w:color w:val="auto"/>
          <w:kern w:val="44"/>
          <w:sz w:val="36"/>
          <w:szCs w:val="44"/>
          <w:highlight w:val="none"/>
          <w:lang w:val="en-US" w:eastAsia="zh-CN" w:bidi="ar-SA"/>
        </w:rPr>
        <w:t>第四章</w:t>
      </w:r>
      <w:r>
        <w:rPr>
          <w:rFonts w:ascii="Times New Roman" w:hAnsi="Times New Roman" w:eastAsia="宋体" w:cs="Times New Roman"/>
          <w:b/>
          <w:bCs/>
          <w:color w:val="auto"/>
          <w:kern w:val="44"/>
          <w:sz w:val="36"/>
          <w:szCs w:val="44"/>
          <w:highlight w:val="none"/>
          <w:lang w:val="en-US" w:eastAsia="zh-CN" w:bidi="ar-SA"/>
        </w:rPr>
        <w:t xml:space="preserve">  </w:t>
      </w:r>
      <w:r>
        <w:rPr>
          <w:rFonts w:hint="eastAsia" w:ascii="Times New Roman" w:hAnsi="Times New Roman" w:eastAsia="宋体" w:cs="Times New Roman"/>
          <w:b/>
          <w:bCs/>
          <w:color w:val="auto"/>
          <w:kern w:val="44"/>
          <w:sz w:val="36"/>
          <w:szCs w:val="44"/>
          <w:highlight w:val="none"/>
          <w:lang w:val="en-US" w:eastAsia="zh-CN" w:bidi="ar-SA"/>
        </w:rPr>
        <w:t>开标、评标和定标须知</w:t>
      </w:r>
      <w:bookmarkEnd w:id="34"/>
      <w:bookmarkEnd w:id="39"/>
    </w:p>
    <w:p w14:paraId="53E6EB2A">
      <w:pPr>
        <w:pStyle w:val="4"/>
        <w:spacing w:before="0" w:after="0" w:line="460" w:lineRule="exact"/>
        <w:rPr>
          <w:rFonts w:ascii="宋体" w:hAnsi="宋体" w:eastAsia="宋体"/>
          <w:color w:val="auto"/>
          <w:sz w:val="21"/>
          <w:szCs w:val="21"/>
          <w:highlight w:val="none"/>
        </w:rPr>
      </w:pPr>
      <w:bookmarkStart w:id="40" w:name="_Toc22509"/>
      <w:bookmarkStart w:id="41" w:name="_Toc406413937"/>
      <w:bookmarkStart w:id="42" w:name="_Toc5603"/>
      <w:bookmarkStart w:id="43" w:name="_Toc226973002"/>
      <w:bookmarkStart w:id="44" w:name="_Toc263090375"/>
      <w:bookmarkStart w:id="45" w:name="_Toc362250705"/>
      <w:bookmarkStart w:id="46" w:name="_Toc261519847"/>
      <w:bookmarkStart w:id="47" w:name="_Toc274303253"/>
      <w:bookmarkStart w:id="48" w:name="_Toc20175"/>
      <w:bookmarkStart w:id="49" w:name="_Toc27000"/>
      <w:r>
        <w:rPr>
          <w:rFonts w:hint="eastAsia" w:ascii="宋体" w:hAnsi="宋体" w:eastAsia="宋体"/>
          <w:color w:val="auto"/>
          <w:sz w:val="21"/>
          <w:szCs w:val="21"/>
          <w:highlight w:val="none"/>
        </w:rPr>
        <w:t>一、开标</w:t>
      </w:r>
      <w:bookmarkEnd w:id="40"/>
      <w:bookmarkEnd w:id="41"/>
      <w:bookmarkEnd w:id="42"/>
    </w:p>
    <w:p w14:paraId="7B90AED3">
      <w:pPr>
        <w:spacing w:line="360" w:lineRule="auto"/>
        <w:ind w:firstLine="420" w:firstLineChars="200"/>
        <w:rPr>
          <w:rFonts w:hint="eastAsia" w:ascii="宋体" w:hAnsi="宋体" w:cs="宋体"/>
          <w:color w:val="auto"/>
          <w:szCs w:val="21"/>
          <w:highlight w:val="none"/>
        </w:rPr>
      </w:pPr>
      <w:r>
        <w:rPr>
          <w:rFonts w:ascii="宋体" w:hAnsi="宋体"/>
          <w:color w:val="auto"/>
          <w:highlight w:val="none"/>
        </w:rPr>
        <w:t>1.</w:t>
      </w:r>
      <w:r>
        <w:rPr>
          <w:rFonts w:hint="eastAsia" w:ascii="宋体" w:hAnsi="宋体" w:cs="宋体"/>
          <w:color w:val="auto"/>
          <w:szCs w:val="21"/>
          <w:highlight w:val="none"/>
        </w:rPr>
        <w:t>本项目实行电子开评标，投标人无需前往开评标现场，应在规定时间内在“义乌市阳光招标采购平台”上上传电子投标文件和准时在线参加开标。</w:t>
      </w:r>
    </w:p>
    <w:p w14:paraId="08667E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2.电子开评标及评审程序</w:t>
      </w:r>
    </w:p>
    <w:p w14:paraId="7E5040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 </w:t>
      </w:r>
    </w:p>
    <w:p w14:paraId="3F750A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74180A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2.3评标委员会对报价响应文件进行评审；</w:t>
      </w:r>
    </w:p>
    <w:p w14:paraId="2F32DE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2.4在系统上公布评审结果。</w:t>
      </w:r>
    </w:p>
    <w:p w14:paraId="6F4F7E5B">
      <w:pPr>
        <w:spacing w:line="360" w:lineRule="auto"/>
        <w:ind w:firstLine="422" w:firstLineChars="200"/>
        <w:rPr>
          <w:b/>
          <w:color w:val="auto"/>
          <w:szCs w:val="21"/>
          <w:highlight w:val="none"/>
          <w:u w:val="single"/>
        </w:rPr>
      </w:pPr>
      <w:r>
        <w:rPr>
          <w:rFonts w:hint="eastAsia" w:ascii="宋体" w:hAnsi="宋体" w:cs="宋体"/>
          <w:b/>
          <w:color w:val="auto"/>
          <w:szCs w:val="21"/>
          <w:highlight w:val="none"/>
          <w:u w:val="single"/>
        </w:rPr>
        <w:t>特别说明：“义乌市阳光招标采购平台”如对开评标程序有调整的，按调整后的程序操作。</w:t>
      </w:r>
    </w:p>
    <w:p w14:paraId="043768FE">
      <w:pPr>
        <w:pStyle w:val="4"/>
        <w:spacing w:before="120" w:after="120" w:line="460" w:lineRule="exact"/>
        <w:rPr>
          <w:rFonts w:ascii="宋体" w:hAnsi="宋体" w:eastAsia="宋体" w:cs="宋体"/>
          <w:color w:val="auto"/>
          <w:sz w:val="21"/>
          <w:szCs w:val="21"/>
          <w:highlight w:val="none"/>
        </w:rPr>
      </w:pPr>
      <w:bookmarkStart w:id="50" w:name="_Toc9583"/>
      <w:r>
        <w:rPr>
          <w:rFonts w:hint="eastAsia" w:ascii="宋体" w:hAnsi="宋体" w:eastAsia="宋体" w:cs="宋体"/>
          <w:color w:val="auto"/>
          <w:sz w:val="21"/>
          <w:szCs w:val="21"/>
          <w:highlight w:val="none"/>
        </w:rPr>
        <w:t>二、评标</w:t>
      </w:r>
      <w:bookmarkEnd w:id="43"/>
      <w:bookmarkEnd w:id="44"/>
      <w:bookmarkEnd w:id="45"/>
      <w:bookmarkEnd w:id="46"/>
      <w:bookmarkEnd w:id="47"/>
      <w:bookmarkEnd w:id="48"/>
      <w:bookmarkEnd w:id="49"/>
      <w:bookmarkEnd w:id="50"/>
    </w:p>
    <w:p w14:paraId="1028A31F">
      <w:pPr>
        <w:spacing w:line="360" w:lineRule="auto"/>
        <w:ind w:firstLine="480"/>
        <w:rPr>
          <w:rFonts w:ascii="宋体" w:cs="宋体"/>
          <w:b/>
          <w:color w:val="auto"/>
          <w:kern w:val="0"/>
          <w:szCs w:val="21"/>
          <w:highlight w:val="none"/>
        </w:rPr>
      </w:pPr>
      <w:r>
        <w:rPr>
          <w:rFonts w:ascii="宋体" w:hAnsi="宋体" w:cs="宋体"/>
          <w:b/>
          <w:color w:val="auto"/>
          <w:kern w:val="0"/>
          <w:szCs w:val="21"/>
          <w:highlight w:val="none"/>
        </w:rPr>
        <w:t>3</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rPr>
        <w:t>评标小组</w:t>
      </w:r>
    </w:p>
    <w:p w14:paraId="33D06E20">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3.1 </w:t>
      </w:r>
      <w:r>
        <w:rPr>
          <w:rFonts w:hint="eastAsia" w:ascii="宋体" w:hAnsi="宋体" w:cs="宋体"/>
          <w:color w:val="auto"/>
          <w:szCs w:val="21"/>
          <w:highlight w:val="none"/>
        </w:rPr>
        <w:t>评标小组将根据招标采购项目的特点确定。其成员由专家和采购人代表</w:t>
      </w:r>
      <w:r>
        <w:rPr>
          <w:rFonts w:ascii="宋体" w:hAnsi="宋体" w:cs="宋体"/>
          <w:color w:val="auto"/>
          <w:szCs w:val="21"/>
          <w:highlight w:val="none"/>
        </w:rPr>
        <w:t>5</w:t>
      </w:r>
      <w:r>
        <w:rPr>
          <w:rFonts w:hint="eastAsia" w:ascii="宋体" w:hAnsi="宋体" w:cs="宋体"/>
          <w:color w:val="auto"/>
          <w:szCs w:val="21"/>
          <w:highlight w:val="none"/>
        </w:rPr>
        <w:t>人及以上单数组成。评标小组对投标文件进行审查、质疑、评估和比较。</w:t>
      </w:r>
    </w:p>
    <w:p w14:paraId="78E4F481">
      <w:pPr>
        <w:spacing w:line="440" w:lineRule="exact"/>
        <w:rPr>
          <w:rFonts w:hint="eastAsia" w:hAnsi="宋体"/>
          <w:color w:val="auto"/>
          <w:highlight w:val="none"/>
        </w:rPr>
      </w:pPr>
      <w:r>
        <w:rPr>
          <w:rFonts w:hint="eastAsia" w:hAnsi="宋体"/>
          <w:color w:val="auto"/>
          <w:highlight w:val="none"/>
        </w:rPr>
        <w:t xml:space="preserve">    </w:t>
      </w:r>
      <w:r>
        <w:rPr>
          <w:rFonts w:hint="eastAsia" w:ascii="宋体" w:hAnsi="宋体" w:cs="宋体"/>
          <w:color w:val="auto"/>
          <w:highlight w:val="none"/>
        </w:rPr>
        <w:t xml:space="preserve">3.2 </w:t>
      </w:r>
      <w:r>
        <w:rPr>
          <w:rFonts w:hint="eastAsia" w:hAnsi="宋体"/>
          <w:color w:val="auto"/>
          <w:highlight w:val="none"/>
        </w:rPr>
        <w:t>评审过程中招标代理人员通过“义乌市阳光招标采购平台”在线询标方式进行询标的，投标单位应在30分钟内予以回应，否则后果自负。</w:t>
      </w:r>
    </w:p>
    <w:p w14:paraId="21CAEFB8">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评标原则</w:t>
      </w:r>
    </w:p>
    <w:p w14:paraId="07397D11">
      <w:pPr>
        <w:spacing w:line="360" w:lineRule="auto"/>
        <w:ind w:firstLine="420" w:firstLineChars="200"/>
        <w:rPr>
          <w:rFonts w:ascii="宋体" w:cs="宋体"/>
          <w:color w:val="auto"/>
          <w:sz w:val="24"/>
          <w:highlight w:val="none"/>
        </w:rPr>
      </w:pPr>
      <w:r>
        <w:rPr>
          <w:rFonts w:ascii="宋体" w:hAnsi="宋体" w:cs="宋体"/>
          <w:color w:val="auto"/>
          <w:szCs w:val="21"/>
          <w:highlight w:val="none"/>
        </w:rPr>
        <w:t>4.1</w:t>
      </w:r>
      <w:r>
        <w:rPr>
          <w:rFonts w:hint="eastAsia" w:ascii="宋体" w:hAnsi="宋体" w:cs="宋体"/>
          <w:color w:val="auto"/>
          <w:szCs w:val="21"/>
          <w:highlight w:val="none"/>
        </w:rPr>
        <w:t>评标小组将遵循公开、公平、公正的原则，严格遵守评标工作纪律。</w:t>
      </w:r>
    </w:p>
    <w:p w14:paraId="74515D81">
      <w:pPr>
        <w:spacing w:line="360" w:lineRule="auto"/>
        <w:ind w:firstLine="420" w:firstLineChars="200"/>
        <w:rPr>
          <w:rFonts w:ascii="宋体" w:cs="宋体"/>
          <w:bCs/>
          <w:color w:val="auto"/>
          <w:szCs w:val="21"/>
          <w:highlight w:val="none"/>
        </w:rPr>
      </w:pPr>
      <w:r>
        <w:rPr>
          <w:rFonts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12442D75">
      <w:pPr>
        <w:spacing w:line="360" w:lineRule="auto"/>
        <w:ind w:firstLine="420" w:firstLineChars="200"/>
        <w:rPr>
          <w:rFonts w:ascii="宋体" w:cs="宋体"/>
          <w:color w:val="auto"/>
          <w:szCs w:val="21"/>
          <w:highlight w:val="none"/>
        </w:rPr>
      </w:pPr>
      <w:r>
        <w:rPr>
          <w:rFonts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1BF3825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有利于提高投资效益，节约建设资金。</w:t>
      </w:r>
    </w:p>
    <w:p w14:paraId="333CE222">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在评标过程中，出现异常或特殊情况时，由评标小组集体讨论决定。</w:t>
      </w:r>
    </w:p>
    <w:p w14:paraId="6443B47C">
      <w:pPr>
        <w:pStyle w:val="18"/>
        <w:spacing w:line="360" w:lineRule="auto"/>
        <w:ind w:firstLine="422" w:firstLineChars="200"/>
        <w:rPr>
          <w:rFonts w:hAnsi="宋体" w:cs="宋体"/>
          <w:color w:val="auto"/>
          <w:highlight w:val="none"/>
        </w:rPr>
      </w:pPr>
      <w:r>
        <w:rPr>
          <w:rFonts w:hAnsi="宋体" w:cs="宋体"/>
          <w:b/>
          <w:color w:val="auto"/>
          <w:highlight w:val="none"/>
        </w:rPr>
        <w:t>5</w:t>
      </w:r>
      <w:r>
        <w:rPr>
          <w:rFonts w:hint="eastAsia" w:hAnsi="宋体" w:cs="宋体"/>
          <w:b/>
          <w:color w:val="auto"/>
          <w:highlight w:val="none"/>
          <w:lang w:eastAsia="zh-CN"/>
        </w:rPr>
        <w:t>.</w:t>
      </w:r>
      <w:r>
        <w:rPr>
          <w:rFonts w:hint="eastAsia" w:hAnsi="宋体" w:cs="宋体"/>
          <w:b/>
          <w:color w:val="auto"/>
          <w:highlight w:val="none"/>
        </w:rPr>
        <w:t>评标过程的保密</w:t>
      </w:r>
    </w:p>
    <w:p w14:paraId="75982F11">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开标后，直至授予中标人合同为止，凡属于对投标文件的审查、澄清、评价和比较等有关的资料以及中标候选人的推荐情况等与评标有关的任何情况均严格保密。</w:t>
      </w:r>
    </w:p>
    <w:p w14:paraId="445E0C77">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在投标文件的评审和比较、中标候选人推荐以及授予合同的过程中，投标人向采购人和评标小组施加影响的任何行为，都将会导致其投标被拒绝。</w:t>
      </w:r>
    </w:p>
    <w:p w14:paraId="5E16805D">
      <w:pPr>
        <w:pStyle w:val="18"/>
        <w:spacing w:line="360" w:lineRule="auto"/>
        <w:ind w:firstLine="420" w:firstLineChars="200"/>
        <w:rPr>
          <w:rFonts w:hAnsi="宋体" w:cs="宋体"/>
          <w:color w:val="auto"/>
          <w:highlight w:val="none"/>
        </w:rPr>
      </w:pPr>
      <w:r>
        <w:rPr>
          <w:rFonts w:hAnsi="宋体" w:cs="宋体"/>
          <w:color w:val="auto"/>
          <w:highlight w:val="none"/>
        </w:rPr>
        <w:t>5.3</w:t>
      </w:r>
      <w:r>
        <w:rPr>
          <w:rFonts w:hint="eastAsia" w:hAnsi="宋体" w:cs="宋体"/>
          <w:color w:val="auto"/>
          <w:highlight w:val="none"/>
        </w:rPr>
        <w:t>中标人确认后，采购人不对未中标人就评标过程以及未能中标原因作出任何解释。未中标人不得向评标小组人员或其他有关人员索问评标过程的全部情况。</w:t>
      </w:r>
    </w:p>
    <w:p w14:paraId="50AF17D4">
      <w:pPr>
        <w:spacing w:line="360" w:lineRule="auto"/>
        <w:ind w:firstLine="420" w:firstLineChars="200"/>
        <w:rPr>
          <w:rFonts w:hint="eastAsia" w:ascii="宋体" w:hAnsi="宋体" w:cs="宋体"/>
          <w:color w:val="auto"/>
          <w:spacing w:val="-4"/>
          <w:szCs w:val="21"/>
          <w:highlight w:val="none"/>
        </w:rPr>
      </w:pPr>
      <w:r>
        <w:rPr>
          <w:rFonts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6ED22C0A">
      <w:pPr>
        <w:spacing w:line="460" w:lineRule="exact"/>
        <w:ind w:firstLine="406" w:firstLineChars="200"/>
        <w:rPr>
          <w:rFonts w:ascii="宋体"/>
          <w:color w:val="auto"/>
          <w:spacing w:val="-4"/>
          <w:highlight w:val="none"/>
        </w:rPr>
      </w:pPr>
      <w:r>
        <w:rPr>
          <w:rFonts w:ascii="宋体" w:hAnsi="宋体"/>
          <w:b/>
          <w:bCs/>
          <w:color w:val="auto"/>
          <w:spacing w:val="-4"/>
          <w:highlight w:val="none"/>
        </w:rPr>
        <w:t>6</w:t>
      </w:r>
      <w:r>
        <w:rPr>
          <w:rFonts w:hint="eastAsia" w:ascii="宋体" w:hAnsi="宋体"/>
          <w:b/>
          <w:bCs/>
          <w:color w:val="auto"/>
          <w:spacing w:val="-4"/>
          <w:highlight w:val="none"/>
          <w:lang w:eastAsia="zh-CN"/>
        </w:rPr>
        <w:t>.</w:t>
      </w:r>
      <w:r>
        <w:rPr>
          <w:rFonts w:hint="eastAsia" w:ascii="宋体" w:hAnsi="宋体"/>
          <w:b/>
          <w:bCs/>
          <w:color w:val="auto"/>
          <w:spacing w:val="-4"/>
          <w:highlight w:val="none"/>
        </w:rPr>
        <w:t>投标文件中内容不一致的处理</w:t>
      </w:r>
    </w:p>
    <w:p w14:paraId="499736DA">
      <w:pPr>
        <w:spacing w:line="460" w:lineRule="exact"/>
        <w:ind w:firstLine="404" w:firstLineChars="200"/>
        <w:rPr>
          <w:rFonts w:hint="eastAsia" w:ascii="宋体" w:hAnsi="宋体"/>
          <w:color w:val="auto"/>
          <w:spacing w:val="-4"/>
          <w:highlight w:val="none"/>
        </w:rPr>
      </w:pPr>
      <w:r>
        <w:rPr>
          <w:rFonts w:hint="eastAsia" w:ascii="宋体" w:hAnsi="宋体"/>
          <w:color w:val="auto"/>
          <w:spacing w:val="-4"/>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18DAC26E">
      <w:pPr>
        <w:spacing w:line="460" w:lineRule="exact"/>
        <w:ind w:firstLine="406" w:firstLineChars="200"/>
        <w:rPr>
          <w:rFonts w:ascii="宋体" w:cs="宋体"/>
          <w:b/>
          <w:color w:val="auto"/>
          <w:szCs w:val="21"/>
          <w:highlight w:val="none"/>
        </w:rPr>
      </w:pPr>
      <w:r>
        <w:rPr>
          <w:rFonts w:hint="eastAsia" w:ascii="宋体" w:hAnsi="宋体"/>
          <w:b/>
          <w:bCs/>
          <w:color w:val="auto"/>
          <w:spacing w:val="-4"/>
          <w:highlight w:val="none"/>
        </w:rPr>
        <w:t>7</w:t>
      </w:r>
      <w:r>
        <w:rPr>
          <w:rFonts w:hint="eastAsia" w:ascii="宋体" w:hAnsi="宋体"/>
          <w:b/>
          <w:bCs/>
          <w:color w:val="auto"/>
          <w:spacing w:val="-4"/>
          <w:highlight w:val="none"/>
          <w:lang w:eastAsia="zh-CN"/>
        </w:rPr>
        <w:t>.</w:t>
      </w:r>
      <w:r>
        <w:rPr>
          <w:rFonts w:hint="eastAsia" w:ascii="宋体" w:hAnsi="宋体" w:cs="宋体"/>
          <w:b/>
          <w:bCs/>
          <w:color w:val="auto"/>
          <w:szCs w:val="21"/>
          <w:highlight w:val="none"/>
        </w:rPr>
        <w:t>供应商的认定</w:t>
      </w:r>
    </w:p>
    <w:p w14:paraId="7FE96152">
      <w:pPr>
        <w:spacing w:line="4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单位负责人为同一人或者存在直接控股、管理关系的不同供应商，不得参加同一合同项下的采购活动。</w:t>
      </w:r>
    </w:p>
    <w:p w14:paraId="4C0FBC98">
      <w:pPr>
        <w:tabs>
          <w:tab w:val="left" w:pos="362"/>
        </w:tabs>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投标文件的澄清</w:t>
      </w:r>
    </w:p>
    <w:p w14:paraId="5E6544B3">
      <w:pPr>
        <w:tabs>
          <w:tab w:val="left" w:pos="362"/>
        </w:tabs>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.1</w:t>
      </w:r>
      <w:r>
        <w:rPr>
          <w:rFonts w:hint="eastAsia" w:ascii="宋体" w:hAnsi="宋体"/>
          <w:color w:val="auto"/>
          <w:szCs w:val="21"/>
          <w:highlight w:val="none"/>
        </w:rPr>
        <w:t>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14:paraId="14754AAB">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8.2如果投标人代表拒绝按评标委员会要求在“义乌市阳光招标采购平台”作出在线回复且无其他有效回复方式的，评标委员会可以对其作无效标处理。</w:t>
      </w:r>
    </w:p>
    <w:p w14:paraId="58F4D186">
      <w:pPr>
        <w:tabs>
          <w:tab w:val="left" w:pos="362"/>
        </w:tabs>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投标文件的初步评审</w:t>
      </w:r>
    </w:p>
    <w:p w14:paraId="140CCEED">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w:t>
      </w:r>
      <w:r>
        <w:rPr>
          <w:rFonts w:hint="eastAsia" w:ascii="宋体" w:hAnsi="宋体" w:cs="宋体"/>
          <w:color w:val="auto"/>
          <w:szCs w:val="21"/>
          <w:highlight w:val="none"/>
        </w:rPr>
        <w:t>开标后，采购人应将投标文件提交评标小组进行初步评审，初步评审内容为：</w:t>
      </w:r>
    </w:p>
    <w:p w14:paraId="7F64F672">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.1.1</w:t>
      </w:r>
      <w:r>
        <w:rPr>
          <w:rFonts w:hint="eastAsia" w:ascii="宋体" w:hAnsi="宋体" w:cs="宋体"/>
          <w:color w:val="auto"/>
          <w:szCs w:val="21"/>
          <w:highlight w:val="none"/>
        </w:rPr>
        <w:t>是否出现第五章规定的内容；</w:t>
      </w:r>
    </w:p>
    <w:p w14:paraId="01B0F2E9">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50CD19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.2</w:t>
      </w:r>
      <w:r>
        <w:rPr>
          <w:rFonts w:hint="eastAsia" w:ascii="宋体" w:hAnsi="宋体" w:cs="宋体"/>
          <w:color w:val="auto"/>
          <w:szCs w:val="21"/>
          <w:highlight w:val="none"/>
        </w:rPr>
        <w:t>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2141F36B">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.3</w:t>
      </w:r>
      <w:r>
        <w:rPr>
          <w:rFonts w:hint="eastAsia" w:ascii="宋体" w:hAnsi="宋体" w:cs="宋体"/>
          <w:color w:val="auto"/>
          <w:szCs w:val="21"/>
          <w:highlight w:val="none"/>
        </w:rPr>
        <w:t>如果投标文件实质上不响应招标文件的各项要求，评标小组将予以拒绝，并且不允许投标人通过修改或撤销其不符合要求的差异或保留，使之成为具有响应性的投标。</w:t>
      </w:r>
    </w:p>
    <w:p w14:paraId="2009E012">
      <w:pPr>
        <w:adjustRightInd w:val="0"/>
        <w:snapToGrid w:val="0"/>
        <w:spacing w:line="46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10</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投标文件计算错误的修正</w:t>
      </w:r>
    </w:p>
    <w:p w14:paraId="00AE508D">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3E634B41">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10.1.1客户端填写的报价与以pdf格式上传文件中的报价不一致的，应以pdf格式上传文件中的报价为准；</w:t>
      </w:r>
    </w:p>
    <w:p w14:paraId="7725DEBF">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10.1.2投标文件中《开标一览表》（报价表）与投标文件中相应内容不一致的，以《开标一览表》（报价表）为准；</w:t>
      </w:r>
    </w:p>
    <w:p w14:paraId="3842B5F6">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10.1.3大写金额和小写金额不一致的，以大写金额为准；</w:t>
      </w:r>
    </w:p>
    <w:p w14:paraId="2CD14C8A">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10.1.4单价金额小数点或者百分比有明显错位的，以开标一览表的总价为准，并修改单价；</w:t>
      </w:r>
    </w:p>
    <w:p w14:paraId="15233A13">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10.1.5总价金额与按单价汇总金额不一致的，以单价金额计算结果为准；</w:t>
      </w:r>
    </w:p>
    <w:p w14:paraId="6EE0E7D3">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同时出现两种以上不一致的，按照前款规定的顺序修正，修正后的报价经投标人确认后产生约束力。</w:t>
      </w:r>
    </w:p>
    <w:p w14:paraId="2BD1DE64">
      <w:pPr>
        <w:adjustRightInd w:val="0"/>
        <w:snapToGrid w:val="0"/>
        <w:spacing w:line="460" w:lineRule="exact"/>
        <w:ind w:firstLine="413" w:firstLineChars="196"/>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投标文件的评审、比较和否决</w:t>
      </w:r>
    </w:p>
    <w:p w14:paraId="76C4455D">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评标小组将按照本须知规定，仅对在实质上响应招标文件要求的投标文件进行评估和比较。</w:t>
      </w:r>
    </w:p>
    <w:p w14:paraId="4EB59E2E">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在评审过程后，评标小组可以以书面形式要求投标人就投标文件中含义不明确的内容进行书面说明并提供相关材料。</w:t>
      </w:r>
    </w:p>
    <w:p w14:paraId="4859D9BF">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.3</w:t>
      </w:r>
      <w:r>
        <w:rPr>
          <w:rFonts w:hint="eastAsia" w:ascii="宋体" w:hAnsi="宋体" w:cs="宋体"/>
          <w:color w:val="auto"/>
          <w:szCs w:val="21"/>
          <w:highlight w:val="none"/>
        </w:rPr>
        <w:t>评标小组在作出任何一项无效标决定前，都应当严格遵循以下程序：</w:t>
      </w:r>
    </w:p>
    <w:p w14:paraId="2F004B62">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.3.1</w:t>
      </w:r>
      <w:r>
        <w:rPr>
          <w:rFonts w:hint="eastAsia" w:ascii="宋体" w:hAnsi="宋体" w:cs="宋体"/>
          <w:b/>
          <w:color w:val="auto"/>
          <w:szCs w:val="21"/>
          <w:highlight w:val="none"/>
        </w:rPr>
        <w:t>要求当事投标人作相应的答辩；</w:t>
      </w:r>
    </w:p>
    <w:p w14:paraId="75BAAAEC">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.3.2</w:t>
      </w:r>
      <w:r>
        <w:rPr>
          <w:rFonts w:hint="eastAsia" w:ascii="宋体" w:hAnsi="宋体" w:cs="宋体"/>
          <w:b/>
          <w:color w:val="auto"/>
          <w:szCs w:val="21"/>
          <w:highlight w:val="none"/>
        </w:rPr>
        <w:t>将答辩记录送当事投标人法定代表人或其授权委托的全权代表签字确认；</w:t>
      </w:r>
    </w:p>
    <w:p w14:paraId="3DBBFA7F">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.3.3</w:t>
      </w:r>
      <w:r>
        <w:rPr>
          <w:rFonts w:hint="eastAsia" w:ascii="宋体" w:hAnsi="宋体" w:cs="宋体"/>
          <w:b/>
          <w:color w:val="auto"/>
          <w:szCs w:val="21"/>
          <w:highlight w:val="none"/>
        </w:rPr>
        <w:t>在充分讨论的基础上集体表决；</w:t>
      </w:r>
    </w:p>
    <w:p w14:paraId="73F68069">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.3.4</w:t>
      </w:r>
      <w:r>
        <w:rPr>
          <w:rFonts w:hint="eastAsia" w:ascii="宋体" w:hAnsi="宋体" w:cs="宋体"/>
          <w:b/>
          <w:color w:val="auto"/>
          <w:szCs w:val="21"/>
          <w:highlight w:val="none"/>
        </w:rPr>
        <w:t>若表决通过无效标决定，告知当事投标人，并在评标报告中详细载明废标理由、依据、答辩的情况和集体表决的情况（同意废标和不同意废标的评标小组成员均应当注明）。</w:t>
      </w:r>
    </w:p>
    <w:p w14:paraId="323B5E7F">
      <w:pPr>
        <w:pStyle w:val="18"/>
        <w:spacing w:line="460" w:lineRule="exact"/>
        <w:ind w:firstLine="420" w:firstLineChars="200"/>
        <w:rPr>
          <w:rFonts w:hAnsi="宋体" w:cs="宋体"/>
          <w:color w:val="auto"/>
          <w:highlight w:val="none"/>
        </w:rPr>
      </w:pPr>
      <w:r>
        <w:rPr>
          <w:rFonts w:hAnsi="宋体" w:cs="宋体"/>
          <w:color w:val="auto"/>
          <w:highlight w:val="none"/>
        </w:rPr>
        <w:t>1</w:t>
      </w:r>
      <w:r>
        <w:rPr>
          <w:rFonts w:hint="eastAsia" w:hAnsi="宋体" w:cs="宋体"/>
          <w:color w:val="auto"/>
          <w:highlight w:val="none"/>
        </w:rPr>
        <w:t>1</w:t>
      </w:r>
      <w:r>
        <w:rPr>
          <w:rFonts w:hAnsi="宋体" w:cs="宋体"/>
          <w:color w:val="auto"/>
          <w:highlight w:val="none"/>
        </w:rPr>
        <w:t>.4</w:t>
      </w:r>
      <w:r>
        <w:rPr>
          <w:rFonts w:hint="eastAsia" w:hAnsi="宋体" w:cs="宋体"/>
          <w:color w:val="auto"/>
          <w:highlight w:val="none"/>
        </w:rPr>
        <w:t>评标小组经评审，认为所有投标都不符合招标文件要求时，可以否决所有投标。所有投标被否决后，采购人应当依法重新招标。</w:t>
      </w:r>
    </w:p>
    <w:p w14:paraId="664290E0">
      <w:pPr>
        <w:pStyle w:val="18"/>
        <w:spacing w:line="460" w:lineRule="exact"/>
        <w:ind w:firstLine="406" w:firstLineChars="200"/>
        <w:rPr>
          <w:rFonts w:hAnsi="宋体" w:cs="宋体"/>
          <w:b/>
          <w:color w:val="auto"/>
          <w:spacing w:val="-4"/>
          <w:highlight w:val="none"/>
        </w:rPr>
      </w:pPr>
      <w:r>
        <w:rPr>
          <w:rFonts w:hAnsi="宋体" w:cs="宋体"/>
          <w:b/>
          <w:color w:val="auto"/>
          <w:spacing w:val="-4"/>
          <w:highlight w:val="none"/>
        </w:rPr>
        <w:t>1</w:t>
      </w:r>
      <w:r>
        <w:rPr>
          <w:rFonts w:hint="eastAsia" w:hAnsi="宋体" w:cs="宋体"/>
          <w:b/>
          <w:color w:val="auto"/>
          <w:spacing w:val="-4"/>
          <w:highlight w:val="none"/>
        </w:rPr>
        <w:t>2</w:t>
      </w:r>
      <w:r>
        <w:rPr>
          <w:rFonts w:hint="eastAsia" w:hAnsi="宋体" w:cs="宋体"/>
          <w:b/>
          <w:color w:val="auto"/>
          <w:spacing w:val="-4"/>
          <w:highlight w:val="none"/>
          <w:lang w:eastAsia="zh-CN"/>
        </w:rPr>
        <w:t>.</w:t>
      </w:r>
      <w:r>
        <w:rPr>
          <w:rFonts w:hint="eastAsia" w:hAnsi="宋体" w:cs="宋体"/>
          <w:b/>
          <w:color w:val="auto"/>
          <w:spacing w:val="-4"/>
          <w:highlight w:val="none"/>
        </w:rPr>
        <w:t>评标办法</w:t>
      </w:r>
    </w:p>
    <w:p w14:paraId="1FB49C72">
      <w:pPr>
        <w:adjustRightInd w:val="0"/>
        <w:snapToGrid w:val="0"/>
        <w:spacing w:line="44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w:t>
      </w:r>
      <w:r>
        <w:rPr>
          <w:rFonts w:ascii="宋体" w:hAnsi="宋体" w:cs="宋体"/>
          <w:b/>
          <w:color w:val="auto"/>
          <w:szCs w:val="21"/>
          <w:highlight w:val="none"/>
        </w:rPr>
        <w:t>.1</w:t>
      </w:r>
      <w:r>
        <w:rPr>
          <w:rFonts w:hint="eastAsia" w:ascii="宋体" w:hAnsi="宋体" w:cs="宋体"/>
          <w:b/>
          <w:color w:val="auto"/>
          <w:szCs w:val="21"/>
          <w:highlight w:val="none"/>
        </w:rPr>
        <w:t>采用</w:t>
      </w:r>
      <w:r>
        <w:rPr>
          <w:rFonts w:hint="eastAsia" w:ascii="宋体" w:hAnsi="宋体" w:cs="宋体"/>
          <w:b/>
          <w:color w:val="auto"/>
          <w:szCs w:val="21"/>
          <w:highlight w:val="none"/>
          <w:lang w:val="en-US" w:eastAsia="zh-CN"/>
        </w:rPr>
        <w:t>综合评分法</w:t>
      </w:r>
      <w:r>
        <w:rPr>
          <w:rFonts w:hint="eastAsia" w:ascii="宋体" w:hAnsi="宋体" w:cs="宋体"/>
          <w:b/>
          <w:color w:val="auto"/>
          <w:szCs w:val="21"/>
          <w:highlight w:val="none"/>
        </w:rPr>
        <w:t>（具体评标办法见后）。</w:t>
      </w:r>
    </w:p>
    <w:p w14:paraId="426D7587">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决标</w:t>
      </w:r>
    </w:p>
    <w:p w14:paraId="01AC4F0A">
      <w:pPr>
        <w:adjustRightInd w:val="0"/>
        <w:snapToGrid w:val="0"/>
        <w:spacing w:line="460" w:lineRule="exact"/>
        <w:ind w:firstLine="420" w:firstLineChars="200"/>
        <w:rPr>
          <w:rFonts w:hint="eastAsia" w:ascii="宋体" w:hAnsi="宋体" w:cs="宋体"/>
          <w:color w:val="auto"/>
          <w:szCs w:val="21"/>
          <w:highlight w:val="none"/>
          <w:lang w:val="en-US" w:eastAsia="zh-CN"/>
        </w:rPr>
      </w:pPr>
      <w:bookmarkStart w:id="51" w:name="_Toc261519848"/>
      <w:bookmarkStart w:id="52" w:name="_Toc263090376"/>
      <w:bookmarkStart w:id="53" w:name="_Toc362250706"/>
      <w:bookmarkStart w:id="54" w:name="_Toc4305"/>
      <w:bookmarkStart w:id="55" w:name="_Toc226973003"/>
      <w:bookmarkStart w:id="56" w:name="_Toc10636"/>
      <w:bookmarkStart w:id="57" w:name="_Toc274303254"/>
      <w:r>
        <w:rPr>
          <w:rFonts w:hint="eastAsia" w:ascii="宋体" w:hAnsi="宋体" w:cs="宋体"/>
          <w:color w:val="auto"/>
          <w:szCs w:val="21"/>
          <w:highlight w:val="none"/>
          <w:lang w:val="en-US" w:eastAsia="zh-CN"/>
        </w:rPr>
        <w:t>采购人授权评标小组直接确定中标人。</w:t>
      </w:r>
    </w:p>
    <w:p w14:paraId="4DCCFCFF">
      <w:pPr>
        <w:pStyle w:val="4"/>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color w:val="auto"/>
          <w:sz w:val="21"/>
          <w:szCs w:val="21"/>
          <w:highlight w:val="none"/>
        </w:rPr>
      </w:pPr>
      <w:bookmarkStart w:id="58" w:name="_Toc5426"/>
      <w:r>
        <w:rPr>
          <w:rFonts w:hint="eastAsia" w:ascii="宋体" w:hAnsi="宋体" w:eastAsia="宋体" w:cs="宋体"/>
          <w:color w:val="auto"/>
          <w:sz w:val="21"/>
          <w:szCs w:val="21"/>
          <w:highlight w:val="none"/>
        </w:rPr>
        <w:t>三、定标</w:t>
      </w:r>
      <w:bookmarkEnd w:id="51"/>
      <w:bookmarkEnd w:id="52"/>
      <w:bookmarkEnd w:id="53"/>
      <w:bookmarkEnd w:id="54"/>
      <w:bookmarkEnd w:id="55"/>
      <w:bookmarkEnd w:id="56"/>
      <w:bookmarkEnd w:id="57"/>
      <w:bookmarkEnd w:id="58"/>
    </w:p>
    <w:p w14:paraId="7866A668">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14</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中标通知</w:t>
      </w:r>
    </w:p>
    <w:p w14:paraId="799C1B0C">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14.1评标结束后，评标结果公告</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个工作日，发布评标结果公告的媒体为：</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义乌产权交易网。</w:t>
      </w:r>
    </w:p>
    <w:p w14:paraId="23B58E18">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公告期内，如无有效异议，公告期结束，由采购人和义乌产权交易所有限公司共同签发《中标通知书》，中标人凭有效证明到义乌产权交易所有限公司领取《中标通知书》。《中标通知书》一经发出即发生法律效力。</w:t>
      </w:r>
    </w:p>
    <w:p w14:paraId="3C25E578">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14.3</w:t>
      </w:r>
      <w:r>
        <w:rPr>
          <w:rFonts w:hint="eastAsia" w:ascii="宋体" w:hAnsi="宋体" w:cs="宋体"/>
          <w:color w:val="auto"/>
          <w:szCs w:val="21"/>
          <w:highlight w:val="none"/>
        </w:rPr>
        <w:t>开标过程中，投标人对开标有异议的，应当在</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上及时提出，评标委员应对异常情况制作相关记录。投标人若对开评标结果提出质疑的，质疑材料可加盖单位公章后以扫描件形式通过邮箱（ywcqztb001@ywcq.com）送达。</w:t>
      </w:r>
    </w:p>
    <w:p w14:paraId="22A0FA80">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质疑投诉的相关规定</w:t>
      </w:r>
    </w:p>
    <w:p w14:paraId="22257C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1.投标人如认为招标文件表述不清晰、存在歧视性、排他性或者其他违法内容的，可按前附表要求，以书面形式向采购人和采购代理机构提出，逾期提出不予受理。</w:t>
      </w:r>
    </w:p>
    <w:p w14:paraId="06C51A4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2.投标人认为采购过程和中标结果使自己的权益受到损害的，可以在中标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或成交</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公告</w:t>
      </w:r>
      <w:r>
        <w:rPr>
          <w:rFonts w:hint="eastAsia" w:ascii="宋体" w:hAnsi="宋体" w:cs="宋体"/>
          <w:color w:val="auto"/>
          <w:szCs w:val="21"/>
          <w:highlight w:val="none"/>
        </w:rPr>
        <w:t>期间，以书面形式向采购人或者采购代理机构提出质疑，否则，采购人或者采购代理机构不予受理</w:t>
      </w:r>
      <w:r>
        <w:rPr>
          <w:rFonts w:hint="eastAsia" w:ascii="宋体" w:hAnsi="宋体" w:cs="宋体"/>
          <w:color w:val="auto"/>
          <w:szCs w:val="21"/>
          <w:highlight w:val="none"/>
          <w:lang w:eastAsia="zh-CN"/>
        </w:rPr>
        <w:t>。</w:t>
      </w:r>
    </w:p>
    <w:p w14:paraId="4A6A66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3.供应商提出质疑应当提交质疑函和必要的证明材料。</w:t>
      </w:r>
    </w:p>
    <w:p w14:paraId="1BB4A6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4.采购人或者采购代理机构应当在收到供应商的书面质疑后</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个工作日内作出答复，并以书面形式通知质疑供应商和其他与质疑处理结果有利害关系的采购当事人，但答复的内容不得涉及商业秘密。</w:t>
      </w:r>
    </w:p>
    <w:p w14:paraId="1B4E7C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5.投标人须在法定质疑期内一次性提出针对同一采购程序环节的质疑。未按上述要求提供的质疑函，采购代理机构不予受理。</w:t>
      </w:r>
    </w:p>
    <w:p w14:paraId="02E9BC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6.提出质疑的供应商应当是参与所质疑项目采购活动的供应商。</w:t>
      </w:r>
    </w:p>
    <w:p w14:paraId="548BE8B4">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定代表人或授权代表签字并加盖公章。</w:t>
      </w:r>
    </w:p>
    <w:p w14:paraId="1A0BCD56">
      <w:pPr>
        <w:pStyle w:val="18"/>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lang w:val="en-US" w:eastAsia="zh-CN"/>
        </w:rPr>
        <w:t>15</w:t>
      </w:r>
      <w:r>
        <w:rPr>
          <w:rFonts w:hint="eastAsia" w:hAnsi="宋体" w:cs="宋体"/>
          <w:b/>
          <w:color w:val="auto"/>
          <w:highlight w:val="none"/>
          <w:lang w:eastAsia="zh-CN"/>
        </w:rPr>
        <w:t>.</w:t>
      </w:r>
      <w:r>
        <w:rPr>
          <w:rFonts w:hint="eastAsia" w:hAnsi="宋体" w:cs="宋体"/>
          <w:b/>
          <w:color w:val="auto"/>
          <w:highlight w:val="none"/>
        </w:rPr>
        <w:t>合同签订</w:t>
      </w:r>
    </w:p>
    <w:p w14:paraId="0F943D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5.1</w:t>
      </w:r>
      <w:r>
        <w:rPr>
          <w:rFonts w:hint="eastAsia" w:ascii="宋体" w:hAnsi="宋体" w:cs="宋体"/>
          <w:color w:val="auto"/>
          <w:szCs w:val="21"/>
          <w:highlight w:val="none"/>
        </w:rPr>
        <w:t>中标人自接到《中标通知书》后应在三十天内与采购人签订合同。</w:t>
      </w:r>
    </w:p>
    <w:p w14:paraId="2A0971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.2招标文件、中标人的投标文件、评标过程中投标人在询标时作出的承诺及其澄清文件等，均为签订合同的依据。</w:t>
      </w:r>
    </w:p>
    <w:p w14:paraId="395427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3采购人与中标（成交）供应商应当在中标（成交）通知书发出之日起30日内，按照采购文件确定的合同文本以及采购标的、规格型号、采购金额、采购数量、技术和服务要求等事项签订采购合同。</w:t>
      </w:r>
    </w:p>
    <w:p w14:paraId="70654D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4E9CC1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.4除不可抗力等因素外，中标（成交）通知书发出后，采购人改变中标（成交）结果，或者中标（成交）供应商拒绝签订采购合同的，应当承担相应的法律责任。</w:t>
      </w:r>
    </w:p>
    <w:p w14:paraId="56E65F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.5中标（成交）供应商拒绝签订采购合同的，采购人应重新开展采购活动。拒绝签订采购合同的中标（成交）供应商不得参加对该项目重新开展的采购活动。</w:t>
      </w:r>
    </w:p>
    <w:p w14:paraId="5ADA48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55EC34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.7采购人变更数量的权利</w:t>
      </w:r>
    </w:p>
    <w:p w14:paraId="21097F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货物一览表”中规定的货物数量和服务予以增加或减少，但必须符合法律法规的相关规定。</w:t>
      </w:r>
    </w:p>
    <w:p w14:paraId="470F7093">
      <w:pPr>
        <w:spacing w:line="420" w:lineRule="exact"/>
        <w:ind w:firstLine="480" w:firstLineChars="200"/>
        <w:rPr>
          <w:color w:val="auto"/>
          <w:sz w:val="24"/>
          <w:highlight w:val="none"/>
        </w:rPr>
      </w:pPr>
    </w:p>
    <w:p w14:paraId="314E3F18">
      <w:pPr>
        <w:pStyle w:val="3"/>
        <w:keepNext/>
        <w:keepLines/>
        <w:pageBreakBefore w:val="0"/>
        <w:widowControl w:val="0"/>
        <w:kinsoku/>
        <w:wordWrap/>
        <w:overflowPunct/>
        <w:topLinePunct w:val="0"/>
        <w:autoSpaceDE/>
        <w:autoSpaceDN/>
        <w:bidi w:val="0"/>
        <w:adjustRightInd/>
        <w:snapToGrid/>
        <w:spacing w:line="240" w:lineRule="exact"/>
        <w:jc w:val="center"/>
        <w:textAlignment w:val="auto"/>
        <w:rPr>
          <w:rFonts w:hAnsi="宋体"/>
          <w:color w:val="auto"/>
          <w:sz w:val="36"/>
          <w:highlight w:val="none"/>
        </w:rPr>
      </w:pPr>
      <w:bookmarkStart w:id="59" w:name="_Toc23756"/>
      <w:r>
        <w:rPr>
          <w:rFonts w:hint="eastAsia" w:hAnsi="宋体"/>
          <w:color w:val="auto"/>
          <w:sz w:val="36"/>
          <w:highlight w:val="none"/>
        </w:rPr>
        <w:br w:type="page"/>
      </w:r>
      <w:bookmarkStart w:id="60" w:name="_Toc26090"/>
      <w:r>
        <w:rPr>
          <w:rFonts w:hint="eastAsia" w:hAnsi="宋体"/>
          <w:color w:val="auto"/>
          <w:sz w:val="36"/>
          <w:highlight w:val="none"/>
        </w:rPr>
        <w:t>第五章</w:t>
      </w:r>
      <w:r>
        <w:rPr>
          <w:rFonts w:hAnsi="宋体"/>
          <w:color w:val="auto"/>
          <w:sz w:val="36"/>
          <w:highlight w:val="none"/>
        </w:rPr>
        <w:t xml:space="preserve">  </w:t>
      </w:r>
      <w:r>
        <w:rPr>
          <w:rFonts w:hint="eastAsia" w:hAnsi="宋体"/>
          <w:color w:val="auto"/>
          <w:sz w:val="36"/>
          <w:highlight w:val="none"/>
        </w:rPr>
        <w:t>投标文件的有效性</w:t>
      </w:r>
      <w:bookmarkEnd w:id="59"/>
      <w:bookmarkEnd w:id="60"/>
    </w:p>
    <w:p w14:paraId="044607E9">
      <w:pPr>
        <w:pStyle w:val="18"/>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221530FD">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1.1逾期上传电子档投标文件至“义乌市阳光招标采购平台”的；</w:t>
      </w:r>
    </w:p>
    <w:p w14:paraId="5A16FAA4">
      <w:pPr>
        <w:adjustRightInd w:val="0"/>
        <w:snapToGrid w:val="0"/>
        <w:spacing w:line="440" w:lineRule="exact"/>
        <w:ind w:firstLine="420" w:firstLineChars="200"/>
        <w:rPr>
          <w:rFonts w:hint="eastAsia" w:eastAsia="新宋体"/>
          <w:color w:val="auto"/>
          <w:highlight w:val="none"/>
          <w:lang w:eastAsia="zh-CN"/>
        </w:rPr>
      </w:pPr>
      <w:r>
        <w:rPr>
          <w:rFonts w:hint="eastAsia" w:ascii="新宋体" w:hAnsi="新宋体" w:eastAsia="新宋体"/>
          <w:color w:val="auto"/>
          <w:szCs w:val="21"/>
          <w:highlight w:val="none"/>
        </w:rPr>
        <w:t>1.2电子投标文件在规定时间内解密未成功的</w:t>
      </w:r>
      <w:r>
        <w:rPr>
          <w:rFonts w:hint="eastAsia" w:ascii="新宋体" w:hAnsi="新宋体" w:eastAsia="新宋体"/>
          <w:color w:val="auto"/>
          <w:szCs w:val="21"/>
          <w:highlight w:val="none"/>
          <w:lang w:eastAsia="zh-CN"/>
        </w:rPr>
        <w:t>。</w:t>
      </w:r>
    </w:p>
    <w:p w14:paraId="1075AEDE">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66B55795">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2.1资格响应文件或商务技术响应文件中包含报价的。</w:t>
      </w:r>
    </w:p>
    <w:p w14:paraId="13D42321">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123B0A9D">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025F1D39">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6940CBC4">
      <w:pPr>
        <w:adjustRightInd w:val="0"/>
        <w:snapToGrid w:val="0"/>
        <w:spacing w:line="440" w:lineRule="exact"/>
        <w:ind w:firstLine="420" w:firstLineChars="200"/>
        <w:rPr>
          <w:rFonts w:hint="eastAsia" w:ascii="新宋体" w:hAnsi="新宋体" w:eastAsia="新宋体"/>
          <w:strike w:val="0"/>
          <w:dstrike w:val="0"/>
          <w:color w:val="auto"/>
          <w:szCs w:val="21"/>
          <w:highlight w:val="none"/>
        </w:rPr>
      </w:pPr>
      <w:r>
        <w:rPr>
          <w:rFonts w:hint="eastAsia" w:ascii="新宋体" w:hAnsi="新宋体" w:eastAsia="新宋体"/>
          <w:strike w:val="0"/>
          <w:dstrike w:val="0"/>
          <w:color w:val="auto"/>
          <w:szCs w:val="21"/>
          <w:highlight w:val="none"/>
        </w:rPr>
        <w:t>2.5投标人所投产品的数量不符合招标文件规定的。</w:t>
      </w:r>
    </w:p>
    <w:p w14:paraId="35A8157A">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5CF63E0C">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45A7D012">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szCs w:val="21"/>
          <w:highlight w:val="none"/>
        </w:rPr>
        <w:t>它对本招标文件中打★号的条款未完全响应的。</w:t>
      </w:r>
    </w:p>
    <w:p w14:paraId="319A741E">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2.9</w:t>
      </w:r>
      <w:r>
        <w:rPr>
          <w:rFonts w:hint="eastAsia" w:ascii="新宋体" w:hAnsi="新宋体" w:eastAsia="新宋体"/>
          <w:color w:val="auto"/>
          <w:kern w:val="0"/>
          <w:szCs w:val="21"/>
          <w:highlight w:val="none"/>
        </w:rPr>
        <w:t>经评标委员会认定，</w:t>
      </w:r>
      <w:r>
        <w:rPr>
          <w:rFonts w:hint="eastAsia" w:ascii="新宋体" w:hAnsi="新宋体" w:eastAsia="新宋体"/>
          <w:color w:val="auto"/>
          <w:szCs w:val="21"/>
          <w:highlight w:val="none"/>
        </w:rPr>
        <w:t>投标文件附有采购人不能接受的条件。</w:t>
      </w:r>
    </w:p>
    <w:p w14:paraId="034934B4">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w:t>
      </w:r>
      <w:r>
        <w:rPr>
          <w:rFonts w:hint="eastAsia" w:ascii="新宋体" w:hAnsi="新宋体" w:eastAsia="新宋体"/>
          <w:color w:val="auto"/>
          <w:szCs w:val="21"/>
          <w:highlight w:val="none"/>
          <w:lang w:val="en-US" w:eastAsia="zh-CN"/>
        </w:rPr>
        <w:t>0</w:t>
      </w:r>
      <w:r>
        <w:rPr>
          <w:rFonts w:hint="eastAsia" w:ascii="新宋体" w:hAnsi="新宋体" w:eastAsia="新宋体"/>
          <w:color w:val="auto"/>
          <w:szCs w:val="21"/>
          <w:highlight w:val="none"/>
        </w:rPr>
        <w:t>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22497A0E">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59D11FBE">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内容，投标人的投标文件内容未提供完整，或关键字迹模糊、无法辨认的，或未按其规定的格式及要求填写、签字、盖章，或提供的投标文件内容不符合招标文件中有关打★号的条款的规定。</w:t>
      </w:r>
    </w:p>
    <w:p w14:paraId="2766094D">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w:t>
      </w:r>
      <w:r>
        <w:rPr>
          <w:rFonts w:hint="eastAsia" w:ascii="新宋体" w:hAnsi="新宋体" w:eastAsia="新宋体"/>
          <w:color w:val="auto"/>
          <w:kern w:val="0"/>
          <w:szCs w:val="21"/>
          <w:highlight w:val="none"/>
          <w:lang w:val="en-US" w:eastAsia="zh-CN"/>
        </w:rPr>
        <w:t>采购</w:t>
      </w:r>
      <w:r>
        <w:rPr>
          <w:rFonts w:hint="eastAsia" w:ascii="新宋体" w:hAnsi="新宋体" w:eastAsia="新宋体"/>
          <w:color w:val="auto"/>
          <w:kern w:val="0"/>
          <w:szCs w:val="21"/>
          <w:highlight w:val="none"/>
        </w:rPr>
        <w:t>预算或最高限价。</w:t>
      </w:r>
    </w:p>
    <w:p w14:paraId="23CA8A51">
      <w:pPr>
        <w:adjustRightInd w:val="0"/>
        <w:snapToGrid w:val="0"/>
        <w:spacing w:line="440" w:lineRule="exact"/>
        <w:ind w:firstLine="420" w:firstLineChars="200"/>
        <w:rPr>
          <w:rFonts w:hint="eastAsia" w:ascii="新宋体" w:hAnsi="新宋体" w:eastAsia="新宋体"/>
          <w:strike w:val="0"/>
          <w:dstrike w:val="0"/>
          <w:color w:val="auto"/>
          <w:szCs w:val="21"/>
          <w:highlight w:val="none"/>
        </w:rPr>
      </w:pPr>
      <w:r>
        <w:rPr>
          <w:rFonts w:hint="eastAsia" w:ascii="新宋体" w:hAnsi="新宋体" w:eastAsia="新宋体"/>
          <w:strike w:val="0"/>
          <w:dstrike w:val="0"/>
          <w:color w:val="auto"/>
          <w:szCs w:val="21"/>
          <w:highlight w:val="none"/>
        </w:rPr>
        <w:t>3.3投标人所投产品的数量不符合招标文件规定的。</w:t>
      </w:r>
    </w:p>
    <w:p w14:paraId="2FC49D22">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w:t>
      </w:r>
    </w:p>
    <w:p w14:paraId="0FD5C23F">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190805FC">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3.6其它对本招标文件中打★号的条款未完全响应的。</w:t>
      </w:r>
    </w:p>
    <w:p w14:paraId="7AFD4EB9">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60EB28A9">
      <w:pPr>
        <w:spacing w:line="380" w:lineRule="exact"/>
        <w:ind w:firstLine="542" w:firstLineChars="257"/>
        <w:rPr>
          <w:rFonts w:ascii="宋体" w:hAnsi="宋体"/>
          <w:color w:val="auto"/>
          <w:szCs w:val="21"/>
          <w:highlight w:val="none"/>
        </w:rPr>
      </w:pPr>
      <w:r>
        <w:rPr>
          <w:rFonts w:hint="eastAsia" w:ascii="新宋体" w:hAnsi="新宋体" w:eastAsia="新宋体"/>
          <w:b/>
          <w:bCs/>
          <w:color w:val="auto"/>
          <w:szCs w:val="21"/>
          <w:highlight w:val="none"/>
          <w:lang w:val="en-US" w:eastAsia="zh-CN"/>
        </w:rPr>
        <w:t>4.</w:t>
      </w:r>
      <w:r>
        <w:rPr>
          <w:rFonts w:ascii="宋体" w:hAnsi="宋体"/>
          <w:b/>
          <w:bCs/>
          <w:color w:val="auto"/>
          <w:szCs w:val="21"/>
          <w:highlight w:val="none"/>
        </w:rPr>
        <w:t>凡在同一招标项目的评标中，</w:t>
      </w:r>
      <w:r>
        <w:rPr>
          <w:rFonts w:hint="eastAsia" w:ascii="宋体" w:hAnsi="宋体"/>
          <w:b/>
          <w:bCs/>
          <w:color w:val="auto"/>
          <w:szCs w:val="21"/>
          <w:highlight w:val="none"/>
        </w:rPr>
        <w:t>有下列情形之一的，视为串通投标行为，评标过程中，经评标委员会集体表决后认定的，可直接作废标处理，并提请有关部门依法</w:t>
      </w:r>
      <w:r>
        <w:rPr>
          <w:rFonts w:hint="eastAsia" w:ascii="宋体" w:hAnsi="宋体"/>
          <w:b/>
          <w:bCs/>
          <w:color w:val="auto"/>
          <w:szCs w:val="21"/>
          <w:highlight w:val="none"/>
          <w:lang w:eastAsia="zh-CN"/>
        </w:rPr>
        <w:t>作出</w:t>
      </w:r>
      <w:r>
        <w:rPr>
          <w:rFonts w:hint="eastAsia" w:ascii="宋体" w:hAnsi="宋体"/>
          <w:b/>
          <w:bCs/>
          <w:color w:val="auto"/>
          <w:szCs w:val="21"/>
          <w:highlight w:val="none"/>
        </w:rPr>
        <w:t>处罚：</w:t>
      </w:r>
    </w:p>
    <w:p w14:paraId="1CCCB722">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（1）不同投标人的投标文件内容存在非正常一致的；</w:t>
      </w:r>
    </w:p>
    <w:p w14:paraId="5F84A3FA">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（2）不同投标人的投标文件错漏之处一致的；</w:t>
      </w:r>
    </w:p>
    <w:p w14:paraId="66CAADEC">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（3）不同投标人的投标报价或者报价组成异常一致或者呈规律性变化的；</w:t>
      </w:r>
    </w:p>
    <w:p w14:paraId="6F2E4515">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（4）不同投标人的投标文件由同一单位或者同一个人编制的；</w:t>
      </w:r>
    </w:p>
    <w:p w14:paraId="192A4F7D">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（5）不同投标人的投标文件载明的项目管理班子成员出现同一人的；</w:t>
      </w:r>
    </w:p>
    <w:p w14:paraId="265B9AE6">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（6）不同投标人的投标文件相互混装的；</w:t>
      </w:r>
    </w:p>
    <w:p w14:paraId="15449AEB">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（7）不同投标人的投标文件由同一台电脑编制或者同一台附属设备打印的；</w:t>
      </w:r>
    </w:p>
    <w:p w14:paraId="221ADF16">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（8）不同投标人委托同一人办理投标事宜的或不同投标人与同一投标人联合投标的；</w:t>
      </w:r>
    </w:p>
    <w:p w14:paraId="76D33413">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rPr>
        <w:t>（9）不同投标人使用同一个人或者企业资金交纳投标保证金或者投标保函的反担保的</w:t>
      </w:r>
      <w:r>
        <w:rPr>
          <w:rFonts w:hint="eastAsia" w:ascii="新宋体" w:hAnsi="新宋体" w:eastAsia="新宋体"/>
          <w:color w:val="auto"/>
          <w:szCs w:val="21"/>
          <w:highlight w:val="none"/>
          <w:lang w:eastAsia="zh-CN"/>
        </w:rPr>
        <w:t>；</w:t>
      </w:r>
    </w:p>
    <w:p w14:paraId="6CA70505">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rPr>
        <w:t>（10）评标委员会认定的其他串通投标情形</w:t>
      </w:r>
      <w:r>
        <w:rPr>
          <w:rFonts w:hint="eastAsia" w:ascii="新宋体" w:hAnsi="新宋体" w:eastAsia="新宋体"/>
          <w:color w:val="auto"/>
          <w:szCs w:val="21"/>
          <w:highlight w:val="none"/>
          <w:lang w:eastAsia="zh-CN"/>
        </w:rPr>
        <w:t>；</w:t>
      </w:r>
    </w:p>
    <w:p w14:paraId="6B243124">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lang w:eastAsia="zh-CN"/>
        </w:rPr>
        <w:t>（</w:t>
      </w:r>
      <w:r>
        <w:rPr>
          <w:rFonts w:hint="eastAsia" w:ascii="新宋体" w:hAnsi="新宋体" w:eastAsia="新宋体"/>
          <w:color w:val="auto"/>
          <w:szCs w:val="21"/>
          <w:highlight w:val="none"/>
          <w:lang w:val="en-US" w:eastAsia="zh-CN"/>
        </w:rPr>
        <w:t>11）</w:t>
      </w:r>
      <w:r>
        <w:rPr>
          <w:rFonts w:hint="eastAsia" w:ascii="新宋体" w:hAnsi="新宋体" w:eastAsia="新宋体"/>
          <w:color w:val="auto"/>
          <w:szCs w:val="21"/>
          <w:highlight w:val="none"/>
        </w:rPr>
        <w:t>不同投标人制作电子投标（响应）文件的计算机网卡 mAc 地址相同的</w:t>
      </w:r>
      <w:r>
        <w:rPr>
          <w:rFonts w:hint="eastAsia" w:ascii="新宋体" w:hAnsi="新宋体" w:eastAsia="新宋体"/>
          <w:color w:val="auto"/>
          <w:szCs w:val="21"/>
          <w:highlight w:val="none"/>
          <w:lang w:eastAsia="zh-CN"/>
        </w:rPr>
        <w:t>；</w:t>
      </w:r>
    </w:p>
    <w:p w14:paraId="7829D44F">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lang w:eastAsia="zh-CN"/>
        </w:rPr>
        <w:t>（</w:t>
      </w:r>
      <w:r>
        <w:rPr>
          <w:rFonts w:hint="eastAsia" w:ascii="新宋体" w:hAnsi="新宋体" w:eastAsia="新宋体"/>
          <w:color w:val="auto"/>
          <w:szCs w:val="21"/>
          <w:highlight w:val="none"/>
          <w:lang w:val="en-US" w:eastAsia="zh-CN"/>
        </w:rPr>
        <w:t>12）</w:t>
      </w:r>
      <w:r>
        <w:rPr>
          <w:rFonts w:hint="eastAsia" w:ascii="新宋体" w:hAnsi="新宋体" w:eastAsia="新宋体"/>
          <w:color w:val="auto"/>
          <w:szCs w:val="21"/>
          <w:highlight w:val="none"/>
        </w:rPr>
        <w:t>不同投标人制作电子投标（响应）文件的计算机硬盘序列号相同的。</w:t>
      </w:r>
    </w:p>
    <w:p w14:paraId="63B514B6">
      <w:pPr>
        <w:adjustRightInd w:val="0"/>
        <w:snapToGrid w:val="0"/>
        <w:spacing w:line="440" w:lineRule="exact"/>
        <w:ind w:firstLine="422" w:firstLineChars="200"/>
        <w:rPr>
          <w:rFonts w:hint="eastAsia" w:ascii="新宋体" w:hAnsi="新宋体" w:eastAsia="新宋体" w:cs="Times New Roman"/>
          <w:b/>
          <w:bCs/>
          <w:color w:val="auto"/>
          <w:szCs w:val="21"/>
          <w:highlight w:val="none"/>
        </w:rPr>
      </w:pPr>
      <w:r>
        <w:rPr>
          <w:rFonts w:hint="eastAsia" w:ascii="新宋体" w:hAnsi="新宋体" w:eastAsia="新宋体" w:cs="Times New Roman"/>
          <w:b/>
          <w:bCs/>
          <w:color w:val="auto"/>
          <w:szCs w:val="21"/>
          <w:highlight w:val="none"/>
          <w:lang w:val="en-US" w:eastAsia="zh-CN"/>
        </w:rPr>
        <w:t>5</w:t>
      </w:r>
      <w:r>
        <w:rPr>
          <w:rFonts w:hint="eastAsia" w:ascii="新宋体" w:hAnsi="新宋体" w:eastAsia="新宋体" w:cs="Times New Roman"/>
          <w:b/>
          <w:bCs/>
          <w:color w:val="auto"/>
          <w:szCs w:val="21"/>
          <w:highlight w:val="none"/>
        </w:rPr>
        <w:t>.其他违反法律法规的情况。</w:t>
      </w:r>
    </w:p>
    <w:p w14:paraId="7B1AF5BE">
      <w:pP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lang w:val="en-US" w:eastAsia="zh-CN"/>
        </w:rPr>
        <w:t>6</w:t>
      </w:r>
      <w:r>
        <w:rPr>
          <w:rFonts w:hint="eastAsia" w:ascii="新宋体" w:hAnsi="新宋体" w:eastAsia="新宋体"/>
          <w:b/>
          <w:color w:val="auto"/>
          <w:kern w:val="0"/>
          <w:szCs w:val="21"/>
          <w:highlight w:val="none"/>
        </w:rPr>
        <w:t>.评标过程中，非上述所罗列的情况，不得以无效标处理</w:t>
      </w:r>
      <w:r>
        <w:rPr>
          <w:rFonts w:hint="eastAsia" w:ascii="宋体" w:hAnsi="宋体" w:cs="宋体"/>
          <w:b/>
          <w:bCs/>
          <w:color w:val="auto"/>
          <w:kern w:val="0"/>
          <w:szCs w:val="21"/>
          <w:highlight w:val="none"/>
        </w:rPr>
        <w:t>。</w:t>
      </w:r>
    </w:p>
    <w:p w14:paraId="10155432">
      <w:pPr>
        <w:spacing w:line="420" w:lineRule="exact"/>
        <w:ind w:firstLine="422" w:firstLineChars="200"/>
        <w:rPr>
          <w:rFonts w:hint="eastAsia"/>
          <w:b/>
          <w:bCs/>
          <w:color w:val="auto"/>
          <w:szCs w:val="21"/>
          <w:highlight w:val="none"/>
        </w:rPr>
      </w:pPr>
    </w:p>
    <w:p w14:paraId="63D1E0A1">
      <w:pPr>
        <w:spacing w:line="420" w:lineRule="exact"/>
        <w:ind w:firstLine="480" w:firstLineChars="200"/>
        <w:rPr>
          <w:rFonts w:hint="eastAsia"/>
          <w:color w:val="auto"/>
          <w:sz w:val="24"/>
          <w:highlight w:val="none"/>
        </w:rPr>
      </w:pPr>
    </w:p>
    <w:p w14:paraId="0B7D8598">
      <w:pPr>
        <w:spacing w:line="420" w:lineRule="exact"/>
        <w:rPr>
          <w:rFonts w:hint="eastAsia"/>
          <w:color w:val="auto"/>
          <w:sz w:val="24"/>
          <w:highlight w:val="none"/>
        </w:rPr>
      </w:pPr>
    </w:p>
    <w:p w14:paraId="10A28522">
      <w:pPr>
        <w:spacing w:line="420" w:lineRule="exact"/>
        <w:rPr>
          <w:rFonts w:hint="eastAsia"/>
          <w:color w:val="auto"/>
          <w:sz w:val="24"/>
          <w:highlight w:val="none"/>
        </w:rPr>
      </w:pPr>
    </w:p>
    <w:p w14:paraId="1B965B1B">
      <w:pPr>
        <w:spacing w:line="420" w:lineRule="exact"/>
        <w:rPr>
          <w:rFonts w:hint="eastAsia"/>
          <w:color w:val="auto"/>
          <w:sz w:val="24"/>
          <w:highlight w:val="none"/>
        </w:rPr>
      </w:pPr>
    </w:p>
    <w:p w14:paraId="2214DCDE">
      <w:pPr>
        <w:spacing w:line="420" w:lineRule="exact"/>
        <w:rPr>
          <w:rFonts w:hint="eastAsia"/>
          <w:color w:val="auto"/>
          <w:sz w:val="24"/>
          <w:highlight w:val="none"/>
        </w:rPr>
      </w:pPr>
    </w:p>
    <w:p w14:paraId="3CF73F14">
      <w:pPr>
        <w:spacing w:line="420" w:lineRule="exact"/>
        <w:rPr>
          <w:rFonts w:hint="eastAsia"/>
          <w:color w:val="auto"/>
          <w:sz w:val="24"/>
          <w:highlight w:val="none"/>
        </w:rPr>
      </w:pPr>
    </w:p>
    <w:p w14:paraId="71DEE869">
      <w:pPr>
        <w:spacing w:line="420" w:lineRule="exact"/>
        <w:rPr>
          <w:rFonts w:hint="eastAsia"/>
          <w:color w:val="auto"/>
          <w:sz w:val="24"/>
          <w:highlight w:val="none"/>
        </w:rPr>
      </w:pPr>
    </w:p>
    <w:p w14:paraId="1CFDEEB0">
      <w:pPr>
        <w:pStyle w:val="65"/>
        <w:rPr>
          <w:rFonts w:hint="eastAsia" w:ascii="宋体" w:hAnsi="宋体" w:cs="宋体"/>
          <w:color w:val="auto"/>
          <w:sz w:val="21"/>
          <w:szCs w:val="21"/>
          <w:highlight w:val="none"/>
        </w:rPr>
      </w:pPr>
      <w:bookmarkStart w:id="61" w:name="_Toc274303257"/>
    </w:p>
    <w:p w14:paraId="57928351">
      <w:pPr>
        <w:pStyle w:val="3"/>
        <w:keepNext/>
        <w:keepLines/>
        <w:pageBreakBefore w:val="0"/>
        <w:widowControl w:val="0"/>
        <w:tabs>
          <w:tab w:val="left" w:pos="360"/>
        </w:tabs>
        <w:kinsoku/>
        <w:wordWrap/>
        <w:overflowPunct/>
        <w:topLinePunct w:val="0"/>
        <w:autoSpaceDE/>
        <w:autoSpaceDN/>
        <w:bidi w:val="0"/>
        <w:adjustRightInd/>
        <w:snapToGrid/>
        <w:spacing w:line="240" w:lineRule="exact"/>
        <w:jc w:val="center"/>
        <w:textAlignment w:val="auto"/>
        <w:rPr>
          <w:rFonts w:hint="eastAsia" w:ascii="宋体" w:hAnsi="宋体" w:cs="宋体"/>
          <w:color w:val="auto"/>
          <w:sz w:val="21"/>
          <w:szCs w:val="21"/>
          <w:highlight w:val="none"/>
        </w:rPr>
      </w:pPr>
      <w:bookmarkStart w:id="62" w:name="_Toc145992551"/>
      <w:bookmarkStart w:id="63" w:name="_Toc274303255"/>
      <w:bookmarkStart w:id="64" w:name="_Toc19786"/>
      <w:bookmarkStart w:id="65" w:name="_Toc226973004"/>
      <w:bookmarkStart w:id="66" w:name="_Toc362250708"/>
      <w:r>
        <w:rPr>
          <w:rFonts w:hint="eastAsia"/>
          <w:color w:val="auto"/>
          <w:sz w:val="36"/>
          <w:highlight w:val="none"/>
        </w:rPr>
        <w:br w:type="page"/>
      </w:r>
      <w:bookmarkStart w:id="67" w:name="_Toc25135"/>
      <w:r>
        <w:rPr>
          <w:rFonts w:hint="eastAsia"/>
          <w:color w:val="auto"/>
          <w:sz w:val="36"/>
          <w:highlight w:val="none"/>
        </w:rPr>
        <w:t>第六章</w:t>
      </w:r>
      <w:r>
        <w:rPr>
          <w:color w:val="auto"/>
          <w:sz w:val="36"/>
          <w:highlight w:val="none"/>
        </w:rPr>
        <w:t xml:space="preserve">  </w:t>
      </w:r>
      <w:r>
        <w:rPr>
          <w:rFonts w:hint="eastAsia"/>
          <w:color w:val="auto"/>
          <w:sz w:val="36"/>
          <w:highlight w:val="none"/>
        </w:rPr>
        <w:t>评标办法</w:t>
      </w:r>
      <w:bookmarkEnd w:id="62"/>
      <w:bookmarkEnd w:id="63"/>
      <w:bookmarkEnd w:id="64"/>
      <w:bookmarkEnd w:id="65"/>
      <w:bookmarkEnd w:id="66"/>
      <w:bookmarkEnd w:id="67"/>
    </w:p>
    <w:bookmarkEnd w:id="61"/>
    <w:p w14:paraId="75F7B489">
      <w:pPr>
        <w:pStyle w:val="65"/>
        <w:ind w:firstLine="420" w:firstLineChars="200"/>
        <w:rPr>
          <w:rFonts w:hint="eastAsia" w:ascii="宋体" w:hAnsi="宋体" w:cs="宋体"/>
          <w:color w:val="auto"/>
          <w:sz w:val="21"/>
          <w:szCs w:val="21"/>
          <w:highlight w:val="none"/>
        </w:rPr>
      </w:pPr>
      <w:bookmarkStart w:id="68" w:name="_Toc295815145"/>
      <w:bookmarkStart w:id="69" w:name="_Toc323024194"/>
      <w:bookmarkStart w:id="70" w:name="_Toc330474791"/>
      <w:bookmarkStart w:id="71" w:name="_Toc358884475"/>
      <w:bookmarkStart w:id="72" w:name="_Toc269969080"/>
      <w:bookmarkStart w:id="73" w:name="_Toc362250710"/>
      <w:r>
        <w:rPr>
          <w:rFonts w:hint="eastAsia" w:ascii="宋体" w:hAnsi="宋体" w:cs="宋体"/>
          <w:color w:val="auto"/>
          <w:sz w:val="21"/>
          <w:szCs w:val="21"/>
          <w:highlight w:val="none"/>
        </w:rPr>
        <w:t>根据《中华人民共和国招标投标法》的有关规定，遵循“公开、公平、公正”的原则，结合本次招标的特点，特制定本评标细则。</w:t>
      </w:r>
    </w:p>
    <w:p w14:paraId="74A5B019">
      <w:pPr>
        <w:pStyle w:val="4"/>
        <w:spacing w:before="120" w:after="120" w:line="460" w:lineRule="exact"/>
        <w:rPr>
          <w:rFonts w:hint="eastAsia" w:ascii="宋体" w:hAnsi="宋体" w:eastAsia="宋体" w:cs="宋体"/>
          <w:b/>
          <w:bCs/>
          <w:color w:val="auto"/>
          <w:sz w:val="21"/>
          <w:szCs w:val="21"/>
          <w:highlight w:val="none"/>
        </w:rPr>
      </w:pPr>
      <w:bookmarkStart w:id="74" w:name="_Toc30407"/>
      <w:bookmarkStart w:id="75" w:name="_Toc15486"/>
      <w:r>
        <w:rPr>
          <w:rFonts w:hint="eastAsia" w:ascii="宋体" w:hAnsi="宋体" w:eastAsia="宋体" w:cs="宋体"/>
          <w:b/>
          <w:bCs/>
          <w:color w:val="auto"/>
          <w:sz w:val="21"/>
          <w:szCs w:val="21"/>
          <w:highlight w:val="none"/>
        </w:rPr>
        <w:t>一、评审程序</w:t>
      </w:r>
      <w:bookmarkEnd w:id="74"/>
      <w:bookmarkEnd w:id="75"/>
    </w:p>
    <w:p w14:paraId="7B748A90">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 xml:space="preserve">评标委员会以开标、评标、询标情况为基本依据，按照招标文件的规定，对各投标人的投标文件分资格、商务技术、投标报价三个部分按以下程序进行分析、评议： </w:t>
      </w:r>
    </w:p>
    <w:p w14:paraId="3B4EC0D8">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（一）对所有投标人的资格响应文件进行审查，并以开标当日为准，对投标人“信用中国”网站（www.creditchina.gov.cn）信用记录情况进行查询；</w:t>
      </w:r>
    </w:p>
    <w:p w14:paraId="7C4AA8BC">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（二）对通过资格性审查合格的投标人的商务技术响应文件进行符合性审查；</w:t>
      </w:r>
    </w:p>
    <w:p w14:paraId="544709F6">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（三）对通过符合性审查有效的投标人的商务技术响应文件进行技术评分（详见三、评分细则）；</w:t>
      </w:r>
    </w:p>
    <w:p w14:paraId="1F97FCAB">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四）上述投标人的评分结束后，评标委员会对上述投标人的报价文件进行评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583BABB5">
      <w:pPr>
        <w:pStyle w:val="18"/>
        <w:spacing w:line="440" w:lineRule="exact"/>
        <w:ind w:firstLine="420" w:firstLineChars="200"/>
        <w:rPr>
          <w:rFonts w:hint="eastAsia" w:hAnsi="宋体" w:eastAsia="宋体" w:cs="宋体"/>
          <w:color w:val="auto"/>
          <w:highlight w:val="none"/>
          <w:lang w:eastAsia="zh-CN"/>
        </w:rPr>
      </w:pPr>
      <w:r>
        <w:rPr>
          <w:rFonts w:hint="eastAsia" w:hAnsi="宋体" w:cs="宋体"/>
          <w:color w:val="auto"/>
          <w:highlight w:val="none"/>
        </w:rPr>
        <w:t>（五）对通过报价评审有效的投标人，由“</w:t>
      </w:r>
      <w:r>
        <w:rPr>
          <w:rFonts w:hint="eastAsia" w:hAnsi="宋体" w:cs="宋体"/>
          <w:color w:val="auto"/>
          <w:highlight w:val="none"/>
          <w:lang w:eastAsia="zh-CN"/>
        </w:rPr>
        <w:t>义乌市阳光招标采购平台</w:t>
      </w:r>
      <w:r>
        <w:rPr>
          <w:rFonts w:hint="eastAsia" w:hAnsi="宋体" w:cs="宋体"/>
          <w:color w:val="auto"/>
          <w:highlight w:val="none"/>
        </w:rPr>
        <w:t>”平台计算出其报价分及总得分，并由评标委员会进行确认</w:t>
      </w:r>
      <w:r>
        <w:rPr>
          <w:rFonts w:hint="eastAsia" w:hAnsi="宋体" w:cs="宋体"/>
          <w:color w:val="auto"/>
          <w:highlight w:val="none"/>
          <w:lang w:eastAsia="zh-CN"/>
        </w:rPr>
        <w:t>。</w:t>
      </w:r>
    </w:p>
    <w:p w14:paraId="65F123FB">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（六）确定中标人</w:t>
      </w:r>
    </w:p>
    <w:p w14:paraId="58BA34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1.首先，评标委员会按综合得分从高到低顺序进行排列；得分相同的，按投标报价由低到高顺序排列；得分且投标报价相同的，按</w:t>
      </w:r>
      <w:r>
        <w:rPr>
          <w:rFonts w:hint="eastAsia" w:ascii="宋体" w:hAnsi="宋体" w:cs="宋体"/>
          <w:color w:val="auto"/>
          <w:szCs w:val="21"/>
          <w:highlight w:val="none"/>
          <w:lang w:val="en-US" w:eastAsia="zh-CN"/>
        </w:rPr>
        <w:t>商务</w:t>
      </w:r>
      <w:r>
        <w:rPr>
          <w:rFonts w:hint="eastAsia" w:ascii="宋体" w:hAnsi="宋体" w:cs="宋体"/>
          <w:color w:val="auto"/>
          <w:szCs w:val="21"/>
          <w:highlight w:val="none"/>
        </w:rPr>
        <w:t>技术分从高到低顺序排列；</w:t>
      </w:r>
      <w:r>
        <w:rPr>
          <w:rFonts w:hint="eastAsia" w:ascii="宋体" w:hAnsi="宋体" w:cs="宋体"/>
          <w:color w:val="auto"/>
          <w:szCs w:val="21"/>
          <w:highlight w:val="none"/>
          <w:lang w:val="en-US" w:eastAsia="zh-CN"/>
        </w:rPr>
        <w:t>商务</w:t>
      </w:r>
      <w:r>
        <w:rPr>
          <w:rFonts w:hint="eastAsia" w:ascii="宋体" w:hAnsi="宋体" w:cs="宋体"/>
          <w:color w:val="auto"/>
          <w:szCs w:val="21"/>
          <w:highlight w:val="none"/>
        </w:rPr>
        <w:t>技术分相同，投标报价也相同的由采购人代表采用随机抽取程序随机确定。</w:t>
      </w:r>
    </w:p>
    <w:p w14:paraId="40EEF9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2.其次，评标委员会直接确定</w:t>
      </w:r>
      <w:r>
        <w:rPr>
          <w:rFonts w:hint="eastAsia" w:ascii="宋体" w:hAnsi="宋体" w:cs="宋体"/>
          <w:color w:val="auto"/>
          <w:szCs w:val="21"/>
          <w:highlight w:val="none"/>
          <w:lang w:eastAsia="zh-CN"/>
        </w:rPr>
        <w:t>排名第一</w:t>
      </w:r>
      <w:r>
        <w:rPr>
          <w:rFonts w:hint="eastAsia" w:ascii="宋体" w:hAnsi="宋体" w:cs="宋体"/>
          <w:color w:val="auto"/>
          <w:szCs w:val="21"/>
          <w:highlight w:val="none"/>
        </w:rPr>
        <w:t>的投标人为</w:t>
      </w:r>
      <w:r>
        <w:rPr>
          <w:rFonts w:hint="eastAsia" w:ascii="宋体" w:hAnsi="宋体" w:cs="宋体"/>
          <w:color w:val="auto"/>
          <w:szCs w:val="21"/>
          <w:highlight w:val="none"/>
          <w:lang w:val="en-US" w:eastAsia="zh-CN"/>
        </w:rPr>
        <w:t>中标单位</w:t>
      </w:r>
      <w:r>
        <w:rPr>
          <w:rFonts w:hint="eastAsia" w:ascii="宋体" w:hAnsi="宋体" w:cs="宋体"/>
          <w:color w:val="auto"/>
          <w:szCs w:val="21"/>
          <w:highlight w:val="none"/>
        </w:rPr>
        <w:t>。</w:t>
      </w:r>
    </w:p>
    <w:p w14:paraId="77B637A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（七）完成评标报告</w:t>
      </w:r>
    </w:p>
    <w:p w14:paraId="188E90BB">
      <w:pPr>
        <w:pStyle w:val="18"/>
        <w:spacing w:line="440" w:lineRule="exact"/>
        <w:ind w:firstLine="420" w:firstLineChars="200"/>
        <w:jc w:val="left"/>
        <w:rPr>
          <w:rFonts w:hint="eastAsia" w:hAnsi="宋体" w:cs="宋体"/>
          <w:color w:val="auto"/>
          <w:highlight w:val="none"/>
        </w:rPr>
      </w:pPr>
      <w:r>
        <w:rPr>
          <w:rFonts w:hint="eastAsia" w:hAnsi="宋体" w:cs="宋体"/>
          <w:color w:val="auto"/>
          <w:highlight w:val="none"/>
        </w:rPr>
        <w:t xml:space="preserve">评标委员会根据评审相关情况作出评标报告。  </w:t>
      </w:r>
    </w:p>
    <w:p w14:paraId="66918CFE">
      <w:pPr>
        <w:pStyle w:val="4"/>
        <w:spacing w:before="120" w:after="120" w:line="460" w:lineRule="exact"/>
        <w:rPr>
          <w:rFonts w:hint="eastAsia" w:ascii="宋体" w:hAnsi="宋体" w:eastAsia="宋体" w:cs="宋体"/>
          <w:b/>
          <w:bCs/>
          <w:color w:val="auto"/>
          <w:sz w:val="21"/>
          <w:szCs w:val="21"/>
          <w:highlight w:val="none"/>
        </w:rPr>
      </w:pPr>
      <w:bookmarkStart w:id="76" w:name="_Toc21239"/>
      <w:bookmarkStart w:id="77" w:name="_Toc24249"/>
      <w:r>
        <w:rPr>
          <w:rFonts w:hint="eastAsia" w:ascii="宋体" w:hAnsi="宋体" w:eastAsia="宋体" w:cs="宋体"/>
          <w:b/>
          <w:bCs/>
          <w:color w:val="auto"/>
          <w:sz w:val="21"/>
          <w:szCs w:val="21"/>
          <w:highlight w:val="none"/>
        </w:rPr>
        <w:t>二、确定的中标人放弃中标等情况的处理</w:t>
      </w:r>
      <w:bookmarkEnd w:id="76"/>
      <w:bookmarkEnd w:id="77"/>
    </w:p>
    <w:p w14:paraId="697409B7">
      <w:pPr>
        <w:pStyle w:val="18"/>
        <w:spacing w:line="440" w:lineRule="exact"/>
        <w:ind w:firstLine="420" w:firstLineChars="200"/>
        <w:jc w:val="left"/>
        <w:rPr>
          <w:rFonts w:hint="eastAsia" w:hAnsi="宋体" w:cs="宋体"/>
          <w:color w:val="auto"/>
          <w:highlight w:val="none"/>
        </w:rPr>
      </w:pPr>
      <w:r>
        <w:rPr>
          <w:rFonts w:hint="eastAsia" w:hAnsi="宋体" w:cs="宋体"/>
          <w:color w:val="auto"/>
          <w:highlight w:val="none"/>
        </w:rPr>
        <w:t>1.当确定的中标人放弃中标，因不可抗力提出不能履行合同或者质疑投诉成立取消中标人资格的，均不再确定其余投标人作为中标人。</w:t>
      </w:r>
    </w:p>
    <w:p w14:paraId="2AC136C5">
      <w:pPr>
        <w:pStyle w:val="18"/>
        <w:spacing w:line="440" w:lineRule="exact"/>
        <w:ind w:firstLine="420" w:firstLineChars="200"/>
        <w:jc w:val="left"/>
        <w:rPr>
          <w:rFonts w:hint="eastAsia" w:hAnsi="宋体" w:cs="宋体"/>
          <w:color w:val="auto"/>
          <w:highlight w:val="none"/>
        </w:rPr>
      </w:pPr>
      <w:r>
        <w:rPr>
          <w:rFonts w:hint="eastAsia" w:hAnsi="宋体" w:cs="宋体"/>
          <w:color w:val="auto"/>
          <w:highlight w:val="none"/>
        </w:rPr>
        <w:t>2.因中标人原因导致定标后无法签订合同的，中标人应按本文件服务费规定支付招标服务费。</w:t>
      </w:r>
    </w:p>
    <w:p w14:paraId="640F8F64">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2A7E4CE4">
      <w:pPr>
        <w:pStyle w:val="4"/>
        <w:numPr>
          <w:ilvl w:val="0"/>
          <w:numId w:val="4"/>
        </w:numPr>
        <w:spacing w:before="120" w:after="120" w:line="360" w:lineRule="auto"/>
        <w:rPr>
          <w:rFonts w:hint="eastAsia" w:ascii="宋体" w:hAnsi="宋体" w:eastAsia="宋体" w:cs="宋体"/>
          <w:color w:val="auto"/>
          <w:sz w:val="21"/>
          <w:szCs w:val="21"/>
          <w:highlight w:val="none"/>
        </w:rPr>
      </w:pPr>
      <w:bookmarkStart w:id="78" w:name="_Toc30301"/>
      <w:bookmarkStart w:id="79" w:name="_Toc12264"/>
      <w:r>
        <w:rPr>
          <w:rFonts w:hint="eastAsia" w:ascii="宋体" w:hAnsi="宋体" w:eastAsia="宋体" w:cs="宋体"/>
          <w:color w:val="auto"/>
          <w:sz w:val="21"/>
          <w:szCs w:val="21"/>
          <w:highlight w:val="none"/>
        </w:rPr>
        <w:t>评分细则</w:t>
      </w:r>
      <w:bookmarkEnd w:id="78"/>
      <w:bookmarkEnd w:id="79"/>
    </w:p>
    <w:tbl>
      <w:tblPr>
        <w:tblStyle w:val="37"/>
        <w:tblW w:w="871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10"/>
        <w:gridCol w:w="1476"/>
        <w:gridCol w:w="1730"/>
        <w:gridCol w:w="4800"/>
      </w:tblGrid>
      <w:tr w14:paraId="2ED802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710" w:type="dxa"/>
            <w:noWrap/>
            <w:vAlign w:val="center"/>
          </w:tcPr>
          <w:p w14:paraId="5EE72A91">
            <w:pPr>
              <w:widowControl/>
              <w:adjustRightInd w:val="0"/>
              <w:snapToGrid w:val="0"/>
              <w:spacing w:line="312" w:lineRule="auto"/>
              <w:jc w:val="center"/>
              <w:rPr>
                <w:rFonts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序号</w:t>
            </w:r>
          </w:p>
        </w:tc>
        <w:tc>
          <w:tcPr>
            <w:tcW w:w="1476" w:type="dxa"/>
            <w:noWrap/>
            <w:vAlign w:val="center"/>
          </w:tcPr>
          <w:p w14:paraId="342181F6">
            <w:pPr>
              <w:widowControl/>
              <w:adjustRightInd w:val="0"/>
              <w:snapToGrid w:val="0"/>
              <w:spacing w:line="312" w:lineRule="auto"/>
              <w:jc w:val="center"/>
              <w:rPr>
                <w:rFonts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评分内容</w:t>
            </w:r>
          </w:p>
        </w:tc>
        <w:tc>
          <w:tcPr>
            <w:tcW w:w="1730" w:type="dxa"/>
            <w:noWrap/>
            <w:vAlign w:val="center"/>
          </w:tcPr>
          <w:p w14:paraId="1595FAF1">
            <w:pPr>
              <w:widowControl/>
              <w:adjustRightInd w:val="0"/>
              <w:snapToGrid w:val="0"/>
              <w:spacing w:line="312" w:lineRule="auto"/>
              <w:jc w:val="center"/>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分数</w:t>
            </w:r>
          </w:p>
        </w:tc>
        <w:tc>
          <w:tcPr>
            <w:tcW w:w="4800" w:type="dxa"/>
            <w:noWrap/>
            <w:vAlign w:val="center"/>
          </w:tcPr>
          <w:p w14:paraId="49F47545">
            <w:pPr>
              <w:widowControl/>
              <w:adjustRightInd w:val="0"/>
              <w:snapToGrid w:val="0"/>
              <w:spacing w:line="312" w:lineRule="auto"/>
              <w:jc w:val="center"/>
              <w:rPr>
                <w:rFonts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评分标准</w:t>
            </w:r>
          </w:p>
        </w:tc>
      </w:tr>
      <w:tr w14:paraId="6245CD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710" w:type="dxa"/>
            <w:noWrap/>
            <w:vAlign w:val="center"/>
          </w:tcPr>
          <w:p w14:paraId="464C25D4">
            <w:pPr>
              <w:widowControl w:val="0"/>
              <w:jc w:val="center"/>
              <w:rPr>
                <w:rFonts w:hint="eastAsia" w:ascii="宋体" w:hAnsi="宋体" w:eastAsia="宋体" w:cs="Courier New"/>
                <w:b/>
                <w:bCs/>
                <w:color w:val="auto"/>
                <w:kern w:val="2"/>
                <w:sz w:val="21"/>
                <w:szCs w:val="21"/>
                <w:highlight w:val="none"/>
                <w:lang w:val="en-US" w:eastAsia="zh-CN" w:bidi="ar-SA"/>
              </w:rPr>
            </w:pPr>
            <w:r>
              <w:rPr>
                <w:rFonts w:hint="eastAsia" w:ascii="新宋体" w:hAnsi="新宋体" w:eastAsia="新宋体" w:cs="Courier New"/>
                <w:color w:val="auto"/>
                <w:kern w:val="2"/>
                <w:sz w:val="21"/>
                <w:szCs w:val="21"/>
                <w:highlight w:val="none"/>
                <w:lang w:val="en-US" w:eastAsia="zh-CN" w:bidi="ar-SA"/>
              </w:rPr>
              <w:t>一</w:t>
            </w:r>
          </w:p>
        </w:tc>
        <w:tc>
          <w:tcPr>
            <w:tcW w:w="1476" w:type="dxa"/>
            <w:noWrap/>
            <w:vAlign w:val="center"/>
          </w:tcPr>
          <w:p w14:paraId="55E367DB">
            <w:pPr>
              <w:widowControl w:val="0"/>
              <w:jc w:val="center"/>
              <w:rPr>
                <w:rFonts w:hint="eastAsia" w:ascii="宋体" w:hAnsi="宋体" w:eastAsia="宋体" w:cs="Courier New"/>
                <w:b/>
                <w:bCs/>
                <w:color w:val="auto"/>
                <w:kern w:val="2"/>
                <w:sz w:val="21"/>
                <w:szCs w:val="21"/>
                <w:highlight w:val="none"/>
                <w:lang w:val="en-US" w:eastAsia="zh-CN" w:bidi="ar-SA"/>
              </w:rPr>
            </w:pPr>
            <w:r>
              <w:rPr>
                <w:rFonts w:hint="eastAsia" w:ascii="新宋体" w:hAnsi="新宋体" w:eastAsia="新宋体" w:cs="Courier New"/>
                <w:color w:val="auto"/>
                <w:kern w:val="2"/>
                <w:sz w:val="21"/>
                <w:szCs w:val="21"/>
                <w:highlight w:val="none"/>
                <w:lang w:val="en-US" w:eastAsia="zh-CN" w:bidi="ar-SA"/>
              </w:rPr>
              <w:t>商务技术分</w:t>
            </w:r>
          </w:p>
        </w:tc>
        <w:tc>
          <w:tcPr>
            <w:tcW w:w="1730" w:type="dxa"/>
            <w:noWrap/>
            <w:vAlign w:val="center"/>
          </w:tcPr>
          <w:p w14:paraId="1CC7C662">
            <w:pPr>
              <w:widowControl w:val="0"/>
              <w:jc w:val="center"/>
              <w:rPr>
                <w:rFonts w:hint="default" w:ascii="宋体" w:hAnsi="宋体" w:eastAsia="宋体" w:cs="Courier New"/>
                <w:b/>
                <w:bCs/>
                <w:color w:val="auto"/>
                <w:kern w:val="2"/>
                <w:sz w:val="21"/>
                <w:szCs w:val="21"/>
                <w:highlight w:val="none"/>
                <w:lang w:val="en-US" w:eastAsia="zh-CN" w:bidi="ar-SA"/>
              </w:rPr>
            </w:pPr>
            <w:r>
              <w:rPr>
                <w:rFonts w:hint="eastAsia" w:ascii="新宋体" w:hAnsi="新宋体" w:eastAsia="新宋体" w:cs="Courier New"/>
                <w:color w:val="auto"/>
                <w:kern w:val="2"/>
                <w:sz w:val="21"/>
                <w:szCs w:val="21"/>
                <w:highlight w:val="none"/>
                <w:lang w:val="en-US" w:eastAsia="zh-CN" w:bidi="ar-SA"/>
              </w:rPr>
              <w:t>80</w:t>
            </w:r>
          </w:p>
        </w:tc>
        <w:tc>
          <w:tcPr>
            <w:tcW w:w="4800" w:type="dxa"/>
            <w:noWrap/>
            <w:vAlign w:val="center"/>
          </w:tcPr>
          <w:p w14:paraId="236B0C73">
            <w:pPr>
              <w:rPr>
                <w:rFonts w:hint="eastAsia" w:ascii="宋体" w:hAnsi="宋体" w:eastAsia="宋体" w:cs="Times New Roman"/>
                <w:b/>
                <w:bCs/>
                <w:color w:val="auto"/>
                <w:szCs w:val="21"/>
                <w:highlight w:val="none"/>
              </w:rPr>
            </w:pPr>
            <w:r>
              <w:rPr>
                <w:rFonts w:hint="eastAsia" w:ascii="新宋体" w:hAnsi="新宋体" w:eastAsia="新宋体" w:cs="Times New Roman"/>
                <w:color w:val="auto"/>
                <w:szCs w:val="21"/>
                <w:highlight w:val="none"/>
              </w:rPr>
              <w:t>评标委员会根据评分细则，对各投标人的技术文件进行书面审核和评论后，由各成员独立给分，打分时保留小数1位，每人一份评分表，并签名。在统计得分时，如果发现某一单项评分超过评分细则规定的分值范围，则该张评分表无效。投标人技术分的最终得分为评标委员会组成员的有效评分的算术平均值。计算结果保留小数2位(第三位四舍五入)。</w:t>
            </w:r>
          </w:p>
        </w:tc>
      </w:tr>
      <w:tr w14:paraId="5E2BD2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710" w:type="dxa"/>
            <w:noWrap/>
            <w:vAlign w:val="center"/>
          </w:tcPr>
          <w:p w14:paraId="32F3D356">
            <w:pPr>
              <w:widowControl/>
              <w:adjustRightInd w:val="0"/>
              <w:snapToGrid w:val="0"/>
              <w:spacing w:line="312"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476" w:type="dxa"/>
            <w:noWrap/>
            <w:vAlign w:val="center"/>
          </w:tcPr>
          <w:p w14:paraId="002E0284">
            <w:pPr>
              <w:spacing w:line="400" w:lineRule="exact"/>
              <w:ind w:left="105" w:leftChars="50" w:right="105" w:rightChars="50" w:firstLine="210" w:firstLineChars="1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业绩</w:t>
            </w:r>
          </w:p>
        </w:tc>
        <w:tc>
          <w:tcPr>
            <w:tcW w:w="1730" w:type="dxa"/>
            <w:noWrap/>
            <w:vAlign w:val="center"/>
          </w:tcPr>
          <w:p w14:paraId="25BEFF7D">
            <w:pPr>
              <w:widowControl/>
              <w:adjustRightInd w:val="0"/>
              <w:snapToGrid w:val="0"/>
              <w:spacing w:line="312"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0-8分</w:t>
            </w:r>
          </w:p>
          <w:p w14:paraId="4FC1DE68">
            <w:pPr>
              <w:widowControl/>
              <w:adjustRightInd w:val="0"/>
              <w:snapToGrid w:val="0"/>
              <w:spacing w:line="312"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（客观分）</w:t>
            </w:r>
          </w:p>
        </w:tc>
        <w:tc>
          <w:tcPr>
            <w:tcW w:w="4800" w:type="dxa"/>
            <w:noWrap/>
            <w:vAlign w:val="center"/>
          </w:tcPr>
          <w:p w14:paraId="2359C22C">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（1）投标人2022年01月01日以来，单个社区（村、小区）合同清扫保洁面积在10万㎡（含）-20万㎡（含）的每份得1.0分；</w:t>
            </w:r>
          </w:p>
          <w:p w14:paraId="37483667">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（2）投标人2022年01月01日以来，单个社区（村、小区）合同清扫保洁面积在20万㎡（不含）-30万㎡（含）的每份得1.5分；</w:t>
            </w:r>
          </w:p>
          <w:p w14:paraId="23213C7A">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（3）投标人2022年01月01日以来，单个社区（村、小区）合同清扫保洁面积在30万㎡（不含）以上的每份得2.0分。</w:t>
            </w:r>
          </w:p>
          <w:p w14:paraId="58A32B77">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清扫保洁面积以中标通知书或中标公告或合同中标明的面积为准；如中标通知书或中标公告或合同中标明的面积不一致时，以合同中标明的面积为准；如均未表明，须另行提供由业主盖章的真实有效的面积证明。</w:t>
            </w:r>
          </w:p>
          <w:p w14:paraId="04794EF7">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（5）以上三项累加后最多得8分。</w:t>
            </w:r>
          </w:p>
          <w:p w14:paraId="4EFA3A24">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（6）须提供相应业绩的中标通知书复印件（或中标公告网址打印件）、合同复印件，否则不得分。</w:t>
            </w:r>
          </w:p>
        </w:tc>
      </w:tr>
      <w:tr w14:paraId="1928C6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710" w:type="dxa"/>
            <w:noWrap/>
            <w:vAlign w:val="center"/>
          </w:tcPr>
          <w:p w14:paraId="7B65A82D">
            <w:pPr>
              <w:widowControl/>
              <w:adjustRightInd w:val="0"/>
              <w:snapToGrid w:val="0"/>
              <w:spacing w:line="312"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476" w:type="dxa"/>
            <w:noWrap/>
            <w:vAlign w:val="center"/>
          </w:tcPr>
          <w:p w14:paraId="2A28B9A0">
            <w:pPr>
              <w:spacing w:line="400" w:lineRule="exact"/>
              <w:ind w:left="105" w:leftChars="50" w:right="105" w:rightChars="50"/>
              <w:jc w:val="center"/>
              <w:rPr>
                <w:rFonts w:ascii="宋体" w:hAnsi="宋体" w:eastAsia="宋体" w:cs="Times New Roman"/>
                <w:color w:val="auto"/>
                <w:szCs w:val="21"/>
                <w:highlight w:val="none"/>
              </w:rPr>
            </w:pPr>
            <w:r>
              <w:rPr>
                <w:rFonts w:hint="eastAsia" w:ascii="宋体" w:hAnsi="宋体" w:eastAsia="宋体" w:cs="宋体"/>
                <w:color w:val="auto"/>
                <w:szCs w:val="21"/>
                <w:highlight w:val="none"/>
                <w:lang w:val="en-US" w:eastAsia="zh-CN"/>
              </w:rPr>
              <w:t>拟投入本项目负责人员情况</w:t>
            </w:r>
          </w:p>
        </w:tc>
        <w:tc>
          <w:tcPr>
            <w:tcW w:w="1730" w:type="dxa"/>
            <w:noWrap/>
            <w:vAlign w:val="center"/>
          </w:tcPr>
          <w:p w14:paraId="4DCC3F64">
            <w:pPr>
              <w:widowControl/>
              <w:adjustRightInd w:val="0"/>
              <w:snapToGrid w:val="0"/>
              <w:spacing w:line="312" w:lineRule="auto"/>
              <w:jc w:val="center"/>
              <w:rPr>
                <w:rFonts w:hint="eastAsia" w:ascii="Times New Roman" w:hAnsi="Times New Roman" w:eastAsia="宋体" w:cs="仿宋"/>
                <w:color w:val="auto"/>
                <w:kern w:val="2"/>
                <w:sz w:val="21"/>
                <w:szCs w:val="21"/>
                <w:highlight w:val="none"/>
                <w:lang w:val="en-US" w:eastAsia="zh-CN" w:bidi="ar-SA"/>
              </w:rPr>
            </w:pPr>
            <w:r>
              <w:rPr>
                <w:rFonts w:hint="eastAsia" w:ascii="Times New Roman" w:hAnsi="Times New Roman" w:eastAsia="宋体" w:cs="仿宋"/>
                <w:color w:val="auto"/>
                <w:kern w:val="2"/>
                <w:sz w:val="21"/>
                <w:szCs w:val="21"/>
                <w:highlight w:val="none"/>
                <w:lang w:val="en-US" w:eastAsia="zh-CN" w:bidi="ar-SA"/>
              </w:rPr>
              <w:t>0-5分</w:t>
            </w:r>
          </w:p>
          <w:p w14:paraId="3DC95589">
            <w:pPr>
              <w:widowControl/>
              <w:adjustRightInd w:val="0"/>
              <w:snapToGrid w:val="0"/>
              <w:spacing w:line="312" w:lineRule="auto"/>
              <w:jc w:val="center"/>
              <w:rPr>
                <w:rFonts w:hint="default" w:ascii="Times New Roman" w:hAnsi="Times New Roman" w:eastAsia="宋体" w:cs="仿宋"/>
                <w:color w:val="auto"/>
                <w:kern w:val="2"/>
                <w:sz w:val="21"/>
                <w:szCs w:val="21"/>
                <w:highlight w:val="none"/>
                <w:lang w:val="en-US" w:eastAsia="zh-CN" w:bidi="ar-SA"/>
              </w:rPr>
            </w:pPr>
            <w:r>
              <w:rPr>
                <w:rFonts w:hint="eastAsia" w:ascii="Times New Roman" w:hAnsi="Times New Roman" w:eastAsia="宋体" w:cs="仿宋"/>
                <w:color w:val="auto"/>
                <w:kern w:val="2"/>
                <w:sz w:val="21"/>
                <w:szCs w:val="21"/>
                <w:highlight w:val="none"/>
                <w:lang w:val="en-US" w:eastAsia="zh-CN" w:bidi="ar-SA"/>
              </w:rPr>
              <w:t>（客观分）</w:t>
            </w:r>
          </w:p>
        </w:tc>
        <w:tc>
          <w:tcPr>
            <w:tcW w:w="4800" w:type="dxa"/>
            <w:noWrap/>
            <w:vAlign w:val="center"/>
          </w:tcPr>
          <w:p w14:paraId="45E74DE6">
            <w:pPr>
              <w:rPr>
                <w:rFonts w:hint="eastAsia" w:ascii="Times New Roman" w:hAnsi="Times New Roman" w:eastAsia="宋体" w:cs="仿宋"/>
                <w:color w:val="auto"/>
                <w:szCs w:val="21"/>
                <w:highlight w:val="none"/>
                <w:lang w:eastAsia="zh-CN"/>
              </w:rPr>
            </w:pPr>
            <w:r>
              <w:rPr>
                <w:rFonts w:hint="eastAsia" w:ascii="Times New Roman" w:hAnsi="Times New Roman" w:eastAsia="宋体" w:cs="仿宋"/>
                <w:color w:val="auto"/>
                <w:szCs w:val="21"/>
                <w:highlight w:val="none"/>
                <w:lang w:eastAsia="zh-CN"/>
              </w:rPr>
              <w:t>（</w:t>
            </w:r>
            <w:r>
              <w:rPr>
                <w:rFonts w:hint="eastAsia" w:ascii="Times New Roman" w:hAnsi="Times New Roman" w:eastAsia="宋体" w:cs="仿宋"/>
                <w:color w:val="auto"/>
                <w:szCs w:val="21"/>
                <w:highlight w:val="none"/>
                <w:lang w:val="en-US" w:eastAsia="zh-CN"/>
              </w:rPr>
              <w:t>1</w:t>
            </w:r>
            <w:r>
              <w:rPr>
                <w:rFonts w:hint="eastAsia" w:ascii="Times New Roman" w:hAnsi="Times New Roman" w:eastAsia="宋体" w:cs="仿宋"/>
                <w:color w:val="auto"/>
                <w:szCs w:val="21"/>
                <w:highlight w:val="none"/>
                <w:lang w:eastAsia="zh-CN"/>
              </w:rPr>
              <w:t>）</w:t>
            </w:r>
            <w:r>
              <w:rPr>
                <w:rFonts w:hint="eastAsia" w:ascii="Times New Roman" w:hAnsi="Times New Roman" w:eastAsia="宋体" w:cs="仿宋"/>
                <w:color w:val="auto"/>
                <w:szCs w:val="21"/>
                <w:highlight w:val="none"/>
              </w:rPr>
              <w:t>拟</w:t>
            </w:r>
            <w:r>
              <w:rPr>
                <w:rFonts w:hint="eastAsia" w:ascii="Times New Roman" w:hAnsi="Times New Roman" w:eastAsia="宋体" w:cs="仿宋"/>
                <w:color w:val="auto"/>
                <w:szCs w:val="21"/>
                <w:highlight w:val="none"/>
                <w:lang w:eastAsia="zh-CN"/>
              </w:rPr>
              <w:t>投入本</w:t>
            </w:r>
            <w:r>
              <w:rPr>
                <w:rFonts w:hint="eastAsia" w:ascii="Times New Roman" w:hAnsi="Times New Roman" w:eastAsia="宋体" w:cs="仿宋"/>
                <w:color w:val="auto"/>
                <w:szCs w:val="21"/>
                <w:highlight w:val="none"/>
              </w:rPr>
              <w:t>项目</w:t>
            </w:r>
            <w:r>
              <w:rPr>
                <w:rFonts w:hint="eastAsia" w:ascii="Times New Roman" w:hAnsi="Times New Roman" w:eastAsia="宋体" w:cs="仿宋"/>
                <w:color w:val="auto"/>
                <w:szCs w:val="21"/>
                <w:highlight w:val="none"/>
                <w:lang w:eastAsia="zh-CN"/>
              </w:rPr>
              <w:t>负责人具有</w:t>
            </w:r>
            <w:r>
              <w:rPr>
                <w:rFonts w:hint="eastAsia" w:ascii="Times New Roman" w:hAnsi="Times New Roman" w:eastAsia="宋体" w:cs="仿宋"/>
                <w:color w:val="auto"/>
                <w:szCs w:val="21"/>
                <w:highlight w:val="none"/>
              </w:rPr>
              <w:t>物业管理</w:t>
            </w:r>
            <w:r>
              <w:rPr>
                <w:rFonts w:hint="eastAsia" w:ascii="Times New Roman" w:hAnsi="Times New Roman" w:eastAsia="宋体" w:cs="仿宋"/>
                <w:color w:val="auto"/>
                <w:szCs w:val="21"/>
                <w:highlight w:val="none"/>
                <w:lang w:eastAsia="zh-CN"/>
              </w:rPr>
              <w:t>或保洁类相关</w:t>
            </w:r>
            <w:r>
              <w:rPr>
                <w:rFonts w:hint="eastAsia" w:ascii="Times New Roman" w:hAnsi="Times New Roman" w:eastAsia="宋体" w:cs="仿宋"/>
                <w:color w:val="auto"/>
                <w:szCs w:val="21"/>
                <w:highlight w:val="none"/>
              </w:rPr>
              <w:t>资格证书的得</w:t>
            </w:r>
            <w:r>
              <w:rPr>
                <w:rFonts w:hint="eastAsia" w:ascii="Times New Roman" w:hAnsi="Times New Roman" w:eastAsia="宋体" w:cs="仿宋"/>
                <w:color w:val="auto"/>
                <w:szCs w:val="21"/>
                <w:highlight w:val="none"/>
                <w:lang w:val="en-US" w:eastAsia="zh-CN"/>
              </w:rPr>
              <w:t>1</w:t>
            </w:r>
            <w:r>
              <w:rPr>
                <w:rFonts w:hint="eastAsia" w:ascii="Times New Roman" w:hAnsi="Times New Roman" w:eastAsia="宋体" w:cs="仿宋"/>
                <w:color w:val="auto"/>
                <w:szCs w:val="21"/>
                <w:highlight w:val="none"/>
              </w:rPr>
              <w:t>分</w:t>
            </w:r>
            <w:r>
              <w:rPr>
                <w:rFonts w:hint="eastAsia" w:ascii="Times New Roman" w:hAnsi="Times New Roman" w:eastAsia="宋体" w:cs="仿宋"/>
                <w:color w:val="auto"/>
                <w:szCs w:val="21"/>
                <w:highlight w:val="none"/>
                <w:lang w:eastAsia="zh-CN"/>
              </w:rPr>
              <w:t>；</w:t>
            </w:r>
            <w:r>
              <w:rPr>
                <w:rFonts w:hint="eastAsia" w:ascii="Times New Roman" w:hAnsi="Times New Roman" w:eastAsia="宋体" w:cs="仿宋"/>
                <w:color w:val="auto"/>
                <w:szCs w:val="21"/>
                <w:highlight w:val="none"/>
              </w:rPr>
              <w:t>投标文件中提供证书复印件</w:t>
            </w:r>
            <w:r>
              <w:rPr>
                <w:rFonts w:hint="eastAsia" w:ascii="Times New Roman" w:hAnsi="Times New Roman" w:eastAsia="宋体" w:cs="仿宋"/>
                <w:color w:val="auto"/>
                <w:szCs w:val="21"/>
                <w:highlight w:val="none"/>
                <w:lang w:eastAsia="zh-CN"/>
              </w:rPr>
              <w:t>，</w:t>
            </w:r>
            <w:r>
              <w:rPr>
                <w:rFonts w:hint="eastAsia" w:ascii="Times New Roman" w:hAnsi="Times New Roman" w:eastAsia="宋体" w:cs="仿宋"/>
                <w:color w:val="auto"/>
                <w:szCs w:val="21"/>
                <w:highlight w:val="none"/>
                <w:lang w:val="en-US" w:eastAsia="zh-CN"/>
              </w:rPr>
              <w:t>且</w:t>
            </w:r>
            <w:r>
              <w:rPr>
                <w:rFonts w:hint="eastAsia" w:ascii="Times New Roman" w:hAnsi="Times New Roman" w:eastAsia="宋体" w:cs="仿宋"/>
                <w:color w:val="auto"/>
                <w:szCs w:val="21"/>
                <w:highlight w:val="none"/>
              </w:rPr>
              <w:t>证书须在有效期内</w:t>
            </w:r>
            <w:r>
              <w:rPr>
                <w:rFonts w:hint="eastAsia" w:ascii="Times New Roman" w:hAnsi="Times New Roman" w:eastAsia="宋体" w:cs="仿宋"/>
                <w:color w:val="auto"/>
                <w:szCs w:val="21"/>
                <w:highlight w:val="none"/>
                <w:lang w:eastAsia="zh-CN"/>
              </w:rPr>
              <w:t>，否则不得分；</w:t>
            </w:r>
          </w:p>
          <w:p w14:paraId="3F9A4E4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s="仿宋"/>
                <w:color w:val="auto"/>
                <w:szCs w:val="21"/>
                <w:highlight w:val="none"/>
                <w:lang w:val="en-US" w:eastAsia="zh-CN"/>
              </w:rPr>
            </w:pPr>
            <w:r>
              <w:rPr>
                <w:rFonts w:hint="eastAsia" w:ascii="Times New Roman" w:hAnsi="Times New Roman" w:eastAsia="宋体" w:cs="仿宋"/>
                <w:color w:val="auto"/>
                <w:szCs w:val="21"/>
                <w:highlight w:val="none"/>
                <w:lang w:val="en-US" w:eastAsia="zh-CN"/>
              </w:rPr>
              <w:t>（2）拟</w:t>
            </w:r>
            <w:r>
              <w:rPr>
                <w:rFonts w:hint="eastAsia" w:ascii="Times New Roman" w:hAnsi="Times New Roman" w:eastAsia="宋体" w:cs="仿宋"/>
                <w:color w:val="auto"/>
                <w:szCs w:val="21"/>
                <w:highlight w:val="none"/>
                <w:lang w:eastAsia="zh-CN"/>
              </w:rPr>
              <w:t>投入本</w:t>
            </w:r>
            <w:r>
              <w:rPr>
                <w:rFonts w:hint="eastAsia" w:ascii="Times New Roman" w:hAnsi="Times New Roman" w:eastAsia="宋体" w:cs="仿宋"/>
                <w:color w:val="auto"/>
                <w:szCs w:val="21"/>
                <w:highlight w:val="none"/>
              </w:rPr>
              <w:t>项目</w:t>
            </w:r>
            <w:r>
              <w:rPr>
                <w:rFonts w:hint="eastAsia" w:ascii="Times New Roman" w:hAnsi="Times New Roman" w:eastAsia="宋体" w:cs="仿宋"/>
                <w:color w:val="auto"/>
                <w:szCs w:val="21"/>
                <w:highlight w:val="none"/>
                <w:lang w:val="en-US" w:eastAsia="zh-CN"/>
              </w:rPr>
              <w:t>项目负责人具有高中学历，得1.0分；专科学历，得1.5分；本科及以上学历，得2.0分。</w:t>
            </w:r>
          </w:p>
          <w:p w14:paraId="6B9929EF">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仿宋"/>
                <w:color w:val="auto"/>
                <w:szCs w:val="21"/>
                <w:highlight w:val="none"/>
              </w:rPr>
            </w:pPr>
            <w:r>
              <w:rPr>
                <w:rFonts w:hint="eastAsia" w:ascii="Times New Roman" w:hAnsi="Times New Roman" w:eastAsia="宋体" w:cs="仿宋"/>
                <w:color w:val="auto"/>
                <w:szCs w:val="21"/>
                <w:highlight w:val="none"/>
                <w:lang w:val="en-US" w:eastAsia="zh-CN"/>
              </w:rPr>
              <w:t>（3）拟</w:t>
            </w:r>
            <w:r>
              <w:rPr>
                <w:rFonts w:hint="eastAsia" w:ascii="Times New Roman" w:hAnsi="Times New Roman" w:eastAsia="宋体" w:cs="仿宋"/>
                <w:color w:val="auto"/>
                <w:szCs w:val="21"/>
                <w:highlight w:val="none"/>
                <w:lang w:eastAsia="zh-CN"/>
              </w:rPr>
              <w:t>投入本</w:t>
            </w:r>
            <w:r>
              <w:rPr>
                <w:rFonts w:hint="eastAsia" w:ascii="Times New Roman" w:hAnsi="Times New Roman" w:eastAsia="宋体" w:cs="仿宋"/>
                <w:color w:val="auto"/>
                <w:szCs w:val="21"/>
                <w:highlight w:val="none"/>
              </w:rPr>
              <w:t>项目</w:t>
            </w:r>
            <w:r>
              <w:rPr>
                <w:rFonts w:hint="eastAsia" w:ascii="Times New Roman" w:hAnsi="Times New Roman" w:eastAsia="宋体" w:cs="仿宋"/>
                <w:color w:val="auto"/>
                <w:szCs w:val="21"/>
                <w:highlight w:val="none"/>
                <w:lang w:val="en-US" w:eastAsia="zh-CN"/>
              </w:rPr>
              <w:t>项目负责人在本单位工作1年以内（含1年），得0.5分；1-2年（含2年），1</w:t>
            </w:r>
            <w:r>
              <w:rPr>
                <w:rFonts w:hint="eastAsia" w:ascii="Times New Roman" w:hAnsi="Times New Roman" w:eastAsia="宋体" w:cs="仿宋"/>
                <w:color w:val="auto"/>
                <w:szCs w:val="21"/>
                <w:highlight w:val="none"/>
                <w:lang w:eastAsia="zh-CN"/>
              </w:rPr>
              <w:t>.0分，</w:t>
            </w:r>
            <w:r>
              <w:rPr>
                <w:rFonts w:hint="eastAsia" w:ascii="Times New Roman" w:hAnsi="Times New Roman" w:eastAsia="宋体" w:cs="仿宋"/>
                <w:color w:val="auto"/>
                <w:szCs w:val="21"/>
                <w:highlight w:val="none"/>
                <w:lang w:val="en-US" w:eastAsia="zh-CN"/>
              </w:rPr>
              <w:t>2年以上</w:t>
            </w:r>
            <w:r>
              <w:rPr>
                <w:rFonts w:hint="eastAsia" w:ascii="Times New Roman" w:hAnsi="Times New Roman" w:eastAsia="宋体" w:cs="仿宋"/>
                <w:color w:val="auto"/>
                <w:szCs w:val="21"/>
                <w:highlight w:val="none"/>
                <w:lang w:eastAsia="zh-CN"/>
              </w:rPr>
              <w:t>，</w:t>
            </w:r>
            <w:r>
              <w:rPr>
                <w:rFonts w:hint="eastAsia" w:ascii="Times New Roman" w:hAnsi="Times New Roman" w:eastAsia="宋体" w:cs="仿宋"/>
                <w:color w:val="auto"/>
                <w:szCs w:val="21"/>
                <w:highlight w:val="none"/>
                <w:lang w:val="en-US" w:eastAsia="zh-CN"/>
              </w:rPr>
              <w:t>得2.0分</w:t>
            </w:r>
            <w:r>
              <w:rPr>
                <w:rFonts w:hint="eastAsia" w:ascii="Times New Roman" w:hAnsi="Times New Roman" w:eastAsia="宋体" w:cs="仿宋"/>
                <w:color w:val="auto"/>
                <w:szCs w:val="21"/>
                <w:highlight w:val="none"/>
                <w:lang w:eastAsia="zh-CN"/>
              </w:rPr>
              <w:t>。（需提供在本单位缴纳</w:t>
            </w:r>
            <w:r>
              <w:rPr>
                <w:rFonts w:hint="eastAsia" w:ascii="Times New Roman" w:hAnsi="Times New Roman" w:eastAsia="宋体" w:cs="仿宋"/>
                <w:color w:val="auto"/>
                <w:szCs w:val="21"/>
                <w:highlight w:val="none"/>
              </w:rPr>
              <w:t>社会养老保险清单</w:t>
            </w:r>
            <w:r>
              <w:rPr>
                <w:rFonts w:hint="eastAsia" w:ascii="Times New Roman" w:hAnsi="Times New Roman" w:eastAsia="宋体" w:cs="仿宋"/>
                <w:color w:val="auto"/>
                <w:szCs w:val="21"/>
                <w:highlight w:val="none"/>
                <w:lang w:eastAsia="zh-CN"/>
              </w:rPr>
              <w:t>）。</w:t>
            </w:r>
          </w:p>
        </w:tc>
      </w:tr>
      <w:tr w14:paraId="76549D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 w:hRule="atLeast"/>
          <w:jc w:val="center"/>
        </w:trPr>
        <w:tc>
          <w:tcPr>
            <w:tcW w:w="710" w:type="dxa"/>
            <w:tcBorders>
              <w:bottom w:val="single" w:color="auto" w:sz="4" w:space="0"/>
            </w:tcBorders>
            <w:noWrap/>
            <w:vAlign w:val="center"/>
          </w:tcPr>
          <w:p w14:paraId="00A0444A">
            <w:pPr>
              <w:widowControl/>
              <w:adjustRightInd w:val="0"/>
              <w:snapToGrid w:val="0"/>
              <w:spacing w:line="312"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476" w:type="dxa"/>
            <w:tcBorders>
              <w:bottom w:val="single" w:color="auto" w:sz="4" w:space="0"/>
            </w:tcBorders>
            <w:noWrap/>
            <w:vAlign w:val="center"/>
          </w:tcPr>
          <w:p w14:paraId="0F8B55ED">
            <w:pPr>
              <w:spacing w:line="400" w:lineRule="exact"/>
              <w:ind w:left="105" w:leftChars="50" w:right="105" w:right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新能源投入情况</w:t>
            </w:r>
          </w:p>
        </w:tc>
        <w:tc>
          <w:tcPr>
            <w:tcW w:w="1730" w:type="dxa"/>
            <w:tcBorders>
              <w:bottom w:val="single" w:color="auto" w:sz="4" w:space="0"/>
            </w:tcBorders>
            <w:noWrap/>
            <w:vAlign w:val="center"/>
          </w:tcPr>
          <w:p w14:paraId="42B4F6FC">
            <w:pPr>
              <w:widowControl/>
              <w:adjustRightInd w:val="0"/>
              <w:snapToGrid w:val="0"/>
              <w:spacing w:line="312" w:lineRule="auto"/>
              <w:jc w:val="center"/>
              <w:rPr>
                <w:rFonts w:hint="eastAsia" w:ascii="Times New Roman" w:hAnsi="Times New Roman" w:eastAsia="宋体" w:cs="仿宋"/>
                <w:color w:val="auto"/>
                <w:kern w:val="2"/>
                <w:sz w:val="21"/>
                <w:szCs w:val="21"/>
                <w:highlight w:val="none"/>
                <w:lang w:val="en-US" w:eastAsia="zh-CN" w:bidi="ar-SA"/>
              </w:rPr>
            </w:pPr>
            <w:r>
              <w:rPr>
                <w:rFonts w:hint="eastAsia" w:ascii="Times New Roman" w:hAnsi="Times New Roman" w:eastAsia="宋体" w:cs="仿宋"/>
                <w:color w:val="auto"/>
                <w:kern w:val="2"/>
                <w:sz w:val="21"/>
                <w:szCs w:val="21"/>
                <w:highlight w:val="none"/>
                <w:lang w:val="en-US" w:eastAsia="zh-CN" w:bidi="ar-SA"/>
              </w:rPr>
              <w:t>0-2分</w:t>
            </w:r>
          </w:p>
          <w:p w14:paraId="1223C87B">
            <w:pPr>
              <w:widowControl/>
              <w:adjustRightInd w:val="0"/>
              <w:snapToGrid w:val="0"/>
              <w:spacing w:line="312" w:lineRule="auto"/>
              <w:jc w:val="center"/>
              <w:rPr>
                <w:rFonts w:hint="eastAsia" w:ascii="宋体" w:hAnsi="宋体" w:eastAsia="宋体" w:cs="宋体"/>
                <w:color w:val="auto"/>
                <w:kern w:val="2"/>
                <w:sz w:val="21"/>
                <w:szCs w:val="21"/>
                <w:highlight w:val="none"/>
                <w:lang w:val="en-US" w:eastAsia="zh-CN" w:bidi="ar-SA"/>
              </w:rPr>
            </w:pPr>
            <w:r>
              <w:rPr>
                <w:rFonts w:hint="eastAsia" w:ascii="Times New Roman" w:hAnsi="Times New Roman" w:eastAsia="宋体" w:cs="仿宋"/>
                <w:color w:val="auto"/>
                <w:kern w:val="2"/>
                <w:sz w:val="21"/>
                <w:szCs w:val="21"/>
                <w:highlight w:val="none"/>
                <w:lang w:val="en-US" w:eastAsia="zh-CN" w:bidi="ar-SA"/>
              </w:rPr>
              <w:t>（客观分）</w:t>
            </w:r>
          </w:p>
        </w:tc>
        <w:tc>
          <w:tcPr>
            <w:tcW w:w="4800" w:type="dxa"/>
            <w:noWrap/>
            <w:vAlign w:val="center"/>
          </w:tcPr>
          <w:p w14:paraId="02D29F32">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拟投入新能源纯电扫路机，并中标后投入使用。</w:t>
            </w:r>
          </w:p>
          <w:p w14:paraId="443788C6">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（1）电池能量＜25KWH，不得分；25KWH≤电池能量＜40KWH，得0.5分；电池能量≥40KWH，得1.0分；</w:t>
            </w:r>
          </w:p>
          <w:p w14:paraId="0C937BE7">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（2）垃圾箱容积＜500L的，不得分；500L≤垃圾箱容积＜650L的得0.5分；垃圾箱容积≥650L的，得1.0分。</w:t>
            </w:r>
          </w:p>
          <w:p w14:paraId="514FFEF0">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textAlignment w:val="auto"/>
              <w:rPr>
                <w:rFonts w:hint="eastAsia" w:ascii="Times New Roman" w:hAnsi="Times New Roman" w:eastAsia="宋体" w:cs="仿宋"/>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注：需提供投标人名下的车辆购买发票、车辆CMA检验报告，不提供不得分。</w:t>
            </w:r>
          </w:p>
        </w:tc>
      </w:tr>
      <w:tr w14:paraId="671DAA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 w:hRule="atLeast"/>
          <w:jc w:val="center"/>
        </w:trPr>
        <w:tc>
          <w:tcPr>
            <w:tcW w:w="710" w:type="dxa"/>
            <w:tcBorders>
              <w:bottom w:val="single" w:color="auto" w:sz="4" w:space="0"/>
            </w:tcBorders>
            <w:noWrap/>
            <w:vAlign w:val="center"/>
          </w:tcPr>
          <w:p w14:paraId="2383593A">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476" w:type="dxa"/>
            <w:tcBorders>
              <w:bottom w:val="single" w:color="auto" w:sz="4" w:space="0"/>
            </w:tcBorders>
            <w:noWrap/>
            <w:vAlign w:val="center"/>
          </w:tcPr>
          <w:p w14:paraId="7F15652C">
            <w:pPr>
              <w:spacing w:line="400" w:lineRule="exact"/>
              <w:ind w:left="105" w:leftChars="50" w:right="105" w:rightChars="50"/>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项目交接保障措施</w:t>
            </w:r>
          </w:p>
        </w:tc>
        <w:tc>
          <w:tcPr>
            <w:tcW w:w="1730" w:type="dxa"/>
            <w:tcBorders>
              <w:bottom w:val="single" w:color="auto" w:sz="4" w:space="0"/>
            </w:tcBorders>
            <w:noWrap/>
            <w:vAlign w:val="center"/>
          </w:tcPr>
          <w:p w14:paraId="4610CCEB">
            <w:pPr>
              <w:widowControl/>
              <w:adjustRightInd w:val="0"/>
              <w:snapToGrid w:val="0"/>
              <w:spacing w:line="312"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0-3分</w:t>
            </w:r>
          </w:p>
          <w:p w14:paraId="796A9C00">
            <w:pPr>
              <w:widowControl/>
              <w:adjustRightInd w:val="0"/>
              <w:snapToGrid w:val="0"/>
              <w:spacing w:line="312" w:lineRule="auto"/>
              <w:jc w:val="center"/>
              <w:rPr>
                <w:rFonts w:hint="eastAsia" w:ascii="Times New Roman" w:hAnsi="Times New Roman" w:eastAsia="宋体" w:cs="仿宋"/>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c>
          <w:tcPr>
            <w:tcW w:w="4800" w:type="dxa"/>
            <w:noWrap/>
            <w:vAlign w:val="center"/>
          </w:tcPr>
          <w:p w14:paraId="1C2A7D5D">
            <w:pPr>
              <w:spacing w:line="400" w:lineRule="exact"/>
              <w:ind w:left="105" w:leftChars="50" w:right="105" w:rightChars="50"/>
              <w:rPr>
                <w:rFonts w:ascii="Times New Roman" w:hAnsi="Times New Roman" w:eastAsia="宋体" w:cs="仿宋"/>
                <w:color w:val="auto"/>
                <w:szCs w:val="21"/>
                <w:highlight w:val="none"/>
              </w:rPr>
            </w:pPr>
            <w:r>
              <w:rPr>
                <w:rFonts w:hint="eastAsia" w:ascii="Times New Roman" w:hAnsi="Times New Roman" w:eastAsia="宋体" w:cs="仿宋"/>
                <w:color w:val="auto"/>
                <w:szCs w:val="21"/>
                <w:highlight w:val="none"/>
              </w:rPr>
              <w:t>各投标人针对本项目的实际情况，为保障项目顺利交接和及时进场所制定的人员和机械落实计划。</w:t>
            </w:r>
            <w:r>
              <w:rPr>
                <w:rFonts w:hint="eastAsia" w:ascii="Times New Roman" w:hAnsi="Times New Roman" w:eastAsia="宋体" w:cs="仿宋"/>
                <w:color w:val="auto"/>
                <w:szCs w:val="21"/>
                <w:highlight w:val="none"/>
                <w:lang w:eastAsia="zh-CN"/>
              </w:rPr>
              <w:t>（</w:t>
            </w:r>
            <w:r>
              <w:rPr>
                <w:rFonts w:hint="eastAsia" w:ascii="Times New Roman" w:hAnsi="Times New Roman" w:eastAsia="宋体" w:cs="仿宋"/>
                <w:color w:val="auto"/>
                <w:szCs w:val="21"/>
                <w:highlight w:val="none"/>
                <w:lang w:val="en-US" w:eastAsia="zh-CN"/>
              </w:rPr>
              <w:t>0-3分</w:t>
            </w:r>
            <w:r>
              <w:rPr>
                <w:rFonts w:hint="eastAsia" w:ascii="Times New Roman" w:hAnsi="Times New Roman" w:eastAsia="宋体" w:cs="仿宋"/>
                <w:color w:val="auto"/>
                <w:szCs w:val="21"/>
                <w:highlight w:val="none"/>
                <w:lang w:eastAsia="zh-CN"/>
              </w:rPr>
              <w:t>）</w:t>
            </w:r>
          </w:p>
        </w:tc>
      </w:tr>
      <w:tr w14:paraId="3A7AE3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8" w:hRule="atLeast"/>
          <w:jc w:val="center"/>
        </w:trPr>
        <w:tc>
          <w:tcPr>
            <w:tcW w:w="710" w:type="dxa"/>
            <w:tcBorders>
              <w:top w:val="single" w:color="auto" w:sz="4" w:space="0"/>
            </w:tcBorders>
            <w:noWrap/>
            <w:vAlign w:val="center"/>
          </w:tcPr>
          <w:p w14:paraId="2E248F28">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1476" w:type="dxa"/>
            <w:tcBorders>
              <w:top w:val="single" w:color="auto" w:sz="4" w:space="0"/>
            </w:tcBorders>
            <w:noWrap/>
            <w:vAlign w:val="center"/>
          </w:tcPr>
          <w:p w14:paraId="41FCD009">
            <w:pPr>
              <w:spacing w:line="400" w:lineRule="exact"/>
              <w:ind w:left="105" w:leftChars="50" w:right="105" w:rightChars="50"/>
              <w:jc w:val="center"/>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lang w:val="en-US" w:eastAsia="zh-CN"/>
              </w:rPr>
              <w:t>企业内部管理方案</w:t>
            </w:r>
          </w:p>
        </w:tc>
        <w:tc>
          <w:tcPr>
            <w:tcW w:w="1730" w:type="dxa"/>
            <w:tcBorders>
              <w:top w:val="single" w:color="auto" w:sz="4" w:space="0"/>
              <w:bottom w:val="single" w:color="auto" w:sz="4" w:space="0"/>
            </w:tcBorders>
            <w:noWrap/>
            <w:vAlign w:val="center"/>
          </w:tcPr>
          <w:p w14:paraId="2F7663F9">
            <w:pPr>
              <w:spacing w:line="400" w:lineRule="exact"/>
              <w:ind w:left="105" w:leftChars="50" w:right="105" w:right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0-4分</w:t>
            </w:r>
          </w:p>
          <w:p w14:paraId="5D3D364C">
            <w:pPr>
              <w:spacing w:line="400" w:lineRule="exact"/>
              <w:ind w:left="105" w:leftChars="50" w:right="105" w:rightChars="5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c>
          <w:tcPr>
            <w:tcW w:w="4800" w:type="dxa"/>
            <w:noWrap/>
            <w:vAlign w:val="center"/>
          </w:tcPr>
          <w:p w14:paraId="0E5E4DC9">
            <w:pPr>
              <w:spacing w:line="400" w:lineRule="exact"/>
              <w:ind w:left="105" w:leftChars="50" w:right="105" w:rightChars="50"/>
              <w:rPr>
                <w:rFonts w:ascii="Times New Roman" w:hAnsi="Times New Roman" w:eastAsia="宋体" w:cs="仿宋"/>
                <w:color w:val="auto"/>
                <w:szCs w:val="21"/>
                <w:highlight w:val="none"/>
              </w:rPr>
            </w:pPr>
            <w:r>
              <w:rPr>
                <w:rFonts w:hint="eastAsia" w:ascii="Times New Roman" w:hAnsi="Times New Roman" w:eastAsia="宋体" w:cs="仿宋"/>
                <w:color w:val="auto"/>
                <w:szCs w:val="21"/>
                <w:highlight w:val="none"/>
              </w:rPr>
              <w:t>投标人的内部管理制度，包括制度的完整性、先进性、科学性等情况</w:t>
            </w:r>
            <w:r>
              <w:rPr>
                <w:rFonts w:hint="eastAsia" w:ascii="Times New Roman" w:hAnsi="Times New Roman" w:eastAsia="宋体" w:cs="仿宋"/>
                <w:color w:val="auto"/>
                <w:szCs w:val="21"/>
                <w:highlight w:val="none"/>
                <w:lang w:eastAsia="zh-CN"/>
              </w:rPr>
              <w:t>，</w:t>
            </w:r>
            <w:r>
              <w:rPr>
                <w:rFonts w:hint="eastAsia" w:ascii="Times New Roman" w:hAnsi="Times New Roman" w:eastAsia="宋体" w:cs="仿宋"/>
                <w:color w:val="auto"/>
                <w:szCs w:val="21"/>
                <w:highlight w:val="none"/>
              </w:rPr>
              <w:t>包含但不仅限于人事及职工保障制度、财务管理制度、人员考核制度、奖惩制度等。</w:t>
            </w:r>
            <w:r>
              <w:rPr>
                <w:rFonts w:hint="eastAsia" w:ascii="Times New Roman" w:hAnsi="Times New Roman" w:eastAsia="宋体" w:cs="仿宋"/>
                <w:color w:val="auto"/>
                <w:szCs w:val="21"/>
                <w:highlight w:val="none"/>
                <w:lang w:eastAsia="zh-CN"/>
              </w:rPr>
              <w:t>（</w:t>
            </w:r>
            <w:r>
              <w:rPr>
                <w:rFonts w:hint="eastAsia" w:ascii="Times New Roman" w:hAnsi="Times New Roman" w:eastAsia="宋体" w:cs="仿宋"/>
                <w:color w:val="auto"/>
                <w:szCs w:val="21"/>
                <w:highlight w:val="none"/>
                <w:lang w:val="en-US" w:eastAsia="zh-CN"/>
              </w:rPr>
              <w:t>0-4分</w:t>
            </w:r>
            <w:r>
              <w:rPr>
                <w:rFonts w:hint="eastAsia" w:ascii="Times New Roman" w:hAnsi="Times New Roman" w:eastAsia="宋体" w:cs="仿宋"/>
                <w:color w:val="auto"/>
                <w:szCs w:val="21"/>
                <w:highlight w:val="none"/>
                <w:lang w:eastAsia="zh-CN"/>
              </w:rPr>
              <w:t>）</w:t>
            </w:r>
          </w:p>
        </w:tc>
      </w:tr>
      <w:tr w14:paraId="05051D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 w:hRule="atLeast"/>
          <w:jc w:val="center"/>
        </w:trPr>
        <w:tc>
          <w:tcPr>
            <w:tcW w:w="710" w:type="dxa"/>
            <w:vMerge w:val="restart"/>
            <w:noWrap/>
            <w:vAlign w:val="center"/>
          </w:tcPr>
          <w:p w14:paraId="3A3E55CF">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1476" w:type="dxa"/>
            <w:vMerge w:val="restart"/>
            <w:noWrap/>
            <w:vAlign w:val="center"/>
          </w:tcPr>
          <w:p w14:paraId="3DC8F98D">
            <w:pPr>
              <w:spacing w:line="400" w:lineRule="exact"/>
              <w:ind w:right="105" w:rightChars="50"/>
              <w:jc w:val="center"/>
              <w:rPr>
                <w:rFonts w:hint="default" w:ascii="Times New Roman" w:hAnsi="Times New Roman" w:eastAsia="宋体" w:cs="仿宋"/>
                <w:color w:val="auto"/>
                <w:szCs w:val="21"/>
                <w:highlight w:val="none"/>
                <w:lang w:val="en-US"/>
              </w:rPr>
            </w:pPr>
            <w:r>
              <w:rPr>
                <w:rFonts w:hint="eastAsia" w:ascii="宋体" w:hAnsi="宋体" w:eastAsia="宋体" w:cs="宋体"/>
                <w:color w:val="auto"/>
                <w:szCs w:val="21"/>
                <w:highlight w:val="none"/>
                <w:lang w:val="en-US" w:eastAsia="zh-CN"/>
              </w:rPr>
              <w:t>作业规范与质量标准</w:t>
            </w:r>
          </w:p>
        </w:tc>
        <w:tc>
          <w:tcPr>
            <w:tcW w:w="1730" w:type="dxa"/>
            <w:tcBorders>
              <w:top w:val="single" w:color="auto" w:sz="4" w:space="0"/>
              <w:bottom w:val="single" w:color="auto" w:sz="4" w:space="0"/>
            </w:tcBorders>
            <w:noWrap/>
            <w:vAlign w:val="center"/>
          </w:tcPr>
          <w:p w14:paraId="199AC3AF">
            <w:pPr>
              <w:spacing w:line="400" w:lineRule="exact"/>
              <w:ind w:left="105" w:leftChars="50" w:right="105" w:right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0-4分</w:t>
            </w:r>
          </w:p>
          <w:p w14:paraId="59C80742">
            <w:pPr>
              <w:spacing w:line="400" w:lineRule="exact"/>
              <w:ind w:left="105" w:leftChars="50" w:right="105" w:right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c>
          <w:tcPr>
            <w:tcW w:w="4800" w:type="dxa"/>
            <w:noWrap/>
            <w:vAlign w:val="center"/>
          </w:tcPr>
          <w:p w14:paraId="6BCC949B">
            <w:pPr>
              <w:spacing w:line="400" w:lineRule="exact"/>
              <w:ind w:left="105" w:leftChars="50" w:right="105" w:rightChars="50"/>
              <w:rPr>
                <w:rFonts w:hint="eastAsia" w:ascii="Times New Roman" w:hAnsi="Times New Roman" w:eastAsia="宋体" w:cs="仿宋"/>
                <w:color w:val="auto"/>
                <w:szCs w:val="21"/>
                <w:highlight w:val="none"/>
                <w:lang w:val="en-US" w:eastAsia="zh-CN"/>
              </w:rPr>
            </w:pPr>
            <w:r>
              <w:rPr>
                <w:rFonts w:hint="eastAsia" w:ascii="Times New Roman" w:hAnsi="Times New Roman" w:eastAsia="宋体" w:cs="仿宋"/>
                <w:color w:val="auto"/>
                <w:szCs w:val="21"/>
                <w:highlight w:val="none"/>
                <w:lang w:val="en-US" w:eastAsia="zh-CN"/>
              </w:rPr>
              <w:t>投标人提供</w:t>
            </w:r>
            <w:r>
              <w:rPr>
                <w:rFonts w:hint="eastAsia" w:ascii="Times New Roman" w:hAnsi="Times New Roman" w:eastAsia="宋体" w:cs="仿宋"/>
                <w:color w:val="auto"/>
                <w:szCs w:val="21"/>
                <w:highlight w:val="none"/>
              </w:rPr>
              <w:t>清扫保洁作业规范与质量标准</w:t>
            </w:r>
            <w:r>
              <w:rPr>
                <w:rFonts w:hint="eastAsia" w:ascii="Times New Roman" w:hAnsi="Times New Roman" w:eastAsia="宋体" w:cs="仿宋"/>
                <w:color w:val="auto"/>
                <w:szCs w:val="21"/>
                <w:highlight w:val="none"/>
                <w:lang w:val="en-US" w:eastAsia="zh-CN"/>
              </w:rPr>
              <w:t>，</w:t>
            </w:r>
            <w:r>
              <w:rPr>
                <w:rFonts w:hint="eastAsia" w:ascii="Times New Roman" w:hAnsi="Times New Roman" w:eastAsia="宋体" w:cs="仿宋"/>
                <w:color w:val="auto"/>
                <w:szCs w:val="21"/>
                <w:highlight w:val="none"/>
              </w:rPr>
              <w:t>由评委</w:t>
            </w:r>
            <w:r>
              <w:rPr>
                <w:rFonts w:hint="eastAsia" w:ascii="Times New Roman" w:hAnsi="Times New Roman" w:eastAsia="宋体" w:cs="仿宋"/>
                <w:color w:val="auto"/>
                <w:szCs w:val="21"/>
                <w:highlight w:val="none"/>
                <w:lang w:val="en-US" w:eastAsia="zh-CN"/>
              </w:rPr>
              <w:t>根据</w:t>
            </w:r>
            <w:r>
              <w:rPr>
                <w:rFonts w:hint="eastAsia" w:ascii="Times New Roman" w:hAnsi="Times New Roman" w:eastAsia="宋体" w:cs="仿宋"/>
                <w:color w:val="auto"/>
                <w:szCs w:val="21"/>
                <w:highlight w:val="none"/>
              </w:rPr>
              <w:t>内容完整</w:t>
            </w:r>
            <w:r>
              <w:rPr>
                <w:rFonts w:hint="eastAsia" w:ascii="Times New Roman" w:hAnsi="Times New Roman" w:eastAsia="宋体" w:cs="仿宋"/>
                <w:color w:val="auto"/>
                <w:szCs w:val="21"/>
                <w:highlight w:val="none"/>
                <w:lang w:val="en-US" w:eastAsia="zh-CN"/>
              </w:rPr>
              <w:t>性、</w:t>
            </w:r>
            <w:r>
              <w:rPr>
                <w:rFonts w:hint="eastAsia" w:ascii="Times New Roman" w:hAnsi="Times New Roman" w:eastAsia="宋体" w:cs="仿宋"/>
                <w:color w:val="auto"/>
                <w:szCs w:val="21"/>
                <w:highlight w:val="none"/>
              </w:rPr>
              <w:t>合理性</w:t>
            </w:r>
            <w:r>
              <w:rPr>
                <w:rFonts w:hint="eastAsia" w:ascii="Times New Roman" w:hAnsi="Times New Roman" w:eastAsia="宋体" w:cs="仿宋"/>
                <w:color w:val="auto"/>
                <w:szCs w:val="21"/>
                <w:highlight w:val="none"/>
                <w:lang w:val="en-US" w:eastAsia="zh-CN"/>
              </w:rPr>
              <w:t>等</w:t>
            </w:r>
            <w:r>
              <w:rPr>
                <w:rFonts w:hint="eastAsia" w:ascii="Times New Roman" w:hAnsi="Times New Roman" w:eastAsia="宋体" w:cs="仿宋"/>
                <w:color w:val="auto"/>
                <w:szCs w:val="21"/>
                <w:highlight w:val="none"/>
              </w:rPr>
              <w:t>酌情给分。（0-</w:t>
            </w:r>
            <w:r>
              <w:rPr>
                <w:rFonts w:hint="eastAsia" w:ascii="Times New Roman" w:hAnsi="Times New Roman" w:eastAsia="宋体" w:cs="仿宋"/>
                <w:color w:val="auto"/>
                <w:szCs w:val="21"/>
                <w:highlight w:val="none"/>
                <w:lang w:val="en-US" w:eastAsia="zh-CN"/>
              </w:rPr>
              <w:t>4</w:t>
            </w:r>
            <w:r>
              <w:rPr>
                <w:rFonts w:hint="eastAsia" w:ascii="Times New Roman" w:hAnsi="Times New Roman" w:eastAsia="宋体" w:cs="仿宋"/>
                <w:color w:val="auto"/>
                <w:szCs w:val="21"/>
                <w:highlight w:val="none"/>
              </w:rPr>
              <w:t>分）</w:t>
            </w:r>
          </w:p>
        </w:tc>
      </w:tr>
      <w:tr w14:paraId="10A107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 w:hRule="atLeast"/>
          <w:jc w:val="center"/>
        </w:trPr>
        <w:tc>
          <w:tcPr>
            <w:tcW w:w="710" w:type="dxa"/>
            <w:vMerge w:val="continue"/>
            <w:noWrap/>
            <w:vAlign w:val="center"/>
          </w:tcPr>
          <w:p w14:paraId="2692B2D2">
            <w:pPr>
              <w:jc w:val="center"/>
              <w:rPr>
                <w:rFonts w:hint="eastAsia" w:ascii="宋体" w:hAnsi="宋体" w:eastAsia="宋体" w:cs="宋体"/>
                <w:color w:val="auto"/>
                <w:szCs w:val="21"/>
                <w:highlight w:val="none"/>
              </w:rPr>
            </w:pPr>
          </w:p>
        </w:tc>
        <w:tc>
          <w:tcPr>
            <w:tcW w:w="1476" w:type="dxa"/>
            <w:vMerge w:val="continue"/>
            <w:noWrap/>
            <w:vAlign w:val="center"/>
          </w:tcPr>
          <w:p w14:paraId="710C021B">
            <w:pPr>
              <w:jc w:val="center"/>
              <w:rPr>
                <w:rFonts w:ascii="Times New Roman" w:hAnsi="Times New Roman" w:eastAsia="宋体" w:cs="仿宋"/>
                <w:color w:val="auto"/>
                <w:szCs w:val="21"/>
                <w:highlight w:val="none"/>
              </w:rPr>
            </w:pPr>
          </w:p>
        </w:tc>
        <w:tc>
          <w:tcPr>
            <w:tcW w:w="1730" w:type="dxa"/>
            <w:tcBorders>
              <w:top w:val="single" w:color="auto" w:sz="4" w:space="0"/>
            </w:tcBorders>
            <w:noWrap/>
            <w:vAlign w:val="center"/>
          </w:tcPr>
          <w:p w14:paraId="1F4452F5">
            <w:pPr>
              <w:spacing w:line="400" w:lineRule="exact"/>
              <w:ind w:left="105" w:leftChars="50" w:right="105" w:right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0-4分</w:t>
            </w:r>
          </w:p>
          <w:p w14:paraId="61F04A11">
            <w:pPr>
              <w:spacing w:line="400" w:lineRule="exact"/>
              <w:ind w:left="105" w:leftChars="50" w:right="105" w:right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c>
          <w:tcPr>
            <w:tcW w:w="4800" w:type="dxa"/>
            <w:noWrap/>
            <w:vAlign w:val="center"/>
          </w:tcPr>
          <w:p w14:paraId="66F1515B">
            <w:pPr>
              <w:spacing w:line="400" w:lineRule="exact"/>
              <w:ind w:left="105" w:leftChars="50" w:right="105" w:rightChars="50"/>
              <w:rPr>
                <w:rFonts w:hint="eastAsia" w:ascii="Times New Roman" w:hAnsi="Times New Roman" w:eastAsia="宋体" w:cs="仿宋"/>
                <w:color w:val="auto"/>
                <w:szCs w:val="21"/>
                <w:highlight w:val="none"/>
                <w:lang w:val="en-US" w:eastAsia="zh-CN"/>
              </w:rPr>
            </w:pPr>
            <w:r>
              <w:rPr>
                <w:rFonts w:hint="eastAsia" w:ascii="Times New Roman" w:hAnsi="Times New Roman" w:eastAsia="宋体" w:cs="仿宋"/>
                <w:color w:val="auto"/>
                <w:szCs w:val="21"/>
                <w:highlight w:val="none"/>
                <w:lang w:val="en-US" w:eastAsia="zh-CN"/>
              </w:rPr>
              <w:t>投标人提供</w:t>
            </w:r>
            <w:r>
              <w:rPr>
                <w:rFonts w:hint="eastAsia" w:ascii="Times New Roman" w:hAnsi="Times New Roman" w:eastAsia="宋体" w:cs="仿宋"/>
                <w:color w:val="auto"/>
                <w:szCs w:val="21"/>
                <w:highlight w:val="none"/>
              </w:rPr>
              <w:t>垃圾收集与清运作业规范与质量标准</w:t>
            </w:r>
            <w:r>
              <w:rPr>
                <w:rFonts w:hint="eastAsia" w:ascii="Times New Roman" w:hAnsi="Times New Roman" w:eastAsia="宋体" w:cs="仿宋"/>
                <w:color w:val="auto"/>
                <w:szCs w:val="21"/>
                <w:highlight w:val="none"/>
                <w:lang w:val="en-US" w:eastAsia="zh-CN"/>
              </w:rPr>
              <w:t>，</w:t>
            </w:r>
            <w:r>
              <w:rPr>
                <w:rFonts w:hint="eastAsia" w:ascii="Times New Roman" w:hAnsi="Times New Roman" w:eastAsia="宋体" w:cs="仿宋"/>
                <w:color w:val="auto"/>
                <w:szCs w:val="21"/>
                <w:highlight w:val="none"/>
              </w:rPr>
              <w:t>由评委</w:t>
            </w:r>
            <w:r>
              <w:rPr>
                <w:rFonts w:hint="eastAsia" w:ascii="Times New Roman" w:hAnsi="Times New Roman" w:eastAsia="宋体" w:cs="仿宋"/>
                <w:color w:val="auto"/>
                <w:szCs w:val="21"/>
                <w:highlight w:val="none"/>
                <w:lang w:val="en-US" w:eastAsia="zh-CN"/>
              </w:rPr>
              <w:t>根据</w:t>
            </w:r>
            <w:r>
              <w:rPr>
                <w:rFonts w:hint="eastAsia" w:ascii="Times New Roman" w:hAnsi="Times New Roman" w:eastAsia="宋体" w:cs="仿宋"/>
                <w:color w:val="auto"/>
                <w:szCs w:val="21"/>
                <w:highlight w:val="none"/>
              </w:rPr>
              <w:t>内容完整</w:t>
            </w:r>
            <w:r>
              <w:rPr>
                <w:rFonts w:hint="eastAsia" w:ascii="Times New Roman" w:hAnsi="Times New Roman" w:eastAsia="宋体" w:cs="仿宋"/>
                <w:color w:val="auto"/>
                <w:szCs w:val="21"/>
                <w:highlight w:val="none"/>
                <w:lang w:val="en-US" w:eastAsia="zh-CN"/>
              </w:rPr>
              <w:t>性、</w:t>
            </w:r>
            <w:r>
              <w:rPr>
                <w:rFonts w:hint="eastAsia" w:ascii="Times New Roman" w:hAnsi="Times New Roman" w:eastAsia="宋体" w:cs="仿宋"/>
                <w:color w:val="auto"/>
                <w:szCs w:val="21"/>
                <w:highlight w:val="none"/>
              </w:rPr>
              <w:t>合理性</w:t>
            </w:r>
            <w:r>
              <w:rPr>
                <w:rFonts w:hint="eastAsia" w:ascii="Times New Roman" w:hAnsi="Times New Roman" w:eastAsia="宋体" w:cs="仿宋"/>
                <w:color w:val="auto"/>
                <w:szCs w:val="21"/>
                <w:highlight w:val="none"/>
                <w:lang w:val="en-US" w:eastAsia="zh-CN"/>
              </w:rPr>
              <w:t>等</w:t>
            </w:r>
            <w:r>
              <w:rPr>
                <w:rFonts w:hint="eastAsia" w:ascii="Times New Roman" w:hAnsi="Times New Roman" w:eastAsia="宋体" w:cs="仿宋"/>
                <w:color w:val="auto"/>
                <w:szCs w:val="21"/>
                <w:highlight w:val="none"/>
              </w:rPr>
              <w:t>酌情给分。（0-</w:t>
            </w:r>
            <w:r>
              <w:rPr>
                <w:rFonts w:hint="eastAsia" w:ascii="Times New Roman" w:hAnsi="Times New Roman" w:eastAsia="宋体" w:cs="仿宋"/>
                <w:color w:val="auto"/>
                <w:szCs w:val="21"/>
                <w:highlight w:val="none"/>
                <w:lang w:val="en-US" w:eastAsia="zh-CN"/>
              </w:rPr>
              <w:t>4</w:t>
            </w:r>
            <w:r>
              <w:rPr>
                <w:rFonts w:hint="eastAsia" w:ascii="Times New Roman" w:hAnsi="Times New Roman" w:eastAsia="宋体" w:cs="仿宋"/>
                <w:color w:val="auto"/>
                <w:szCs w:val="21"/>
                <w:highlight w:val="none"/>
              </w:rPr>
              <w:t>分）</w:t>
            </w:r>
          </w:p>
        </w:tc>
      </w:tr>
      <w:tr w14:paraId="7F9C09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4" w:hRule="atLeast"/>
          <w:jc w:val="center"/>
        </w:trPr>
        <w:tc>
          <w:tcPr>
            <w:tcW w:w="710" w:type="dxa"/>
            <w:vMerge w:val="continue"/>
            <w:noWrap/>
            <w:vAlign w:val="center"/>
          </w:tcPr>
          <w:p w14:paraId="307CDA79">
            <w:pPr>
              <w:jc w:val="center"/>
              <w:rPr>
                <w:rFonts w:hint="eastAsia" w:ascii="宋体" w:hAnsi="宋体" w:eastAsia="宋体" w:cs="宋体"/>
                <w:color w:val="auto"/>
                <w:szCs w:val="21"/>
                <w:highlight w:val="none"/>
              </w:rPr>
            </w:pPr>
          </w:p>
        </w:tc>
        <w:tc>
          <w:tcPr>
            <w:tcW w:w="1476" w:type="dxa"/>
            <w:vMerge w:val="continue"/>
            <w:noWrap/>
            <w:vAlign w:val="center"/>
          </w:tcPr>
          <w:p w14:paraId="167CDF2E">
            <w:pPr>
              <w:spacing w:line="400" w:lineRule="exact"/>
              <w:ind w:left="105" w:leftChars="50" w:right="105" w:rightChars="50"/>
              <w:jc w:val="center"/>
              <w:rPr>
                <w:rFonts w:ascii="Times New Roman" w:hAnsi="Times New Roman" w:eastAsia="宋体" w:cs="仿宋"/>
                <w:color w:val="auto"/>
                <w:szCs w:val="21"/>
                <w:highlight w:val="none"/>
              </w:rPr>
            </w:pPr>
          </w:p>
        </w:tc>
        <w:tc>
          <w:tcPr>
            <w:tcW w:w="1730" w:type="dxa"/>
            <w:tcBorders>
              <w:bottom w:val="single" w:color="auto" w:sz="4" w:space="0"/>
            </w:tcBorders>
            <w:noWrap/>
            <w:vAlign w:val="center"/>
          </w:tcPr>
          <w:p w14:paraId="01E5FF83">
            <w:pPr>
              <w:spacing w:line="400" w:lineRule="exact"/>
              <w:ind w:left="105" w:leftChars="50" w:right="105" w:right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0-4分</w:t>
            </w:r>
          </w:p>
          <w:p w14:paraId="36A3229D">
            <w:pPr>
              <w:widowControl/>
              <w:adjustRightInd w:val="0"/>
              <w:snapToGrid w:val="0"/>
              <w:spacing w:line="312" w:lineRule="auto"/>
              <w:jc w:val="center"/>
              <w:rPr>
                <w:rFonts w:ascii="Times New Roman" w:hAnsi="Times New Roman" w:eastAsia="宋体" w:cs="仿宋"/>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c>
          <w:tcPr>
            <w:tcW w:w="4800" w:type="dxa"/>
            <w:noWrap/>
            <w:vAlign w:val="center"/>
          </w:tcPr>
          <w:p w14:paraId="51C44780">
            <w:pPr>
              <w:spacing w:line="400" w:lineRule="exact"/>
              <w:ind w:left="105" w:leftChars="50" w:right="105" w:rightChars="50"/>
              <w:rPr>
                <w:rFonts w:hint="eastAsia" w:ascii="Times New Roman" w:hAnsi="Times New Roman" w:eastAsia="宋体" w:cs="仿宋"/>
                <w:color w:val="auto"/>
                <w:szCs w:val="21"/>
                <w:highlight w:val="none"/>
                <w:lang w:val="en-US" w:eastAsia="zh-CN"/>
              </w:rPr>
            </w:pPr>
            <w:r>
              <w:rPr>
                <w:rFonts w:hint="eastAsia" w:ascii="Times New Roman" w:hAnsi="Times New Roman" w:eastAsia="宋体" w:cs="仿宋"/>
                <w:color w:val="auto"/>
                <w:szCs w:val="21"/>
                <w:highlight w:val="none"/>
                <w:lang w:val="en-US" w:eastAsia="zh-CN"/>
              </w:rPr>
              <w:t>投标人提供</w:t>
            </w:r>
            <w:r>
              <w:rPr>
                <w:rFonts w:hint="eastAsia" w:ascii="Times New Roman" w:hAnsi="Times New Roman" w:eastAsia="宋体" w:cs="仿宋"/>
                <w:color w:val="auto"/>
                <w:szCs w:val="21"/>
                <w:highlight w:val="none"/>
              </w:rPr>
              <w:t>公共环卫设施的清洗保洁与“牛皮癣”清理作业规范与质量标准</w:t>
            </w:r>
            <w:r>
              <w:rPr>
                <w:rFonts w:hint="eastAsia" w:ascii="Times New Roman" w:hAnsi="Times New Roman" w:eastAsia="宋体" w:cs="仿宋"/>
                <w:color w:val="auto"/>
                <w:szCs w:val="21"/>
                <w:highlight w:val="none"/>
                <w:lang w:val="en-US" w:eastAsia="zh-CN"/>
              </w:rPr>
              <w:t>，</w:t>
            </w:r>
            <w:r>
              <w:rPr>
                <w:rFonts w:hint="eastAsia" w:ascii="Times New Roman" w:hAnsi="Times New Roman" w:eastAsia="宋体" w:cs="仿宋"/>
                <w:color w:val="auto"/>
                <w:szCs w:val="21"/>
                <w:highlight w:val="none"/>
              </w:rPr>
              <w:t>由评委</w:t>
            </w:r>
            <w:r>
              <w:rPr>
                <w:rFonts w:hint="eastAsia" w:ascii="Times New Roman" w:hAnsi="Times New Roman" w:eastAsia="宋体" w:cs="仿宋"/>
                <w:color w:val="auto"/>
                <w:szCs w:val="21"/>
                <w:highlight w:val="none"/>
                <w:lang w:val="en-US" w:eastAsia="zh-CN"/>
              </w:rPr>
              <w:t>根据</w:t>
            </w:r>
            <w:r>
              <w:rPr>
                <w:rFonts w:hint="eastAsia" w:ascii="Times New Roman" w:hAnsi="Times New Roman" w:eastAsia="宋体" w:cs="仿宋"/>
                <w:color w:val="auto"/>
                <w:szCs w:val="21"/>
                <w:highlight w:val="none"/>
              </w:rPr>
              <w:t>内容完整</w:t>
            </w:r>
            <w:r>
              <w:rPr>
                <w:rFonts w:hint="eastAsia" w:ascii="Times New Roman" w:hAnsi="Times New Roman" w:eastAsia="宋体" w:cs="仿宋"/>
                <w:color w:val="auto"/>
                <w:szCs w:val="21"/>
                <w:highlight w:val="none"/>
                <w:lang w:val="en-US" w:eastAsia="zh-CN"/>
              </w:rPr>
              <w:t>性、</w:t>
            </w:r>
            <w:r>
              <w:rPr>
                <w:rFonts w:hint="eastAsia" w:ascii="Times New Roman" w:hAnsi="Times New Roman" w:eastAsia="宋体" w:cs="仿宋"/>
                <w:color w:val="auto"/>
                <w:szCs w:val="21"/>
                <w:highlight w:val="none"/>
              </w:rPr>
              <w:t>合理性</w:t>
            </w:r>
            <w:r>
              <w:rPr>
                <w:rFonts w:hint="eastAsia" w:ascii="Times New Roman" w:hAnsi="Times New Roman" w:eastAsia="宋体" w:cs="仿宋"/>
                <w:color w:val="auto"/>
                <w:szCs w:val="21"/>
                <w:highlight w:val="none"/>
                <w:lang w:val="en-US" w:eastAsia="zh-CN"/>
              </w:rPr>
              <w:t>等</w:t>
            </w:r>
            <w:r>
              <w:rPr>
                <w:rFonts w:hint="eastAsia" w:ascii="Times New Roman" w:hAnsi="Times New Roman" w:eastAsia="宋体" w:cs="仿宋"/>
                <w:color w:val="auto"/>
                <w:szCs w:val="21"/>
                <w:highlight w:val="none"/>
              </w:rPr>
              <w:t>酌情给分。（0-</w:t>
            </w:r>
            <w:r>
              <w:rPr>
                <w:rFonts w:hint="eastAsia" w:ascii="Times New Roman" w:hAnsi="Times New Roman" w:eastAsia="宋体" w:cs="仿宋"/>
                <w:color w:val="auto"/>
                <w:szCs w:val="21"/>
                <w:highlight w:val="none"/>
                <w:lang w:val="en-US" w:eastAsia="zh-CN"/>
              </w:rPr>
              <w:t>4</w:t>
            </w:r>
            <w:r>
              <w:rPr>
                <w:rFonts w:hint="eastAsia" w:ascii="Times New Roman" w:hAnsi="Times New Roman" w:eastAsia="宋体" w:cs="仿宋"/>
                <w:color w:val="auto"/>
                <w:szCs w:val="21"/>
                <w:highlight w:val="none"/>
              </w:rPr>
              <w:t>分）</w:t>
            </w:r>
          </w:p>
        </w:tc>
      </w:tr>
      <w:tr w14:paraId="52D7A8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4" w:hRule="atLeast"/>
          <w:jc w:val="center"/>
        </w:trPr>
        <w:tc>
          <w:tcPr>
            <w:tcW w:w="710" w:type="dxa"/>
            <w:vMerge w:val="continue"/>
            <w:noWrap/>
            <w:vAlign w:val="center"/>
          </w:tcPr>
          <w:p w14:paraId="1A3A4FD6">
            <w:pPr>
              <w:jc w:val="center"/>
              <w:rPr>
                <w:rFonts w:hint="eastAsia" w:ascii="宋体" w:hAnsi="宋体" w:eastAsia="宋体" w:cs="宋体"/>
                <w:color w:val="auto"/>
                <w:szCs w:val="21"/>
                <w:highlight w:val="none"/>
                <w:lang w:val="en-US" w:eastAsia="zh-CN"/>
              </w:rPr>
            </w:pPr>
          </w:p>
        </w:tc>
        <w:tc>
          <w:tcPr>
            <w:tcW w:w="1476" w:type="dxa"/>
            <w:vMerge w:val="continue"/>
            <w:noWrap/>
            <w:vAlign w:val="center"/>
          </w:tcPr>
          <w:p w14:paraId="746DFBE9">
            <w:pPr>
              <w:spacing w:line="400" w:lineRule="exact"/>
              <w:ind w:left="105" w:leftChars="50" w:right="105" w:rightChars="50"/>
              <w:jc w:val="center"/>
              <w:rPr>
                <w:rFonts w:ascii="Times New Roman" w:hAnsi="Times New Roman" w:eastAsia="宋体" w:cs="仿宋"/>
                <w:color w:val="auto"/>
                <w:szCs w:val="21"/>
                <w:highlight w:val="none"/>
              </w:rPr>
            </w:pPr>
          </w:p>
        </w:tc>
        <w:tc>
          <w:tcPr>
            <w:tcW w:w="1730" w:type="dxa"/>
            <w:tcBorders>
              <w:bottom w:val="single" w:color="auto" w:sz="4" w:space="0"/>
            </w:tcBorders>
            <w:noWrap/>
            <w:vAlign w:val="center"/>
          </w:tcPr>
          <w:p w14:paraId="3D3D5C11">
            <w:pPr>
              <w:spacing w:line="400" w:lineRule="exact"/>
              <w:ind w:left="105" w:leftChars="50" w:right="105" w:right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0-4分</w:t>
            </w:r>
          </w:p>
          <w:p w14:paraId="3CF30655">
            <w:pPr>
              <w:widowControl/>
              <w:adjustRightInd w:val="0"/>
              <w:snapToGrid w:val="0"/>
              <w:spacing w:line="312" w:lineRule="auto"/>
              <w:jc w:val="center"/>
              <w:rPr>
                <w:rFonts w:ascii="Times New Roman" w:hAnsi="Times New Roman" w:eastAsia="宋体" w:cs="仿宋"/>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c>
          <w:tcPr>
            <w:tcW w:w="4800" w:type="dxa"/>
            <w:noWrap/>
            <w:vAlign w:val="center"/>
          </w:tcPr>
          <w:p w14:paraId="79DAED71">
            <w:pPr>
              <w:spacing w:line="400" w:lineRule="exact"/>
              <w:ind w:left="105" w:leftChars="50" w:right="105" w:rightChars="50"/>
              <w:rPr>
                <w:rFonts w:hint="eastAsia" w:ascii="Times New Roman" w:hAnsi="Times New Roman" w:eastAsia="宋体" w:cs="仿宋"/>
                <w:color w:val="auto"/>
                <w:szCs w:val="21"/>
                <w:highlight w:val="none"/>
                <w:lang w:val="en-US" w:eastAsia="zh-CN"/>
              </w:rPr>
            </w:pPr>
            <w:r>
              <w:rPr>
                <w:rFonts w:hint="eastAsia" w:ascii="Times New Roman" w:hAnsi="Times New Roman" w:eastAsia="宋体" w:cs="仿宋"/>
                <w:color w:val="auto"/>
                <w:szCs w:val="21"/>
                <w:highlight w:val="none"/>
                <w:lang w:val="en-US" w:eastAsia="zh-CN"/>
              </w:rPr>
              <w:t>投标人提供</w:t>
            </w:r>
            <w:r>
              <w:rPr>
                <w:rFonts w:hint="eastAsia" w:ascii="Times New Roman" w:hAnsi="Times New Roman" w:eastAsia="宋体" w:cs="仿宋"/>
                <w:color w:val="auto"/>
                <w:szCs w:val="21"/>
                <w:highlight w:val="none"/>
              </w:rPr>
              <w:t>道路洒水作业作业规范与质量标准</w:t>
            </w:r>
            <w:r>
              <w:rPr>
                <w:rFonts w:hint="eastAsia" w:ascii="Times New Roman" w:hAnsi="Times New Roman" w:eastAsia="宋体" w:cs="仿宋"/>
                <w:color w:val="auto"/>
                <w:szCs w:val="21"/>
                <w:highlight w:val="none"/>
                <w:lang w:val="en-US" w:eastAsia="zh-CN"/>
              </w:rPr>
              <w:t>，</w:t>
            </w:r>
            <w:r>
              <w:rPr>
                <w:rFonts w:hint="eastAsia" w:ascii="Times New Roman" w:hAnsi="Times New Roman" w:eastAsia="宋体" w:cs="仿宋"/>
                <w:color w:val="auto"/>
                <w:szCs w:val="21"/>
                <w:highlight w:val="none"/>
              </w:rPr>
              <w:t>由评委</w:t>
            </w:r>
            <w:r>
              <w:rPr>
                <w:rFonts w:hint="eastAsia" w:ascii="Times New Roman" w:hAnsi="Times New Roman" w:eastAsia="宋体" w:cs="仿宋"/>
                <w:color w:val="auto"/>
                <w:szCs w:val="21"/>
                <w:highlight w:val="none"/>
                <w:lang w:val="en-US" w:eastAsia="zh-CN"/>
              </w:rPr>
              <w:t>根据</w:t>
            </w:r>
            <w:r>
              <w:rPr>
                <w:rFonts w:hint="eastAsia" w:ascii="Times New Roman" w:hAnsi="Times New Roman" w:eastAsia="宋体" w:cs="仿宋"/>
                <w:color w:val="auto"/>
                <w:szCs w:val="21"/>
                <w:highlight w:val="none"/>
              </w:rPr>
              <w:t>内容完整</w:t>
            </w:r>
            <w:r>
              <w:rPr>
                <w:rFonts w:hint="eastAsia" w:ascii="Times New Roman" w:hAnsi="Times New Roman" w:eastAsia="宋体" w:cs="仿宋"/>
                <w:color w:val="auto"/>
                <w:szCs w:val="21"/>
                <w:highlight w:val="none"/>
                <w:lang w:val="en-US" w:eastAsia="zh-CN"/>
              </w:rPr>
              <w:t>性、</w:t>
            </w:r>
            <w:r>
              <w:rPr>
                <w:rFonts w:hint="eastAsia" w:ascii="Times New Roman" w:hAnsi="Times New Roman" w:eastAsia="宋体" w:cs="仿宋"/>
                <w:color w:val="auto"/>
                <w:szCs w:val="21"/>
                <w:highlight w:val="none"/>
              </w:rPr>
              <w:t>合理性</w:t>
            </w:r>
            <w:r>
              <w:rPr>
                <w:rFonts w:hint="eastAsia" w:ascii="Times New Roman" w:hAnsi="Times New Roman" w:eastAsia="宋体" w:cs="仿宋"/>
                <w:color w:val="auto"/>
                <w:szCs w:val="21"/>
                <w:highlight w:val="none"/>
                <w:lang w:val="en-US" w:eastAsia="zh-CN"/>
              </w:rPr>
              <w:t>等</w:t>
            </w:r>
            <w:r>
              <w:rPr>
                <w:rFonts w:hint="eastAsia" w:ascii="Times New Roman" w:hAnsi="Times New Roman" w:eastAsia="宋体" w:cs="仿宋"/>
                <w:color w:val="auto"/>
                <w:szCs w:val="21"/>
                <w:highlight w:val="none"/>
              </w:rPr>
              <w:t>酌情给分。（0-</w:t>
            </w:r>
            <w:r>
              <w:rPr>
                <w:rFonts w:hint="eastAsia" w:ascii="Times New Roman" w:hAnsi="Times New Roman" w:eastAsia="宋体" w:cs="仿宋"/>
                <w:color w:val="auto"/>
                <w:szCs w:val="21"/>
                <w:highlight w:val="none"/>
                <w:lang w:val="en-US" w:eastAsia="zh-CN"/>
              </w:rPr>
              <w:t>4</w:t>
            </w:r>
            <w:r>
              <w:rPr>
                <w:rFonts w:hint="eastAsia" w:ascii="Times New Roman" w:hAnsi="Times New Roman" w:eastAsia="宋体" w:cs="仿宋"/>
                <w:color w:val="auto"/>
                <w:szCs w:val="21"/>
                <w:highlight w:val="none"/>
              </w:rPr>
              <w:t>分）</w:t>
            </w:r>
          </w:p>
        </w:tc>
      </w:tr>
      <w:tr w14:paraId="1B9336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4" w:hRule="atLeast"/>
          <w:jc w:val="center"/>
        </w:trPr>
        <w:tc>
          <w:tcPr>
            <w:tcW w:w="710" w:type="dxa"/>
            <w:vMerge w:val="continue"/>
            <w:noWrap/>
            <w:vAlign w:val="center"/>
          </w:tcPr>
          <w:p w14:paraId="33F7B425">
            <w:pPr>
              <w:jc w:val="center"/>
              <w:rPr>
                <w:rFonts w:hint="eastAsia" w:ascii="宋体" w:hAnsi="宋体" w:eastAsia="宋体" w:cs="宋体"/>
                <w:color w:val="auto"/>
                <w:szCs w:val="21"/>
                <w:highlight w:val="none"/>
                <w:lang w:val="en-US" w:eastAsia="zh-CN"/>
              </w:rPr>
            </w:pPr>
          </w:p>
        </w:tc>
        <w:tc>
          <w:tcPr>
            <w:tcW w:w="1476" w:type="dxa"/>
            <w:vMerge w:val="continue"/>
            <w:noWrap/>
            <w:vAlign w:val="center"/>
          </w:tcPr>
          <w:p w14:paraId="39845882">
            <w:pPr>
              <w:spacing w:line="400" w:lineRule="exact"/>
              <w:ind w:left="105" w:leftChars="50" w:right="105" w:rightChars="50"/>
              <w:jc w:val="center"/>
              <w:rPr>
                <w:rFonts w:ascii="Times New Roman" w:hAnsi="Times New Roman" w:eastAsia="宋体" w:cs="仿宋"/>
                <w:color w:val="auto"/>
                <w:szCs w:val="21"/>
                <w:highlight w:val="none"/>
              </w:rPr>
            </w:pPr>
          </w:p>
        </w:tc>
        <w:tc>
          <w:tcPr>
            <w:tcW w:w="1730" w:type="dxa"/>
            <w:tcBorders>
              <w:bottom w:val="single" w:color="auto" w:sz="4" w:space="0"/>
            </w:tcBorders>
            <w:noWrap/>
            <w:vAlign w:val="center"/>
          </w:tcPr>
          <w:p w14:paraId="5BE7787F">
            <w:pPr>
              <w:spacing w:line="400" w:lineRule="exact"/>
              <w:ind w:left="105" w:leftChars="50" w:right="105" w:right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0-4分</w:t>
            </w:r>
          </w:p>
          <w:p w14:paraId="13E737F7">
            <w:pPr>
              <w:widowControl/>
              <w:adjustRightInd w:val="0"/>
              <w:snapToGrid w:val="0"/>
              <w:spacing w:line="312" w:lineRule="auto"/>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c>
          <w:tcPr>
            <w:tcW w:w="4800" w:type="dxa"/>
            <w:noWrap/>
            <w:vAlign w:val="center"/>
          </w:tcPr>
          <w:p w14:paraId="389620DD">
            <w:pPr>
              <w:spacing w:line="400" w:lineRule="exact"/>
              <w:ind w:left="105" w:leftChars="50" w:right="105" w:rightChars="50"/>
              <w:rPr>
                <w:rFonts w:hint="eastAsia" w:ascii="Times New Roman" w:hAnsi="Times New Roman" w:eastAsia="宋体" w:cs="仿宋"/>
                <w:color w:val="auto"/>
                <w:szCs w:val="21"/>
                <w:highlight w:val="none"/>
                <w:lang w:val="en-US" w:eastAsia="zh-CN"/>
              </w:rPr>
            </w:pPr>
            <w:r>
              <w:rPr>
                <w:rFonts w:hint="eastAsia" w:ascii="Times New Roman" w:hAnsi="Times New Roman" w:eastAsia="宋体" w:cs="仿宋"/>
                <w:color w:val="auto"/>
                <w:szCs w:val="21"/>
                <w:highlight w:val="none"/>
                <w:lang w:val="en-US" w:eastAsia="zh-CN"/>
              </w:rPr>
              <w:t>投标人提供</w:t>
            </w:r>
            <w:r>
              <w:rPr>
                <w:rFonts w:hint="eastAsia" w:ascii="Times New Roman" w:hAnsi="Times New Roman" w:eastAsia="宋体" w:cs="仿宋"/>
                <w:color w:val="auto"/>
                <w:szCs w:val="21"/>
                <w:highlight w:val="none"/>
              </w:rPr>
              <w:t>公厕保洁和管理作业规范与质量标准</w:t>
            </w:r>
            <w:r>
              <w:rPr>
                <w:rFonts w:hint="eastAsia" w:ascii="Times New Roman" w:hAnsi="Times New Roman" w:eastAsia="宋体" w:cs="仿宋"/>
                <w:color w:val="auto"/>
                <w:szCs w:val="21"/>
                <w:highlight w:val="none"/>
                <w:lang w:val="en-US" w:eastAsia="zh-CN"/>
              </w:rPr>
              <w:t>，</w:t>
            </w:r>
            <w:r>
              <w:rPr>
                <w:rFonts w:hint="eastAsia" w:ascii="Times New Roman" w:hAnsi="Times New Roman" w:eastAsia="宋体" w:cs="仿宋"/>
                <w:color w:val="auto"/>
                <w:szCs w:val="21"/>
                <w:highlight w:val="none"/>
              </w:rPr>
              <w:t>由评委</w:t>
            </w:r>
            <w:r>
              <w:rPr>
                <w:rFonts w:hint="eastAsia" w:ascii="Times New Roman" w:hAnsi="Times New Roman" w:eastAsia="宋体" w:cs="仿宋"/>
                <w:color w:val="auto"/>
                <w:szCs w:val="21"/>
                <w:highlight w:val="none"/>
                <w:lang w:val="en-US" w:eastAsia="zh-CN"/>
              </w:rPr>
              <w:t>根据</w:t>
            </w:r>
            <w:r>
              <w:rPr>
                <w:rFonts w:hint="eastAsia" w:ascii="Times New Roman" w:hAnsi="Times New Roman" w:eastAsia="宋体" w:cs="仿宋"/>
                <w:color w:val="auto"/>
                <w:szCs w:val="21"/>
                <w:highlight w:val="none"/>
              </w:rPr>
              <w:t>内容完整</w:t>
            </w:r>
            <w:r>
              <w:rPr>
                <w:rFonts w:hint="eastAsia" w:ascii="Times New Roman" w:hAnsi="Times New Roman" w:eastAsia="宋体" w:cs="仿宋"/>
                <w:color w:val="auto"/>
                <w:szCs w:val="21"/>
                <w:highlight w:val="none"/>
                <w:lang w:val="en-US" w:eastAsia="zh-CN"/>
              </w:rPr>
              <w:t>性、</w:t>
            </w:r>
            <w:r>
              <w:rPr>
                <w:rFonts w:hint="eastAsia" w:ascii="Times New Roman" w:hAnsi="Times New Roman" w:eastAsia="宋体" w:cs="仿宋"/>
                <w:color w:val="auto"/>
                <w:szCs w:val="21"/>
                <w:highlight w:val="none"/>
              </w:rPr>
              <w:t>合理性</w:t>
            </w:r>
            <w:r>
              <w:rPr>
                <w:rFonts w:hint="eastAsia" w:ascii="Times New Roman" w:hAnsi="Times New Roman" w:eastAsia="宋体" w:cs="仿宋"/>
                <w:color w:val="auto"/>
                <w:szCs w:val="21"/>
                <w:highlight w:val="none"/>
                <w:lang w:val="en-US" w:eastAsia="zh-CN"/>
              </w:rPr>
              <w:t>等</w:t>
            </w:r>
            <w:r>
              <w:rPr>
                <w:rFonts w:hint="eastAsia" w:ascii="Times New Roman" w:hAnsi="Times New Roman" w:eastAsia="宋体" w:cs="仿宋"/>
                <w:color w:val="auto"/>
                <w:szCs w:val="21"/>
                <w:highlight w:val="none"/>
              </w:rPr>
              <w:t>酌情给分。（0-</w:t>
            </w:r>
            <w:r>
              <w:rPr>
                <w:rFonts w:hint="eastAsia" w:ascii="Times New Roman" w:hAnsi="Times New Roman" w:eastAsia="宋体" w:cs="仿宋"/>
                <w:color w:val="auto"/>
                <w:szCs w:val="21"/>
                <w:highlight w:val="none"/>
                <w:lang w:val="en-US" w:eastAsia="zh-CN"/>
              </w:rPr>
              <w:t>4</w:t>
            </w:r>
            <w:r>
              <w:rPr>
                <w:rFonts w:hint="eastAsia" w:ascii="Times New Roman" w:hAnsi="Times New Roman" w:eastAsia="宋体" w:cs="仿宋"/>
                <w:color w:val="auto"/>
                <w:szCs w:val="21"/>
                <w:highlight w:val="none"/>
              </w:rPr>
              <w:t>分）</w:t>
            </w:r>
          </w:p>
        </w:tc>
      </w:tr>
      <w:tr w14:paraId="5E5E4D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 w:hRule="atLeast"/>
          <w:jc w:val="center"/>
        </w:trPr>
        <w:tc>
          <w:tcPr>
            <w:tcW w:w="710" w:type="dxa"/>
            <w:vMerge w:val="continue"/>
            <w:noWrap/>
            <w:vAlign w:val="center"/>
          </w:tcPr>
          <w:p w14:paraId="388C9472">
            <w:pPr>
              <w:jc w:val="center"/>
              <w:rPr>
                <w:rFonts w:hint="eastAsia" w:ascii="宋体" w:hAnsi="宋体" w:eastAsia="宋体" w:cs="宋体"/>
                <w:color w:val="auto"/>
                <w:szCs w:val="21"/>
                <w:highlight w:val="none"/>
                <w:lang w:val="en-US" w:eastAsia="zh-CN"/>
              </w:rPr>
            </w:pPr>
          </w:p>
        </w:tc>
        <w:tc>
          <w:tcPr>
            <w:tcW w:w="1476" w:type="dxa"/>
            <w:vMerge w:val="continue"/>
            <w:noWrap/>
            <w:vAlign w:val="center"/>
          </w:tcPr>
          <w:p w14:paraId="36F6E683">
            <w:pPr>
              <w:widowControl/>
              <w:spacing w:line="360" w:lineRule="exact"/>
              <w:jc w:val="center"/>
              <w:rPr>
                <w:rFonts w:ascii="Times New Roman" w:hAnsi="Times New Roman" w:eastAsia="宋体" w:cs="仿宋"/>
                <w:color w:val="auto"/>
                <w:szCs w:val="21"/>
                <w:highlight w:val="none"/>
              </w:rPr>
            </w:pPr>
          </w:p>
        </w:tc>
        <w:tc>
          <w:tcPr>
            <w:tcW w:w="1730" w:type="dxa"/>
            <w:tcBorders>
              <w:top w:val="single" w:color="auto" w:sz="4" w:space="0"/>
            </w:tcBorders>
            <w:noWrap/>
            <w:vAlign w:val="center"/>
          </w:tcPr>
          <w:p w14:paraId="0E325951">
            <w:pPr>
              <w:spacing w:line="400" w:lineRule="exact"/>
              <w:ind w:left="105" w:leftChars="50" w:right="105" w:right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0-4分</w:t>
            </w:r>
          </w:p>
          <w:p w14:paraId="063977D4">
            <w:pPr>
              <w:widowControl/>
              <w:adjustRightInd w:val="0"/>
              <w:snapToGrid w:val="0"/>
              <w:spacing w:line="312" w:lineRule="auto"/>
              <w:jc w:val="center"/>
              <w:rPr>
                <w:rFonts w:hint="default"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c>
          <w:tcPr>
            <w:tcW w:w="4800" w:type="dxa"/>
            <w:noWrap/>
            <w:vAlign w:val="center"/>
          </w:tcPr>
          <w:p w14:paraId="1EF39DB4">
            <w:pPr>
              <w:spacing w:line="400" w:lineRule="exact"/>
              <w:ind w:left="105" w:leftChars="50" w:right="105" w:rightChars="50"/>
              <w:rPr>
                <w:rFonts w:hint="eastAsia" w:ascii="Times New Roman" w:hAnsi="Times New Roman" w:eastAsia="宋体" w:cs="仿宋"/>
                <w:color w:val="auto"/>
                <w:szCs w:val="21"/>
                <w:highlight w:val="none"/>
                <w:lang w:val="en-US" w:eastAsia="zh-CN"/>
              </w:rPr>
            </w:pPr>
            <w:r>
              <w:rPr>
                <w:rFonts w:hint="eastAsia" w:ascii="Times New Roman" w:hAnsi="Times New Roman" w:eastAsia="宋体" w:cs="仿宋"/>
                <w:color w:val="auto"/>
                <w:szCs w:val="21"/>
                <w:highlight w:val="none"/>
                <w:lang w:val="en-US" w:eastAsia="zh-CN"/>
              </w:rPr>
              <w:t>投标人提供垃圾分拣、投放</w:t>
            </w:r>
            <w:r>
              <w:rPr>
                <w:rFonts w:hint="eastAsia" w:ascii="Times New Roman" w:hAnsi="Times New Roman" w:eastAsia="宋体" w:cs="仿宋"/>
                <w:color w:val="auto"/>
                <w:szCs w:val="21"/>
                <w:highlight w:val="none"/>
              </w:rPr>
              <w:t>作业规范与质量标准</w:t>
            </w:r>
            <w:r>
              <w:rPr>
                <w:rFonts w:hint="eastAsia" w:ascii="Times New Roman" w:hAnsi="Times New Roman" w:eastAsia="宋体" w:cs="仿宋"/>
                <w:color w:val="auto"/>
                <w:szCs w:val="21"/>
                <w:highlight w:val="none"/>
                <w:lang w:val="en-US" w:eastAsia="zh-CN"/>
              </w:rPr>
              <w:t>，</w:t>
            </w:r>
            <w:r>
              <w:rPr>
                <w:rFonts w:hint="eastAsia" w:ascii="Times New Roman" w:hAnsi="Times New Roman" w:eastAsia="宋体" w:cs="仿宋"/>
                <w:color w:val="auto"/>
                <w:szCs w:val="21"/>
                <w:highlight w:val="none"/>
              </w:rPr>
              <w:t>由评委</w:t>
            </w:r>
            <w:r>
              <w:rPr>
                <w:rFonts w:hint="eastAsia" w:ascii="Times New Roman" w:hAnsi="Times New Roman" w:eastAsia="宋体" w:cs="仿宋"/>
                <w:color w:val="auto"/>
                <w:szCs w:val="21"/>
                <w:highlight w:val="none"/>
                <w:lang w:val="en-US" w:eastAsia="zh-CN"/>
              </w:rPr>
              <w:t>根据</w:t>
            </w:r>
            <w:r>
              <w:rPr>
                <w:rFonts w:hint="eastAsia" w:ascii="Times New Roman" w:hAnsi="Times New Roman" w:eastAsia="宋体" w:cs="仿宋"/>
                <w:color w:val="auto"/>
                <w:szCs w:val="21"/>
                <w:highlight w:val="none"/>
              </w:rPr>
              <w:t>内容完整</w:t>
            </w:r>
            <w:r>
              <w:rPr>
                <w:rFonts w:hint="eastAsia" w:ascii="Times New Roman" w:hAnsi="Times New Roman" w:eastAsia="宋体" w:cs="仿宋"/>
                <w:color w:val="auto"/>
                <w:szCs w:val="21"/>
                <w:highlight w:val="none"/>
                <w:lang w:val="en-US" w:eastAsia="zh-CN"/>
              </w:rPr>
              <w:t>性、</w:t>
            </w:r>
            <w:r>
              <w:rPr>
                <w:rFonts w:hint="eastAsia" w:ascii="Times New Roman" w:hAnsi="Times New Roman" w:eastAsia="宋体" w:cs="仿宋"/>
                <w:color w:val="auto"/>
                <w:szCs w:val="21"/>
                <w:highlight w:val="none"/>
              </w:rPr>
              <w:t>合理性</w:t>
            </w:r>
            <w:r>
              <w:rPr>
                <w:rFonts w:hint="eastAsia" w:ascii="Times New Roman" w:hAnsi="Times New Roman" w:eastAsia="宋体" w:cs="仿宋"/>
                <w:color w:val="auto"/>
                <w:szCs w:val="21"/>
                <w:highlight w:val="none"/>
                <w:lang w:val="en-US" w:eastAsia="zh-CN"/>
              </w:rPr>
              <w:t>等</w:t>
            </w:r>
            <w:r>
              <w:rPr>
                <w:rFonts w:hint="eastAsia" w:ascii="Times New Roman" w:hAnsi="Times New Roman" w:eastAsia="宋体" w:cs="仿宋"/>
                <w:color w:val="auto"/>
                <w:szCs w:val="21"/>
                <w:highlight w:val="none"/>
              </w:rPr>
              <w:t>酌情给分。（0-</w:t>
            </w:r>
            <w:r>
              <w:rPr>
                <w:rFonts w:hint="eastAsia" w:ascii="Times New Roman" w:hAnsi="Times New Roman" w:eastAsia="宋体" w:cs="仿宋"/>
                <w:color w:val="auto"/>
                <w:szCs w:val="21"/>
                <w:highlight w:val="none"/>
                <w:lang w:val="en-US" w:eastAsia="zh-CN"/>
              </w:rPr>
              <w:t>4</w:t>
            </w:r>
            <w:r>
              <w:rPr>
                <w:rFonts w:hint="eastAsia" w:ascii="Times New Roman" w:hAnsi="Times New Roman" w:eastAsia="宋体" w:cs="仿宋"/>
                <w:color w:val="auto"/>
                <w:szCs w:val="21"/>
                <w:highlight w:val="none"/>
              </w:rPr>
              <w:t>分）</w:t>
            </w:r>
          </w:p>
        </w:tc>
      </w:tr>
      <w:tr w14:paraId="3493BB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 w:hRule="atLeast"/>
          <w:jc w:val="center"/>
        </w:trPr>
        <w:tc>
          <w:tcPr>
            <w:tcW w:w="710" w:type="dxa"/>
            <w:vMerge w:val="continue"/>
            <w:noWrap/>
            <w:vAlign w:val="center"/>
          </w:tcPr>
          <w:p w14:paraId="3D291A3A">
            <w:pPr>
              <w:jc w:val="center"/>
              <w:rPr>
                <w:rFonts w:hint="eastAsia" w:ascii="宋体" w:hAnsi="宋体" w:eastAsia="宋体" w:cs="宋体"/>
                <w:color w:val="auto"/>
                <w:szCs w:val="21"/>
                <w:highlight w:val="none"/>
                <w:lang w:val="en-US" w:eastAsia="zh-CN"/>
              </w:rPr>
            </w:pPr>
          </w:p>
        </w:tc>
        <w:tc>
          <w:tcPr>
            <w:tcW w:w="1476" w:type="dxa"/>
            <w:vMerge w:val="continue"/>
            <w:noWrap/>
            <w:vAlign w:val="center"/>
          </w:tcPr>
          <w:p w14:paraId="584BDC6F">
            <w:pPr>
              <w:widowControl/>
              <w:spacing w:line="360" w:lineRule="exact"/>
              <w:jc w:val="center"/>
              <w:rPr>
                <w:rFonts w:ascii="Times New Roman" w:hAnsi="Times New Roman" w:eastAsia="宋体" w:cs="仿宋"/>
                <w:color w:val="auto"/>
                <w:szCs w:val="21"/>
                <w:highlight w:val="none"/>
              </w:rPr>
            </w:pPr>
          </w:p>
        </w:tc>
        <w:tc>
          <w:tcPr>
            <w:tcW w:w="1730" w:type="dxa"/>
            <w:tcBorders>
              <w:top w:val="single" w:color="auto" w:sz="4" w:space="0"/>
            </w:tcBorders>
            <w:noWrap/>
            <w:vAlign w:val="center"/>
          </w:tcPr>
          <w:p w14:paraId="0722791D">
            <w:pPr>
              <w:spacing w:line="400" w:lineRule="exact"/>
              <w:ind w:left="105" w:leftChars="50" w:right="105" w:right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0-4分</w:t>
            </w:r>
          </w:p>
          <w:p w14:paraId="612B40C5">
            <w:pPr>
              <w:widowControl/>
              <w:adjustRightInd w:val="0"/>
              <w:snapToGrid w:val="0"/>
              <w:spacing w:line="312" w:lineRule="auto"/>
              <w:jc w:val="center"/>
              <w:rPr>
                <w:rFonts w:hint="default" w:ascii="Times New Roman" w:hAnsi="Times New Roman" w:eastAsia="宋体" w:cs="仿宋"/>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c>
          <w:tcPr>
            <w:tcW w:w="4800" w:type="dxa"/>
            <w:noWrap/>
            <w:vAlign w:val="center"/>
          </w:tcPr>
          <w:p w14:paraId="6E84FB2E">
            <w:pPr>
              <w:spacing w:line="400" w:lineRule="exact"/>
              <w:ind w:left="105" w:leftChars="50" w:right="105" w:rightChars="50"/>
              <w:rPr>
                <w:rFonts w:hint="eastAsia" w:ascii="Times New Roman" w:hAnsi="Times New Roman" w:eastAsia="宋体" w:cs="仿宋"/>
                <w:color w:val="auto"/>
                <w:szCs w:val="21"/>
                <w:highlight w:val="none"/>
                <w:lang w:val="en-US" w:eastAsia="zh-CN"/>
              </w:rPr>
            </w:pPr>
            <w:r>
              <w:rPr>
                <w:rFonts w:hint="eastAsia" w:ascii="Times New Roman" w:hAnsi="Times New Roman" w:eastAsia="宋体" w:cs="仿宋"/>
                <w:color w:val="auto"/>
                <w:szCs w:val="21"/>
                <w:highlight w:val="none"/>
                <w:lang w:val="en-US" w:eastAsia="zh-CN"/>
              </w:rPr>
              <w:t>投标人提供</w:t>
            </w:r>
            <w:r>
              <w:rPr>
                <w:rFonts w:hint="eastAsia" w:ascii="Times New Roman" w:hAnsi="Times New Roman" w:eastAsia="宋体" w:cs="仿宋"/>
                <w:color w:val="auto"/>
                <w:szCs w:val="21"/>
                <w:highlight w:val="none"/>
              </w:rPr>
              <w:t>绿化</w:t>
            </w:r>
            <w:r>
              <w:rPr>
                <w:rFonts w:hint="eastAsia" w:ascii="Times New Roman" w:hAnsi="Times New Roman" w:eastAsia="宋体" w:cs="仿宋"/>
                <w:color w:val="auto"/>
                <w:szCs w:val="21"/>
                <w:highlight w:val="none"/>
                <w:lang w:val="en-US" w:eastAsia="zh-CN"/>
              </w:rPr>
              <w:t>及空闲地保洁</w:t>
            </w:r>
            <w:r>
              <w:rPr>
                <w:rFonts w:hint="eastAsia" w:ascii="Times New Roman" w:hAnsi="Times New Roman" w:eastAsia="宋体" w:cs="仿宋"/>
                <w:color w:val="auto"/>
                <w:szCs w:val="21"/>
                <w:highlight w:val="none"/>
              </w:rPr>
              <w:t>作业规范与质量标准</w:t>
            </w:r>
            <w:r>
              <w:rPr>
                <w:rFonts w:hint="eastAsia" w:ascii="Times New Roman" w:hAnsi="Times New Roman" w:eastAsia="宋体" w:cs="仿宋"/>
                <w:color w:val="auto"/>
                <w:szCs w:val="21"/>
                <w:highlight w:val="none"/>
                <w:lang w:val="en-US" w:eastAsia="zh-CN"/>
              </w:rPr>
              <w:t>，</w:t>
            </w:r>
            <w:r>
              <w:rPr>
                <w:rFonts w:hint="eastAsia" w:ascii="Times New Roman" w:hAnsi="Times New Roman" w:eastAsia="宋体" w:cs="仿宋"/>
                <w:color w:val="auto"/>
                <w:szCs w:val="21"/>
                <w:highlight w:val="none"/>
              </w:rPr>
              <w:t>由评委</w:t>
            </w:r>
            <w:r>
              <w:rPr>
                <w:rFonts w:hint="eastAsia" w:ascii="Times New Roman" w:hAnsi="Times New Roman" w:eastAsia="宋体" w:cs="仿宋"/>
                <w:color w:val="auto"/>
                <w:szCs w:val="21"/>
                <w:highlight w:val="none"/>
                <w:lang w:val="en-US" w:eastAsia="zh-CN"/>
              </w:rPr>
              <w:t>根据</w:t>
            </w:r>
            <w:r>
              <w:rPr>
                <w:rFonts w:hint="eastAsia" w:ascii="Times New Roman" w:hAnsi="Times New Roman" w:eastAsia="宋体" w:cs="仿宋"/>
                <w:color w:val="auto"/>
                <w:szCs w:val="21"/>
                <w:highlight w:val="none"/>
              </w:rPr>
              <w:t>内容完整</w:t>
            </w:r>
            <w:r>
              <w:rPr>
                <w:rFonts w:hint="eastAsia" w:ascii="Times New Roman" w:hAnsi="Times New Roman" w:eastAsia="宋体" w:cs="仿宋"/>
                <w:color w:val="auto"/>
                <w:szCs w:val="21"/>
                <w:highlight w:val="none"/>
                <w:lang w:val="en-US" w:eastAsia="zh-CN"/>
              </w:rPr>
              <w:t>性、</w:t>
            </w:r>
            <w:r>
              <w:rPr>
                <w:rFonts w:hint="eastAsia" w:ascii="Times New Roman" w:hAnsi="Times New Roman" w:eastAsia="宋体" w:cs="仿宋"/>
                <w:color w:val="auto"/>
                <w:szCs w:val="21"/>
                <w:highlight w:val="none"/>
              </w:rPr>
              <w:t>合理性</w:t>
            </w:r>
            <w:r>
              <w:rPr>
                <w:rFonts w:hint="eastAsia" w:ascii="Times New Roman" w:hAnsi="Times New Roman" w:eastAsia="宋体" w:cs="仿宋"/>
                <w:color w:val="auto"/>
                <w:szCs w:val="21"/>
                <w:highlight w:val="none"/>
                <w:lang w:val="en-US" w:eastAsia="zh-CN"/>
              </w:rPr>
              <w:t>等</w:t>
            </w:r>
            <w:r>
              <w:rPr>
                <w:rFonts w:hint="eastAsia" w:ascii="Times New Roman" w:hAnsi="Times New Roman" w:eastAsia="宋体" w:cs="仿宋"/>
                <w:color w:val="auto"/>
                <w:szCs w:val="21"/>
                <w:highlight w:val="none"/>
              </w:rPr>
              <w:t>酌情给分。（0-</w:t>
            </w:r>
            <w:r>
              <w:rPr>
                <w:rFonts w:hint="eastAsia" w:ascii="Times New Roman" w:hAnsi="Times New Roman" w:eastAsia="宋体" w:cs="仿宋"/>
                <w:color w:val="auto"/>
                <w:szCs w:val="21"/>
                <w:highlight w:val="none"/>
                <w:lang w:val="en-US" w:eastAsia="zh-CN"/>
              </w:rPr>
              <w:t>4</w:t>
            </w:r>
            <w:r>
              <w:rPr>
                <w:rFonts w:hint="eastAsia" w:ascii="Times New Roman" w:hAnsi="Times New Roman" w:eastAsia="宋体" w:cs="仿宋"/>
                <w:color w:val="auto"/>
                <w:szCs w:val="21"/>
                <w:highlight w:val="none"/>
              </w:rPr>
              <w:t>分）</w:t>
            </w:r>
          </w:p>
        </w:tc>
      </w:tr>
      <w:tr w14:paraId="64EC6B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 w:hRule="atLeast"/>
          <w:jc w:val="center"/>
        </w:trPr>
        <w:tc>
          <w:tcPr>
            <w:tcW w:w="710" w:type="dxa"/>
            <w:vMerge w:val="continue"/>
            <w:noWrap/>
            <w:vAlign w:val="center"/>
          </w:tcPr>
          <w:p w14:paraId="10949BB0">
            <w:pPr>
              <w:jc w:val="center"/>
              <w:rPr>
                <w:rFonts w:hint="eastAsia" w:ascii="宋体" w:hAnsi="宋体" w:eastAsia="宋体" w:cs="宋体"/>
                <w:color w:val="auto"/>
                <w:szCs w:val="21"/>
                <w:highlight w:val="none"/>
                <w:lang w:val="en-US" w:eastAsia="zh-CN"/>
              </w:rPr>
            </w:pPr>
          </w:p>
        </w:tc>
        <w:tc>
          <w:tcPr>
            <w:tcW w:w="1476" w:type="dxa"/>
            <w:vMerge w:val="continue"/>
            <w:noWrap/>
            <w:vAlign w:val="center"/>
          </w:tcPr>
          <w:p w14:paraId="7264AB16">
            <w:pPr>
              <w:widowControl/>
              <w:spacing w:line="360" w:lineRule="exact"/>
              <w:jc w:val="center"/>
              <w:rPr>
                <w:rFonts w:ascii="Times New Roman" w:hAnsi="Times New Roman" w:eastAsia="宋体" w:cs="仿宋"/>
                <w:color w:val="auto"/>
                <w:szCs w:val="21"/>
                <w:highlight w:val="none"/>
              </w:rPr>
            </w:pPr>
          </w:p>
        </w:tc>
        <w:tc>
          <w:tcPr>
            <w:tcW w:w="1730" w:type="dxa"/>
            <w:tcBorders>
              <w:top w:val="single" w:color="auto" w:sz="4" w:space="0"/>
            </w:tcBorders>
            <w:noWrap/>
            <w:vAlign w:val="center"/>
          </w:tcPr>
          <w:p w14:paraId="6837A63A">
            <w:pPr>
              <w:spacing w:line="400" w:lineRule="exact"/>
              <w:ind w:left="105" w:leftChars="50" w:right="105" w:right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（0-4分）</w:t>
            </w:r>
          </w:p>
          <w:p w14:paraId="4E146C4E">
            <w:pPr>
              <w:widowControl/>
              <w:adjustRightInd w:val="0"/>
              <w:snapToGrid w:val="0"/>
              <w:spacing w:line="312"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c>
          <w:tcPr>
            <w:tcW w:w="4800" w:type="dxa"/>
            <w:noWrap/>
            <w:vAlign w:val="center"/>
          </w:tcPr>
          <w:p w14:paraId="4EB96DF8">
            <w:pPr>
              <w:spacing w:line="400" w:lineRule="exact"/>
              <w:ind w:left="105" w:leftChars="50" w:right="105" w:rightChars="50"/>
              <w:rPr>
                <w:rFonts w:hint="eastAsia" w:ascii="Times New Roman" w:hAnsi="Times New Roman" w:eastAsia="宋体" w:cs="仿宋"/>
                <w:color w:val="auto"/>
                <w:szCs w:val="21"/>
                <w:highlight w:val="none"/>
                <w:lang w:val="en-US" w:eastAsia="zh-CN"/>
              </w:rPr>
            </w:pPr>
            <w:r>
              <w:rPr>
                <w:rFonts w:hint="eastAsia" w:ascii="Times New Roman" w:hAnsi="Times New Roman" w:eastAsia="宋体" w:cs="仿宋"/>
                <w:color w:val="auto"/>
                <w:szCs w:val="21"/>
                <w:highlight w:val="none"/>
                <w:lang w:val="en-US" w:eastAsia="zh-CN"/>
              </w:rPr>
              <w:t>投标人提供夜市的作业规范与质量标准，</w:t>
            </w:r>
            <w:r>
              <w:rPr>
                <w:rFonts w:hint="eastAsia" w:ascii="Times New Roman" w:hAnsi="Times New Roman" w:eastAsia="宋体" w:cs="仿宋"/>
                <w:color w:val="auto"/>
                <w:szCs w:val="21"/>
                <w:highlight w:val="none"/>
              </w:rPr>
              <w:t>由评委</w:t>
            </w:r>
            <w:r>
              <w:rPr>
                <w:rFonts w:hint="eastAsia" w:ascii="Times New Roman" w:hAnsi="Times New Roman" w:eastAsia="宋体" w:cs="仿宋"/>
                <w:color w:val="auto"/>
                <w:szCs w:val="21"/>
                <w:highlight w:val="none"/>
                <w:lang w:val="en-US" w:eastAsia="zh-CN"/>
              </w:rPr>
              <w:t>根据</w:t>
            </w:r>
            <w:r>
              <w:rPr>
                <w:rFonts w:hint="eastAsia" w:ascii="Times New Roman" w:hAnsi="Times New Roman" w:eastAsia="宋体" w:cs="仿宋"/>
                <w:color w:val="auto"/>
                <w:szCs w:val="21"/>
                <w:highlight w:val="none"/>
              </w:rPr>
              <w:t>内容完整</w:t>
            </w:r>
            <w:r>
              <w:rPr>
                <w:rFonts w:hint="eastAsia" w:ascii="Times New Roman" w:hAnsi="Times New Roman" w:eastAsia="宋体" w:cs="仿宋"/>
                <w:color w:val="auto"/>
                <w:szCs w:val="21"/>
                <w:highlight w:val="none"/>
                <w:lang w:val="en-US" w:eastAsia="zh-CN"/>
              </w:rPr>
              <w:t>性、</w:t>
            </w:r>
            <w:r>
              <w:rPr>
                <w:rFonts w:hint="eastAsia" w:ascii="Times New Roman" w:hAnsi="Times New Roman" w:eastAsia="宋体" w:cs="仿宋"/>
                <w:color w:val="auto"/>
                <w:szCs w:val="21"/>
                <w:highlight w:val="none"/>
              </w:rPr>
              <w:t>合理性</w:t>
            </w:r>
            <w:r>
              <w:rPr>
                <w:rFonts w:hint="eastAsia" w:ascii="Times New Roman" w:hAnsi="Times New Roman" w:eastAsia="宋体" w:cs="仿宋"/>
                <w:color w:val="auto"/>
                <w:szCs w:val="21"/>
                <w:highlight w:val="none"/>
                <w:lang w:val="en-US" w:eastAsia="zh-CN"/>
              </w:rPr>
              <w:t>等</w:t>
            </w:r>
            <w:r>
              <w:rPr>
                <w:rFonts w:hint="eastAsia" w:ascii="Times New Roman" w:hAnsi="Times New Roman" w:eastAsia="宋体" w:cs="仿宋"/>
                <w:color w:val="auto"/>
                <w:szCs w:val="21"/>
                <w:highlight w:val="none"/>
              </w:rPr>
              <w:t>酌情给分。</w:t>
            </w:r>
            <w:r>
              <w:rPr>
                <w:rFonts w:hint="eastAsia" w:ascii="Times New Roman" w:hAnsi="Times New Roman" w:eastAsia="宋体" w:cs="仿宋"/>
                <w:color w:val="auto"/>
                <w:szCs w:val="21"/>
                <w:highlight w:val="none"/>
                <w:lang w:val="en-US" w:eastAsia="zh-CN"/>
              </w:rPr>
              <w:t>（0-4分）</w:t>
            </w:r>
          </w:p>
        </w:tc>
      </w:tr>
      <w:tr w14:paraId="2A8201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 w:hRule="atLeast"/>
          <w:jc w:val="center"/>
        </w:trPr>
        <w:tc>
          <w:tcPr>
            <w:tcW w:w="710" w:type="dxa"/>
            <w:vMerge w:val="continue"/>
            <w:noWrap/>
            <w:vAlign w:val="center"/>
          </w:tcPr>
          <w:p w14:paraId="60C0C50A">
            <w:pPr>
              <w:jc w:val="center"/>
              <w:rPr>
                <w:rFonts w:hint="eastAsia" w:ascii="宋体" w:hAnsi="宋体" w:eastAsia="宋体" w:cs="宋体"/>
                <w:color w:val="auto"/>
                <w:szCs w:val="21"/>
                <w:highlight w:val="none"/>
                <w:lang w:val="en-US" w:eastAsia="zh-CN"/>
              </w:rPr>
            </w:pPr>
          </w:p>
        </w:tc>
        <w:tc>
          <w:tcPr>
            <w:tcW w:w="1476" w:type="dxa"/>
            <w:vMerge w:val="continue"/>
            <w:noWrap/>
            <w:vAlign w:val="center"/>
          </w:tcPr>
          <w:p w14:paraId="5AD8A637">
            <w:pPr>
              <w:widowControl/>
              <w:spacing w:line="360" w:lineRule="exact"/>
              <w:jc w:val="center"/>
              <w:rPr>
                <w:rFonts w:ascii="Times New Roman" w:hAnsi="Times New Roman" w:eastAsia="宋体" w:cs="仿宋"/>
                <w:color w:val="auto"/>
                <w:szCs w:val="21"/>
                <w:highlight w:val="none"/>
              </w:rPr>
            </w:pPr>
          </w:p>
        </w:tc>
        <w:tc>
          <w:tcPr>
            <w:tcW w:w="1730" w:type="dxa"/>
            <w:tcBorders>
              <w:top w:val="single" w:color="auto" w:sz="4" w:space="0"/>
            </w:tcBorders>
            <w:noWrap/>
            <w:vAlign w:val="center"/>
          </w:tcPr>
          <w:p w14:paraId="2EFF1B3B">
            <w:pPr>
              <w:spacing w:line="400" w:lineRule="exact"/>
              <w:ind w:left="105" w:leftChars="50" w:right="105" w:right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0-6分</w:t>
            </w:r>
          </w:p>
          <w:p w14:paraId="0F54B744">
            <w:pPr>
              <w:widowControl/>
              <w:adjustRightInd w:val="0"/>
              <w:snapToGrid w:val="0"/>
              <w:spacing w:line="312" w:lineRule="auto"/>
              <w:jc w:val="center"/>
              <w:rPr>
                <w:rFonts w:hint="default" w:ascii="Times New Roman" w:hAnsi="Times New Roman" w:eastAsia="宋体" w:cs="仿宋"/>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c>
          <w:tcPr>
            <w:tcW w:w="4800" w:type="dxa"/>
            <w:noWrap/>
            <w:vAlign w:val="center"/>
          </w:tcPr>
          <w:p w14:paraId="770286C5">
            <w:pPr>
              <w:spacing w:line="400" w:lineRule="exact"/>
              <w:ind w:left="105" w:leftChars="50" w:right="105" w:rightChars="50"/>
              <w:rPr>
                <w:rFonts w:hint="eastAsia" w:ascii="Times New Roman" w:hAnsi="Times New Roman" w:eastAsia="宋体" w:cs="仿宋"/>
                <w:color w:val="auto"/>
                <w:szCs w:val="21"/>
                <w:highlight w:val="none"/>
                <w:lang w:val="en-US" w:eastAsia="zh-CN"/>
              </w:rPr>
            </w:pPr>
            <w:r>
              <w:rPr>
                <w:rFonts w:hint="eastAsia" w:ascii="Times New Roman" w:hAnsi="Times New Roman" w:eastAsia="宋体" w:cs="仿宋"/>
                <w:color w:val="auto"/>
                <w:szCs w:val="21"/>
                <w:highlight w:val="none"/>
                <w:lang w:val="en-US" w:eastAsia="zh-CN"/>
              </w:rPr>
              <w:t>投标人提供</w:t>
            </w:r>
            <w:r>
              <w:rPr>
                <w:rFonts w:hint="eastAsia" w:ascii="Times New Roman" w:hAnsi="Times New Roman" w:eastAsia="宋体" w:cs="仿宋"/>
                <w:color w:val="auto"/>
                <w:szCs w:val="21"/>
                <w:highlight w:val="none"/>
              </w:rPr>
              <w:t>针对重大活动保障、特殊季节性保洁、道路大面积污染、除雪台风暴雨等恶劣天气等环卫应急处置作业规范与质量标准</w:t>
            </w:r>
            <w:r>
              <w:rPr>
                <w:rFonts w:hint="eastAsia" w:ascii="Times New Roman" w:hAnsi="Times New Roman" w:eastAsia="宋体" w:cs="仿宋"/>
                <w:color w:val="auto"/>
                <w:szCs w:val="21"/>
                <w:highlight w:val="none"/>
                <w:lang w:val="en-US" w:eastAsia="zh-CN"/>
              </w:rPr>
              <w:t>，</w:t>
            </w:r>
            <w:r>
              <w:rPr>
                <w:rFonts w:hint="eastAsia" w:ascii="Times New Roman" w:hAnsi="Times New Roman" w:eastAsia="宋体" w:cs="仿宋"/>
                <w:color w:val="auto"/>
                <w:szCs w:val="21"/>
                <w:highlight w:val="none"/>
              </w:rPr>
              <w:t>由评委</w:t>
            </w:r>
            <w:r>
              <w:rPr>
                <w:rFonts w:hint="eastAsia" w:ascii="Times New Roman" w:hAnsi="Times New Roman" w:eastAsia="宋体" w:cs="仿宋"/>
                <w:color w:val="auto"/>
                <w:szCs w:val="21"/>
                <w:highlight w:val="none"/>
                <w:lang w:val="en-US" w:eastAsia="zh-CN"/>
              </w:rPr>
              <w:t>根据</w:t>
            </w:r>
            <w:r>
              <w:rPr>
                <w:rFonts w:hint="eastAsia" w:ascii="Times New Roman" w:hAnsi="Times New Roman" w:eastAsia="宋体" w:cs="仿宋"/>
                <w:color w:val="auto"/>
                <w:szCs w:val="21"/>
                <w:highlight w:val="none"/>
              </w:rPr>
              <w:t>内容完整</w:t>
            </w:r>
            <w:r>
              <w:rPr>
                <w:rFonts w:hint="eastAsia" w:ascii="Times New Roman" w:hAnsi="Times New Roman" w:eastAsia="宋体" w:cs="仿宋"/>
                <w:color w:val="auto"/>
                <w:szCs w:val="21"/>
                <w:highlight w:val="none"/>
                <w:lang w:val="en-US" w:eastAsia="zh-CN"/>
              </w:rPr>
              <w:t>性、</w:t>
            </w:r>
            <w:r>
              <w:rPr>
                <w:rFonts w:hint="eastAsia" w:ascii="Times New Roman" w:hAnsi="Times New Roman" w:eastAsia="宋体" w:cs="仿宋"/>
                <w:color w:val="auto"/>
                <w:szCs w:val="21"/>
                <w:highlight w:val="none"/>
              </w:rPr>
              <w:t>合理性</w:t>
            </w:r>
            <w:r>
              <w:rPr>
                <w:rFonts w:hint="eastAsia" w:ascii="Times New Roman" w:hAnsi="Times New Roman" w:eastAsia="宋体" w:cs="仿宋"/>
                <w:color w:val="auto"/>
                <w:szCs w:val="21"/>
                <w:highlight w:val="none"/>
                <w:lang w:val="en-US" w:eastAsia="zh-CN"/>
              </w:rPr>
              <w:t>等</w:t>
            </w:r>
            <w:r>
              <w:rPr>
                <w:rFonts w:hint="eastAsia" w:ascii="Times New Roman" w:hAnsi="Times New Roman" w:eastAsia="宋体" w:cs="仿宋"/>
                <w:color w:val="auto"/>
                <w:szCs w:val="21"/>
                <w:highlight w:val="none"/>
              </w:rPr>
              <w:t>酌情给分。（0-</w:t>
            </w:r>
            <w:r>
              <w:rPr>
                <w:rFonts w:hint="eastAsia" w:ascii="Times New Roman" w:hAnsi="Times New Roman" w:eastAsia="宋体" w:cs="仿宋"/>
                <w:color w:val="auto"/>
                <w:szCs w:val="21"/>
                <w:highlight w:val="none"/>
                <w:lang w:val="en-US" w:eastAsia="zh-CN"/>
              </w:rPr>
              <w:t>6</w:t>
            </w:r>
            <w:r>
              <w:rPr>
                <w:rFonts w:hint="eastAsia" w:ascii="Times New Roman" w:hAnsi="Times New Roman" w:eastAsia="宋体" w:cs="仿宋"/>
                <w:color w:val="auto"/>
                <w:szCs w:val="21"/>
                <w:highlight w:val="none"/>
              </w:rPr>
              <w:t>分）</w:t>
            </w:r>
          </w:p>
        </w:tc>
      </w:tr>
      <w:tr w14:paraId="64E297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6" w:hRule="atLeast"/>
          <w:jc w:val="center"/>
        </w:trPr>
        <w:tc>
          <w:tcPr>
            <w:tcW w:w="710" w:type="dxa"/>
            <w:vMerge w:val="restart"/>
            <w:tcBorders>
              <w:top w:val="single" w:color="auto" w:sz="4" w:space="0"/>
            </w:tcBorders>
            <w:noWrap/>
            <w:vAlign w:val="center"/>
          </w:tcPr>
          <w:p w14:paraId="063D25A6">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1476" w:type="dxa"/>
            <w:vMerge w:val="restart"/>
            <w:tcBorders>
              <w:top w:val="single" w:color="auto" w:sz="4" w:space="0"/>
            </w:tcBorders>
            <w:noWrap/>
            <w:vAlign w:val="center"/>
          </w:tcPr>
          <w:p w14:paraId="519138FC">
            <w:pPr>
              <w:widowControl/>
              <w:spacing w:line="360" w:lineRule="exact"/>
              <w:jc w:val="center"/>
              <w:rPr>
                <w:rFonts w:ascii="Times New Roman" w:hAnsi="Times New Roman" w:eastAsia="宋体" w:cs="仿宋"/>
                <w:color w:val="auto"/>
                <w:szCs w:val="21"/>
                <w:highlight w:val="none"/>
              </w:rPr>
            </w:pPr>
            <w:r>
              <w:rPr>
                <w:rFonts w:hint="eastAsia" w:ascii="宋体" w:hAnsi="宋体" w:eastAsia="宋体" w:cs="宋体"/>
                <w:b w:val="0"/>
                <w:bCs/>
                <w:color w:val="auto"/>
                <w:sz w:val="21"/>
                <w:szCs w:val="21"/>
                <w:highlight w:val="none"/>
              </w:rPr>
              <w:t>针对本项目实际情况的详细的清扫和巡回保洁作业方案</w:t>
            </w:r>
          </w:p>
        </w:tc>
        <w:tc>
          <w:tcPr>
            <w:tcW w:w="1730" w:type="dxa"/>
            <w:tcBorders>
              <w:top w:val="single" w:color="auto" w:sz="4" w:space="0"/>
            </w:tcBorders>
            <w:noWrap/>
            <w:vAlign w:val="center"/>
          </w:tcPr>
          <w:p w14:paraId="29FEA546">
            <w:pPr>
              <w:widowControl/>
              <w:adjustRightInd w:val="0"/>
              <w:snapToGrid w:val="0"/>
              <w:spacing w:line="312"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0-4分</w:t>
            </w:r>
          </w:p>
          <w:p w14:paraId="6815EE33">
            <w:pPr>
              <w:widowControl/>
              <w:adjustRightInd w:val="0"/>
              <w:snapToGrid w:val="0"/>
              <w:spacing w:line="312"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c>
          <w:tcPr>
            <w:tcW w:w="4800" w:type="dxa"/>
            <w:noWrap/>
            <w:vAlign w:val="center"/>
          </w:tcPr>
          <w:p w14:paraId="36D2BE1A">
            <w:pPr>
              <w:spacing w:line="400" w:lineRule="exact"/>
              <w:ind w:left="105" w:leftChars="50" w:right="105" w:rightChars="50"/>
              <w:rPr>
                <w:rFonts w:hint="eastAsia" w:ascii="Times New Roman" w:hAnsi="Times New Roman" w:eastAsia="宋体" w:cs="仿宋"/>
                <w:color w:val="auto"/>
                <w:szCs w:val="21"/>
                <w:highlight w:val="none"/>
                <w:lang w:val="en-US" w:eastAsia="zh-CN"/>
              </w:rPr>
            </w:pPr>
            <w:r>
              <w:rPr>
                <w:rFonts w:hint="eastAsia" w:ascii="Times New Roman" w:hAnsi="Times New Roman" w:eastAsia="宋体" w:cs="仿宋"/>
                <w:color w:val="auto"/>
                <w:szCs w:val="21"/>
                <w:highlight w:val="none"/>
                <w:lang w:val="en-US" w:eastAsia="zh-CN"/>
              </w:rPr>
              <w:t>投标人提供</w:t>
            </w:r>
            <w:r>
              <w:rPr>
                <w:rFonts w:hint="eastAsia" w:ascii="Times New Roman" w:hAnsi="Times New Roman" w:eastAsia="宋体" w:cs="仿宋"/>
                <w:color w:val="auto"/>
                <w:szCs w:val="21"/>
                <w:highlight w:val="none"/>
                <w:lang w:val="zh-CN"/>
              </w:rPr>
              <w:t>工作量</w:t>
            </w:r>
            <w:r>
              <w:rPr>
                <w:rFonts w:hint="eastAsia" w:ascii="Times New Roman" w:hAnsi="Times New Roman" w:eastAsia="宋体" w:cs="仿宋"/>
                <w:color w:val="auto"/>
                <w:szCs w:val="21"/>
                <w:highlight w:val="none"/>
              </w:rPr>
              <w:t>区域配置及保洁方式</w:t>
            </w:r>
            <w:r>
              <w:rPr>
                <w:rFonts w:hint="eastAsia" w:ascii="Times New Roman" w:hAnsi="Times New Roman" w:eastAsia="宋体" w:cs="仿宋"/>
                <w:color w:val="auto"/>
                <w:szCs w:val="21"/>
                <w:highlight w:val="none"/>
                <w:lang w:val="en-US" w:eastAsia="zh-CN"/>
              </w:rPr>
              <w:t>，</w:t>
            </w:r>
            <w:r>
              <w:rPr>
                <w:rFonts w:hint="eastAsia" w:ascii="Times New Roman" w:hAnsi="Times New Roman" w:eastAsia="宋体" w:cs="仿宋"/>
                <w:color w:val="auto"/>
                <w:szCs w:val="21"/>
                <w:highlight w:val="none"/>
              </w:rPr>
              <w:t>由评委</w:t>
            </w:r>
            <w:r>
              <w:rPr>
                <w:rFonts w:hint="eastAsia" w:ascii="Times New Roman" w:hAnsi="Times New Roman" w:eastAsia="宋体" w:cs="仿宋"/>
                <w:color w:val="auto"/>
                <w:szCs w:val="21"/>
                <w:highlight w:val="none"/>
                <w:lang w:val="en-US" w:eastAsia="zh-CN"/>
              </w:rPr>
              <w:t>根据</w:t>
            </w:r>
            <w:r>
              <w:rPr>
                <w:rFonts w:hint="eastAsia" w:ascii="Times New Roman" w:hAnsi="Times New Roman" w:eastAsia="宋体" w:cs="仿宋"/>
                <w:color w:val="auto"/>
                <w:szCs w:val="21"/>
                <w:highlight w:val="none"/>
              </w:rPr>
              <w:t>内容完整</w:t>
            </w:r>
            <w:r>
              <w:rPr>
                <w:rFonts w:hint="eastAsia" w:ascii="Times New Roman" w:hAnsi="Times New Roman" w:eastAsia="宋体" w:cs="仿宋"/>
                <w:color w:val="auto"/>
                <w:szCs w:val="21"/>
                <w:highlight w:val="none"/>
                <w:lang w:val="en-US" w:eastAsia="zh-CN"/>
              </w:rPr>
              <w:t>性、</w:t>
            </w:r>
            <w:r>
              <w:rPr>
                <w:rFonts w:hint="eastAsia" w:ascii="Times New Roman" w:hAnsi="Times New Roman" w:eastAsia="宋体" w:cs="仿宋"/>
                <w:color w:val="auto"/>
                <w:szCs w:val="21"/>
                <w:highlight w:val="none"/>
              </w:rPr>
              <w:t>合理性</w:t>
            </w:r>
            <w:r>
              <w:rPr>
                <w:rFonts w:hint="eastAsia" w:ascii="Times New Roman" w:hAnsi="Times New Roman" w:eastAsia="宋体" w:cs="仿宋"/>
                <w:color w:val="auto"/>
                <w:szCs w:val="21"/>
                <w:highlight w:val="none"/>
                <w:lang w:val="en-US" w:eastAsia="zh-CN"/>
              </w:rPr>
              <w:t>等</w:t>
            </w:r>
            <w:r>
              <w:rPr>
                <w:rFonts w:hint="eastAsia" w:ascii="Times New Roman" w:hAnsi="Times New Roman" w:eastAsia="宋体" w:cs="仿宋"/>
                <w:color w:val="auto"/>
                <w:szCs w:val="21"/>
                <w:highlight w:val="none"/>
              </w:rPr>
              <w:t>酌情给分。（0-</w:t>
            </w:r>
            <w:r>
              <w:rPr>
                <w:rFonts w:hint="eastAsia" w:ascii="Times New Roman" w:hAnsi="Times New Roman" w:eastAsia="宋体" w:cs="仿宋"/>
                <w:color w:val="auto"/>
                <w:szCs w:val="21"/>
                <w:highlight w:val="none"/>
                <w:lang w:val="en-US" w:eastAsia="zh-CN"/>
              </w:rPr>
              <w:t>4</w:t>
            </w:r>
            <w:r>
              <w:rPr>
                <w:rFonts w:hint="eastAsia" w:ascii="Times New Roman" w:hAnsi="Times New Roman" w:eastAsia="宋体" w:cs="仿宋"/>
                <w:color w:val="auto"/>
                <w:szCs w:val="21"/>
                <w:highlight w:val="none"/>
              </w:rPr>
              <w:t>分）</w:t>
            </w:r>
          </w:p>
        </w:tc>
      </w:tr>
      <w:tr w14:paraId="47658B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6" w:hRule="atLeast"/>
          <w:jc w:val="center"/>
        </w:trPr>
        <w:tc>
          <w:tcPr>
            <w:tcW w:w="710" w:type="dxa"/>
            <w:vMerge w:val="continue"/>
            <w:noWrap/>
            <w:vAlign w:val="center"/>
          </w:tcPr>
          <w:p w14:paraId="0BFF0E7B">
            <w:pPr>
              <w:widowControl/>
              <w:adjustRightInd w:val="0"/>
              <w:snapToGrid w:val="0"/>
              <w:spacing w:line="312" w:lineRule="auto"/>
              <w:jc w:val="center"/>
              <w:rPr>
                <w:rFonts w:ascii="Times New Roman" w:hAnsi="Times New Roman" w:eastAsia="宋体" w:cs="Times New Roman"/>
                <w:color w:val="auto"/>
                <w:kern w:val="2"/>
                <w:sz w:val="21"/>
                <w:szCs w:val="24"/>
                <w:highlight w:val="none"/>
                <w:lang w:val="en-US" w:eastAsia="zh-CN" w:bidi="ar-SA"/>
              </w:rPr>
            </w:pPr>
          </w:p>
        </w:tc>
        <w:tc>
          <w:tcPr>
            <w:tcW w:w="1476" w:type="dxa"/>
            <w:vMerge w:val="continue"/>
            <w:noWrap/>
            <w:vAlign w:val="center"/>
          </w:tcPr>
          <w:p w14:paraId="4A50E604">
            <w:pPr>
              <w:widowControl/>
              <w:adjustRightInd w:val="0"/>
              <w:snapToGrid w:val="0"/>
              <w:spacing w:line="312" w:lineRule="auto"/>
              <w:jc w:val="center"/>
              <w:rPr>
                <w:rFonts w:ascii="Times New Roman" w:hAnsi="Times New Roman" w:eastAsia="宋体" w:cs="Times New Roman"/>
                <w:color w:val="auto"/>
                <w:kern w:val="2"/>
                <w:sz w:val="21"/>
                <w:szCs w:val="24"/>
                <w:highlight w:val="none"/>
                <w:lang w:val="en-US" w:eastAsia="zh-CN" w:bidi="ar-SA"/>
              </w:rPr>
            </w:pPr>
          </w:p>
        </w:tc>
        <w:tc>
          <w:tcPr>
            <w:tcW w:w="1730" w:type="dxa"/>
            <w:tcBorders>
              <w:top w:val="single" w:color="auto" w:sz="4" w:space="0"/>
            </w:tcBorders>
            <w:noWrap/>
            <w:vAlign w:val="center"/>
          </w:tcPr>
          <w:p w14:paraId="53896A1D">
            <w:pPr>
              <w:widowControl/>
              <w:adjustRightInd w:val="0"/>
              <w:snapToGrid w:val="0"/>
              <w:spacing w:line="312"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0-4分</w:t>
            </w:r>
          </w:p>
          <w:p w14:paraId="35608F9B">
            <w:pPr>
              <w:widowControl/>
              <w:adjustRightInd w:val="0"/>
              <w:snapToGrid w:val="0"/>
              <w:spacing w:line="312" w:lineRule="auto"/>
              <w:jc w:val="center"/>
              <w:rPr>
                <w:rFonts w:ascii="Times New Roman" w:hAnsi="Times New Roman" w:eastAsia="宋体" w:cs="仿宋"/>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c>
          <w:tcPr>
            <w:tcW w:w="4800" w:type="dxa"/>
            <w:noWrap/>
            <w:vAlign w:val="center"/>
          </w:tcPr>
          <w:p w14:paraId="769EE2B8">
            <w:pPr>
              <w:spacing w:line="400" w:lineRule="exact"/>
              <w:ind w:left="105" w:leftChars="50" w:right="105" w:rightChars="50"/>
              <w:rPr>
                <w:rFonts w:hint="eastAsia" w:ascii="Times New Roman" w:hAnsi="Times New Roman" w:eastAsia="宋体" w:cs="仿宋"/>
                <w:color w:val="auto"/>
                <w:szCs w:val="21"/>
                <w:highlight w:val="none"/>
                <w:lang w:eastAsia="zh-CN"/>
              </w:rPr>
            </w:pPr>
            <w:r>
              <w:rPr>
                <w:rFonts w:hint="eastAsia" w:ascii="Times New Roman" w:hAnsi="Times New Roman" w:eastAsia="宋体" w:cs="仿宋"/>
                <w:color w:val="auto"/>
                <w:szCs w:val="21"/>
                <w:highlight w:val="none"/>
                <w:lang w:val="en-US" w:eastAsia="zh-CN"/>
              </w:rPr>
              <w:t>投标人提供合理的</w:t>
            </w:r>
            <w:r>
              <w:rPr>
                <w:rFonts w:hint="eastAsia" w:ascii="Times New Roman" w:hAnsi="Times New Roman" w:eastAsia="宋体" w:cs="仿宋"/>
                <w:color w:val="auto"/>
                <w:szCs w:val="21"/>
                <w:highlight w:val="none"/>
              </w:rPr>
              <w:t>道路洒水线路</w:t>
            </w:r>
            <w:r>
              <w:rPr>
                <w:rFonts w:hint="eastAsia" w:ascii="Times New Roman" w:hAnsi="Times New Roman" w:eastAsia="宋体" w:cs="仿宋"/>
                <w:color w:val="auto"/>
                <w:szCs w:val="21"/>
                <w:highlight w:val="none"/>
                <w:lang w:val="en-US" w:eastAsia="zh-CN"/>
              </w:rPr>
              <w:t>，</w:t>
            </w:r>
            <w:r>
              <w:rPr>
                <w:rFonts w:hint="eastAsia" w:ascii="Times New Roman" w:hAnsi="Times New Roman" w:eastAsia="宋体" w:cs="仿宋"/>
                <w:color w:val="auto"/>
                <w:szCs w:val="21"/>
                <w:highlight w:val="none"/>
              </w:rPr>
              <w:t>由评委</w:t>
            </w:r>
            <w:r>
              <w:rPr>
                <w:rFonts w:hint="eastAsia" w:ascii="Times New Roman" w:hAnsi="Times New Roman" w:eastAsia="宋体" w:cs="仿宋"/>
                <w:color w:val="auto"/>
                <w:szCs w:val="21"/>
                <w:highlight w:val="none"/>
                <w:lang w:val="en-US" w:eastAsia="zh-CN"/>
              </w:rPr>
              <w:t>根据</w:t>
            </w:r>
            <w:r>
              <w:rPr>
                <w:rFonts w:hint="eastAsia" w:ascii="Times New Roman" w:hAnsi="Times New Roman" w:eastAsia="宋体" w:cs="仿宋"/>
                <w:color w:val="auto"/>
                <w:szCs w:val="21"/>
                <w:highlight w:val="none"/>
              </w:rPr>
              <w:t>内容完整</w:t>
            </w:r>
            <w:r>
              <w:rPr>
                <w:rFonts w:hint="eastAsia" w:ascii="Times New Roman" w:hAnsi="Times New Roman" w:eastAsia="宋体" w:cs="仿宋"/>
                <w:color w:val="auto"/>
                <w:szCs w:val="21"/>
                <w:highlight w:val="none"/>
                <w:lang w:val="en-US" w:eastAsia="zh-CN"/>
              </w:rPr>
              <w:t>性、</w:t>
            </w:r>
            <w:r>
              <w:rPr>
                <w:rFonts w:hint="eastAsia" w:ascii="Times New Roman" w:hAnsi="Times New Roman" w:eastAsia="宋体" w:cs="仿宋"/>
                <w:color w:val="auto"/>
                <w:szCs w:val="21"/>
                <w:highlight w:val="none"/>
              </w:rPr>
              <w:t>合理性</w:t>
            </w:r>
            <w:r>
              <w:rPr>
                <w:rFonts w:hint="eastAsia" w:ascii="Times New Roman" w:hAnsi="Times New Roman" w:eastAsia="宋体" w:cs="仿宋"/>
                <w:color w:val="auto"/>
                <w:szCs w:val="21"/>
                <w:highlight w:val="none"/>
                <w:lang w:val="en-US" w:eastAsia="zh-CN"/>
              </w:rPr>
              <w:t>等</w:t>
            </w:r>
            <w:r>
              <w:rPr>
                <w:rFonts w:hint="eastAsia" w:ascii="Times New Roman" w:hAnsi="Times New Roman" w:eastAsia="宋体" w:cs="仿宋"/>
                <w:color w:val="auto"/>
                <w:szCs w:val="21"/>
                <w:highlight w:val="none"/>
              </w:rPr>
              <w:t>酌情给分。（0-</w:t>
            </w:r>
            <w:r>
              <w:rPr>
                <w:rFonts w:hint="eastAsia" w:ascii="Times New Roman" w:hAnsi="Times New Roman" w:eastAsia="宋体" w:cs="仿宋"/>
                <w:color w:val="auto"/>
                <w:szCs w:val="21"/>
                <w:highlight w:val="none"/>
                <w:lang w:val="en-US" w:eastAsia="zh-CN"/>
              </w:rPr>
              <w:t>4</w:t>
            </w:r>
            <w:r>
              <w:rPr>
                <w:rFonts w:hint="eastAsia" w:ascii="Times New Roman" w:hAnsi="Times New Roman" w:eastAsia="宋体" w:cs="仿宋"/>
                <w:color w:val="auto"/>
                <w:szCs w:val="21"/>
                <w:highlight w:val="none"/>
              </w:rPr>
              <w:t>分）</w:t>
            </w:r>
          </w:p>
        </w:tc>
      </w:tr>
      <w:tr w14:paraId="0AF052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6" w:hRule="atLeast"/>
          <w:jc w:val="center"/>
        </w:trPr>
        <w:tc>
          <w:tcPr>
            <w:tcW w:w="710" w:type="dxa"/>
            <w:vMerge w:val="continue"/>
            <w:noWrap/>
            <w:vAlign w:val="center"/>
          </w:tcPr>
          <w:p w14:paraId="7368B8A0">
            <w:pPr>
              <w:widowControl/>
              <w:adjustRightInd w:val="0"/>
              <w:snapToGrid w:val="0"/>
              <w:spacing w:line="312" w:lineRule="auto"/>
              <w:jc w:val="center"/>
              <w:rPr>
                <w:rFonts w:ascii="Times New Roman" w:hAnsi="Times New Roman" w:eastAsia="宋体" w:cs="仿宋"/>
                <w:color w:val="auto"/>
                <w:kern w:val="2"/>
                <w:sz w:val="21"/>
                <w:szCs w:val="21"/>
                <w:highlight w:val="none"/>
                <w:lang w:val="en-US" w:eastAsia="zh-CN" w:bidi="ar-SA"/>
              </w:rPr>
            </w:pPr>
          </w:p>
        </w:tc>
        <w:tc>
          <w:tcPr>
            <w:tcW w:w="1476" w:type="dxa"/>
            <w:vMerge w:val="continue"/>
            <w:noWrap/>
            <w:vAlign w:val="center"/>
          </w:tcPr>
          <w:p w14:paraId="156DD46F">
            <w:pPr>
              <w:widowControl/>
              <w:adjustRightInd w:val="0"/>
              <w:snapToGrid w:val="0"/>
              <w:spacing w:line="312" w:lineRule="auto"/>
              <w:jc w:val="center"/>
              <w:rPr>
                <w:rFonts w:ascii="Times New Roman" w:hAnsi="Times New Roman" w:eastAsia="宋体" w:cs="仿宋"/>
                <w:color w:val="auto"/>
                <w:kern w:val="2"/>
                <w:sz w:val="21"/>
                <w:szCs w:val="21"/>
                <w:highlight w:val="none"/>
                <w:lang w:val="en-US" w:eastAsia="zh-CN" w:bidi="ar-SA"/>
              </w:rPr>
            </w:pPr>
          </w:p>
        </w:tc>
        <w:tc>
          <w:tcPr>
            <w:tcW w:w="1730" w:type="dxa"/>
            <w:tcBorders>
              <w:top w:val="single" w:color="auto" w:sz="4" w:space="0"/>
            </w:tcBorders>
            <w:noWrap/>
            <w:vAlign w:val="center"/>
          </w:tcPr>
          <w:p w14:paraId="39AD34A8">
            <w:pPr>
              <w:widowControl/>
              <w:adjustRightInd w:val="0"/>
              <w:snapToGrid w:val="0"/>
              <w:spacing w:line="312"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0-4分</w:t>
            </w:r>
          </w:p>
          <w:p w14:paraId="7D68B82D">
            <w:pPr>
              <w:widowControl/>
              <w:jc w:val="center"/>
              <w:rPr>
                <w:rFonts w:ascii="Times New Roman" w:hAnsi="Times New Roman" w:eastAsia="宋体" w:cs="仿宋"/>
                <w:color w:val="auto"/>
                <w:szCs w:val="21"/>
                <w:highlight w:val="none"/>
              </w:rPr>
            </w:pPr>
            <w:r>
              <w:rPr>
                <w:rFonts w:hint="eastAsia" w:ascii="宋体" w:hAnsi="宋体" w:eastAsia="宋体" w:cs="宋体"/>
                <w:color w:val="auto"/>
                <w:kern w:val="2"/>
                <w:sz w:val="21"/>
                <w:szCs w:val="21"/>
                <w:highlight w:val="none"/>
                <w:lang w:val="en-US" w:eastAsia="zh-CN" w:bidi="ar-SA"/>
              </w:rPr>
              <w:t>（主观分)</w:t>
            </w:r>
          </w:p>
        </w:tc>
        <w:tc>
          <w:tcPr>
            <w:tcW w:w="4800" w:type="dxa"/>
            <w:noWrap/>
            <w:vAlign w:val="center"/>
          </w:tcPr>
          <w:p w14:paraId="27CA0847">
            <w:pPr>
              <w:spacing w:line="400" w:lineRule="exact"/>
              <w:ind w:left="105" w:leftChars="50" w:right="105" w:rightChars="50"/>
              <w:rPr>
                <w:rFonts w:hint="eastAsia" w:ascii="Times New Roman" w:hAnsi="Times New Roman" w:eastAsia="宋体" w:cs="仿宋"/>
                <w:color w:val="auto"/>
                <w:szCs w:val="21"/>
                <w:highlight w:val="none"/>
                <w:lang w:val="en-US" w:eastAsia="zh-CN"/>
              </w:rPr>
            </w:pPr>
            <w:r>
              <w:rPr>
                <w:rFonts w:hint="eastAsia" w:ascii="Times New Roman" w:hAnsi="Times New Roman" w:eastAsia="宋体" w:cs="仿宋"/>
                <w:color w:val="auto"/>
                <w:szCs w:val="21"/>
                <w:highlight w:val="none"/>
                <w:lang w:val="en-US" w:eastAsia="zh-CN"/>
              </w:rPr>
              <w:t>投标人提供</w:t>
            </w:r>
            <w:r>
              <w:rPr>
                <w:rFonts w:hint="eastAsia" w:ascii="Times New Roman" w:hAnsi="Times New Roman" w:eastAsia="宋体" w:cs="仿宋"/>
                <w:color w:val="auto"/>
                <w:szCs w:val="21"/>
                <w:highlight w:val="none"/>
              </w:rPr>
              <w:t>保洁时段安排的合理性</w:t>
            </w:r>
            <w:r>
              <w:rPr>
                <w:rFonts w:hint="eastAsia" w:ascii="Times New Roman" w:hAnsi="Times New Roman" w:eastAsia="宋体" w:cs="仿宋"/>
                <w:color w:val="auto"/>
                <w:szCs w:val="21"/>
                <w:highlight w:val="none"/>
                <w:lang w:val="en-US" w:eastAsia="zh-CN"/>
              </w:rPr>
              <w:t>，</w:t>
            </w:r>
            <w:r>
              <w:rPr>
                <w:rFonts w:hint="eastAsia" w:ascii="Times New Roman" w:hAnsi="Times New Roman" w:eastAsia="宋体" w:cs="仿宋"/>
                <w:color w:val="auto"/>
                <w:szCs w:val="21"/>
                <w:highlight w:val="none"/>
              </w:rPr>
              <w:t>由评委</w:t>
            </w:r>
            <w:r>
              <w:rPr>
                <w:rFonts w:hint="eastAsia" w:ascii="Times New Roman" w:hAnsi="Times New Roman" w:eastAsia="宋体" w:cs="仿宋"/>
                <w:color w:val="auto"/>
                <w:szCs w:val="21"/>
                <w:highlight w:val="none"/>
                <w:lang w:val="en-US" w:eastAsia="zh-CN"/>
              </w:rPr>
              <w:t>根据</w:t>
            </w:r>
            <w:r>
              <w:rPr>
                <w:rFonts w:hint="eastAsia" w:ascii="Times New Roman" w:hAnsi="Times New Roman" w:eastAsia="宋体" w:cs="仿宋"/>
                <w:color w:val="auto"/>
                <w:szCs w:val="21"/>
                <w:highlight w:val="none"/>
              </w:rPr>
              <w:t>内容完整</w:t>
            </w:r>
            <w:r>
              <w:rPr>
                <w:rFonts w:hint="eastAsia" w:ascii="Times New Roman" w:hAnsi="Times New Roman" w:eastAsia="宋体" w:cs="仿宋"/>
                <w:color w:val="auto"/>
                <w:szCs w:val="21"/>
                <w:highlight w:val="none"/>
                <w:lang w:val="en-US" w:eastAsia="zh-CN"/>
              </w:rPr>
              <w:t>性、</w:t>
            </w:r>
            <w:r>
              <w:rPr>
                <w:rFonts w:hint="eastAsia" w:ascii="Times New Roman" w:hAnsi="Times New Roman" w:eastAsia="宋体" w:cs="仿宋"/>
                <w:color w:val="auto"/>
                <w:szCs w:val="21"/>
                <w:highlight w:val="none"/>
              </w:rPr>
              <w:t>合理性</w:t>
            </w:r>
            <w:r>
              <w:rPr>
                <w:rFonts w:hint="eastAsia" w:ascii="Times New Roman" w:hAnsi="Times New Roman" w:eastAsia="宋体" w:cs="仿宋"/>
                <w:color w:val="auto"/>
                <w:szCs w:val="21"/>
                <w:highlight w:val="none"/>
                <w:lang w:val="en-US" w:eastAsia="zh-CN"/>
              </w:rPr>
              <w:t>等</w:t>
            </w:r>
            <w:r>
              <w:rPr>
                <w:rFonts w:hint="eastAsia" w:ascii="Times New Roman" w:hAnsi="Times New Roman" w:eastAsia="宋体" w:cs="仿宋"/>
                <w:color w:val="auto"/>
                <w:szCs w:val="21"/>
                <w:highlight w:val="none"/>
              </w:rPr>
              <w:t>酌情给分。（0-</w:t>
            </w:r>
            <w:r>
              <w:rPr>
                <w:rFonts w:hint="eastAsia" w:ascii="Times New Roman" w:hAnsi="Times New Roman" w:eastAsia="宋体" w:cs="仿宋"/>
                <w:color w:val="auto"/>
                <w:szCs w:val="21"/>
                <w:highlight w:val="none"/>
                <w:lang w:val="en-US" w:eastAsia="zh-CN"/>
              </w:rPr>
              <w:t>4</w:t>
            </w:r>
            <w:r>
              <w:rPr>
                <w:rFonts w:hint="eastAsia" w:ascii="Times New Roman" w:hAnsi="Times New Roman" w:eastAsia="宋体" w:cs="仿宋"/>
                <w:color w:val="auto"/>
                <w:szCs w:val="21"/>
                <w:highlight w:val="none"/>
              </w:rPr>
              <w:t>分）</w:t>
            </w:r>
          </w:p>
        </w:tc>
      </w:tr>
      <w:tr w14:paraId="04501B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 w:hRule="atLeast"/>
          <w:jc w:val="center"/>
        </w:trPr>
        <w:tc>
          <w:tcPr>
            <w:tcW w:w="710" w:type="dxa"/>
            <w:tcBorders>
              <w:top w:val="single" w:color="auto" w:sz="4" w:space="0"/>
            </w:tcBorders>
            <w:noWrap/>
            <w:vAlign w:val="center"/>
          </w:tcPr>
          <w:p w14:paraId="0472A84B">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1476" w:type="dxa"/>
            <w:tcBorders>
              <w:top w:val="single" w:color="auto" w:sz="4" w:space="0"/>
            </w:tcBorders>
            <w:noWrap/>
            <w:vAlign w:val="center"/>
          </w:tcPr>
          <w:p w14:paraId="6003040B">
            <w:pPr>
              <w:widowControl/>
              <w:spacing w:line="360" w:lineRule="exact"/>
              <w:jc w:val="center"/>
              <w:rPr>
                <w:rFonts w:ascii="Times New Roman" w:hAnsi="Times New Roman" w:eastAsia="宋体" w:cs="仿宋"/>
                <w:b w:val="0"/>
                <w:bCs/>
                <w:color w:val="auto"/>
                <w:sz w:val="21"/>
                <w:szCs w:val="21"/>
                <w:highlight w:val="none"/>
              </w:rPr>
            </w:pPr>
            <w:r>
              <w:rPr>
                <w:rFonts w:hint="eastAsia" w:ascii="宋体" w:hAnsi="宋体" w:eastAsia="宋体" w:cs="宋体"/>
                <w:b w:val="0"/>
                <w:bCs/>
                <w:color w:val="auto"/>
                <w:sz w:val="21"/>
                <w:szCs w:val="21"/>
                <w:highlight w:val="none"/>
                <w:lang w:val="zh-CN"/>
              </w:rPr>
              <w:t>合理化</w:t>
            </w:r>
            <w:r>
              <w:rPr>
                <w:rFonts w:hint="eastAsia" w:ascii="宋体" w:hAnsi="宋体" w:eastAsia="宋体" w:cs="宋体"/>
                <w:b w:val="0"/>
                <w:bCs/>
                <w:color w:val="auto"/>
                <w:sz w:val="21"/>
                <w:szCs w:val="21"/>
                <w:highlight w:val="none"/>
              </w:rPr>
              <w:t>建议</w:t>
            </w:r>
          </w:p>
        </w:tc>
        <w:tc>
          <w:tcPr>
            <w:tcW w:w="1730" w:type="dxa"/>
            <w:tcBorders>
              <w:top w:val="single" w:color="auto" w:sz="4" w:space="0"/>
            </w:tcBorders>
            <w:noWrap/>
            <w:vAlign w:val="center"/>
          </w:tcPr>
          <w:p w14:paraId="3082918B">
            <w:pPr>
              <w:widowControl/>
              <w:adjustRightInd w:val="0"/>
              <w:snapToGrid w:val="0"/>
              <w:spacing w:line="312"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0-4分</w:t>
            </w:r>
          </w:p>
          <w:p w14:paraId="64184E32">
            <w:pPr>
              <w:widowControl/>
              <w:adjustRightInd w:val="0"/>
              <w:snapToGrid w:val="0"/>
              <w:spacing w:line="312" w:lineRule="auto"/>
              <w:jc w:val="center"/>
              <w:rPr>
                <w:rFonts w:ascii="Times New Roman" w:hAnsi="Times New Roman" w:eastAsia="宋体" w:cs="仿宋"/>
                <w:b w:val="0"/>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c>
          <w:tcPr>
            <w:tcW w:w="4800" w:type="dxa"/>
            <w:noWrap/>
            <w:vAlign w:val="center"/>
          </w:tcPr>
          <w:p w14:paraId="28FD2D71">
            <w:pPr>
              <w:widowControl w:val="0"/>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按照本项目的性质特点提出目标和建议、现场作业的重点难点等进行的描述和分析，方案总体思路清晰；有针对性、科学性、可操作性、合理性打分（0-4.0分）。未提供的不得分。</w:t>
            </w:r>
          </w:p>
        </w:tc>
      </w:tr>
      <w:tr w14:paraId="685C27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 w:hRule="atLeast"/>
          <w:jc w:val="center"/>
        </w:trPr>
        <w:tc>
          <w:tcPr>
            <w:tcW w:w="710" w:type="dxa"/>
            <w:tcBorders>
              <w:top w:val="single" w:color="auto" w:sz="4" w:space="0"/>
            </w:tcBorders>
            <w:noWrap/>
            <w:vAlign w:val="center"/>
          </w:tcPr>
          <w:p w14:paraId="6A74E933">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476" w:type="dxa"/>
            <w:tcBorders>
              <w:top w:val="single" w:color="auto" w:sz="4" w:space="0"/>
            </w:tcBorders>
            <w:noWrap/>
            <w:vAlign w:val="center"/>
          </w:tcPr>
          <w:p w14:paraId="02CA97E5">
            <w:pPr>
              <w:widowControl/>
              <w:spacing w:line="360" w:lineRule="exact"/>
              <w:jc w:val="center"/>
              <w:rPr>
                <w:rFonts w:hint="default"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eastAsia="zh-CN"/>
              </w:rPr>
              <w:t>安全生产</w:t>
            </w:r>
          </w:p>
        </w:tc>
        <w:tc>
          <w:tcPr>
            <w:tcW w:w="1730" w:type="dxa"/>
            <w:tcBorders>
              <w:top w:val="single" w:color="auto" w:sz="4" w:space="0"/>
            </w:tcBorders>
            <w:noWrap/>
            <w:vAlign w:val="center"/>
          </w:tcPr>
          <w:p w14:paraId="20BA55AC">
            <w:pPr>
              <w:widowControl/>
              <w:spacing w:line="360" w:lineRule="exact"/>
              <w:jc w:val="center"/>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0-</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zh-CN"/>
              </w:rPr>
              <w:t>分</w:t>
            </w:r>
          </w:p>
          <w:p w14:paraId="0DB5D946">
            <w:pPr>
              <w:widowControl/>
              <w:spacing w:line="360" w:lineRule="exact"/>
              <w:jc w:val="center"/>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en-US" w:eastAsia="zh-CN"/>
              </w:rPr>
              <w:t>（主观分)</w:t>
            </w:r>
          </w:p>
        </w:tc>
        <w:tc>
          <w:tcPr>
            <w:tcW w:w="4800" w:type="dxa"/>
            <w:noWrap/>
            <w:vAlign w:val="center"/>
          </w:tcPr>
          <w:p w14:paraId="21AAC2BF">
            <w:pPr>
              <w:widowControl/>
              <w:spacing w:line="360" w:lineRule="exact"/>
              <w:jc w:val="left"/>
              <w:rPr>
                <w:rFonts w:hint="eastAsia" w:ascii="宋体" w:hAnsi="宋体" w:eastAsia="宋体" w:cs="宋体"/>
                <w:b w:val="0"/>
                <w:bCs/>
                <w:color w:val="auto"/>
                <w:sz w:val="21"/>
                <w:szCs w:val="21"/>
                <w:highlight w:val="none"/>
                <w:lang w:val="zh-CN"/>
              </w:rPr>
            </w:pPr>
            <w:r>
              <w:rPr>
                <w:rFonts w:hint="eastAsia" w:ascii="宋体" w:hAnsi="宋体" w:eastAsia="宋体" w:cs="宋体"/>
                <w:b w:val="0"/>
                <w:bCs w:val="0"/>
                <w:color w:val="auto"/>
                <w:kern w:val="2"/>
                <w:sz w:val="21"/>
                <w:szCs w:val="21"/>
                <w:highlight w:val="none"/>
                <w:lang w:val="en-US" w:eastAsia="zh-CN" w:bidi="ar-SA"/>
              </w:rPr>
              <w:t>投标人提供以下</w:t>
            </w:r>
            <w:r>
              <w:rPr>
                <w:rFonts w:hint="eastAsia" w:ascii="宋体" w:hAnsi="宋体" w:eastAsia="宋体" w:cs="宋体"/>
                <w:b w:val="0"/>
                <w:bCs/>
                <w:color w:val="auto"/>
                <w:sz w:val="21"/>
                <w:szCs w:val="21"/>
                <w:highlight w:val="none"/>
                <w:lang w:val="zh-CN"/>
              </w:rPr>
              <w:t>安全生产</w:t>
            </w:r>
            <w:r>
              <w:rPr>
                <w:rFonts w:hint="eastAsia" w:ascii="宋体" w:hAnsi="宋体" w:eastAsia="宋体" w:cs="宋体"/>
                <w:b w:val="0"/>
                <w:bCs/>
                <w:color w:val="auto"/>
                <w:sz w:val="21"/>
                <w:szCs w:val="21"/>
                <w:highlight w:val="none"/>
                <w:lang w:val="en-US" w:eastAsia="zh-CN"/>
              </w:rPr>
              <w:t>相关制度</w:t>
            </w:r>
          </w:p>
          <w:p w14:paraId="3CF5F8FC">
            <w:pPr>
              <w:widowControl/>
              <w:spacing w:line="360" w:lineRule="exact"/>
              <w:jc w:val="both"/>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①作业人员、现场管理员安全教育（0</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rPr>
              <w:t>1分）；</w:t>
            </w:r>
          </w:p>
          <w:p w14:paraId="794B702C">
            <w:pPr>
              <w:widowControl/>
              <w:spacing w:line="360" w:lineRule="exact"/>
              <w:jc w:val="center"/>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②作业人员劳动保护及安全生产措施（0</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rPr>
              <w:t>1分）；</w:t>
            </w:r>
          </w:p>
          <w:p w14:paraId="79AB1263">
            <w:pPr>
              <w:widowControl/>
              <w:spacing w:line="360" w:lineRule="exact"/>
              <w:jc w:val="both"/>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③安全生产管理网络及管理制度（0</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rPr>
              <w:t>1分）；</w:t>
            </w:r>
          </w:p>
          <w:p w14:paraId="52AD1E1E">
            <w:pPr>
              <w:widowControl/>
              <w:spacing w:line="360" w:lineRule="exact"/>
              <w:jc w:val="center"/>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④重大活动、节假日保洁及意外事件（交通事故、自然灾害、卫生防疫等）应急预案（0</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rPr>
              <w:t>1分）；</w:t>
            </w:r>
          </w:p>
          <w:p w14:paraId="6355C727">
            <w:pPr>
              <w:widowControl/>
              <w:spacing w:line="360" w:lineRule="exact"/>
              <w:jc w:val="center"/>
              <w:rPr>
                <w:rFonts w:hint="eastAsia" w:ascii="宋体" w:hAnsi="宋体" w:eastAsia="宋体" w:cs="宋体"/>
                <w:b w:val="0"/>
                <w:bCs/>
                <w:color w:val="auto"/>
                <w:sz w:val="21"/>
                <w:szCs w:val="21"/>
                <w:highlight w:val="none"/>
                <w:lang w:val="zh-CN"/>
              </w:rPr>
            </w:pPr>
            <w:r>
              <w:rPr>
                <w:rFonts w:hint="eastAsia" w:ascii="宋体" w:hAnsi="宋体" w:eastAsia="宋体" w:cs="宋体"/>
                <w:b w:val="0"/>
                <w:bCs w:val="0"/>
                <w:color w:val="auto"/>
                <w:kern w:val="2"/>
                <w:sz w:val="21"/>
                <w:szCs w:val="21"/>
                <w:highlight w:val="none"/>
                <w:lang w:val="en-US" w:eastAsia="zh-CN" w:bidi="ar-SA"/>
              </w:rPr>
              <w:t>由评委根据制度内容完整性、合理性等酌情给分</w:t>
            </w:r>
            <w:r>
              <w:rPr>
                <w:rFonts w:hint="eastAsia" w:ascii="宋体" w:hAnsi="宋体" w:eastAsia="宋体" w:cs="宋体"/>
                <w:b w:val="0"/>
                <w:bCs/>
                <w:color w:val="auto"/>
                <w:sz w:val="21"/>
                <w:szCs w:val="21"/>
                <w:highlight w:val="none"/>
                <w:lang w:val="zh-CN"/>
              </w:rPr>
              <w:t>。</w:t>
            </w:r>
          </w:p>
        </w:tc>
      </w:tr>
      <w:tr w14:paraId="6E870F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59" w:hRule="atLeast"/>
          <w:jc w:val="center"/>
        </w:trPr>
        <w:tc>
          <w:tcPr>
            <w:tcW w:w="710" w:type="dxa"/>
            <w:noWrap/>
            <w:vAlign w:val="center"/>
          </w:tcPr>
          <w:p w14:paraId="42F8052A">
            <w:pPr>
              <w:widowControl/>
              <w:adjustRightInd w:val="0"/>
              <w:snapToGrid w:val="0"/>
              <w:spacing w:line="312"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二</w:t>
            </w:r>
          </w:p>
        </w:tc>
        <w:tc>
          <w:tcPr>
            <w:tcW w:w="1476" w:type="dxa"/>
            <w:noWrap/>
            <w:vAlign w:val="center"/>
          </w:tcPr>
          <w:p w14:paraId="21710976">
            <w:pPr>
              <w:rPr>
                <w:rFonts w:ascii="宋体" w:hAnsi="宋体" w:eastAsia="宋体" w:cs="Times New Roman"/>
                <w:color w:val="auto"/>
                <w:szCs w:val="21"/>
                <w:highlight w:val="none"/>
              </w:rPr>
            </w:pPr>
            <w:r>
              <w:rPr>
                <w:rFonts w:hint="eastAsia" w:ascii="新宋体" w:hAnsi="新宋体" w:eastAsia="新宋体" w:cs="Times New Roman"/>
                <w:color w:val="auto"/>
                <w:szCs w:val="21"/>
                <w:highlight w:val="none"/>
              </w:rPr>
              <w:t>商务报价分</w:t>
            </w:r>
          </w:p>
        </w:tc>
        <w:tc>
          <w:tcPr>
            <w:tcW w:w="1730" w:type="dxa"/>
            <w:noWrap/>
            <w:vAlign w:val="center"/>
          </w:tcPr>
          <w:p w14:paraId="17D9B591">
            <w:pPr>
              <w:ind w:firstLine="420" w:firstLineChars="200"/>
              <w:rPr>
                <w:rFonts w:hint="default" w:ascii="新宋体" w:hAnsi="新宋体" w:eastAsia="新宋体" w:cs="Times New Roman"/>
                <w:color w:val="auto"/>
                <w:szCs w:val="21"/>
                <w:highlight w:val="none"/>
                <w:lang w:val="en-US" w:eastAsia="zh-CN"/>
              </w:rPr>
            </w:pPr>
            <w:r>
              <w:rPr>
                <w:rFonts w:hint="eastAsia" w:ascii="新宋体" w:hAnsi="新宋体" w:eastAsia="新宋体" w:cs="Times New Roman"/>
                <w:color w:val="auto"/>
                <w:szCs w:val="21"/>
                <w:highlight w:val="none"/>
                <w:lang w:val="en-US" w:eastAsia="zh-CN"/>
              </w:rPr>
              <w:t>20</w:t>
            </w:r>
          </w:p>
        </w:tc>
        <w:tc>
          <w:tcPr>
            <w:tcW w:w="4800" w:type="dxa"/>
            <w:noWrap/>
            <w:vAlign w:val="center"/>
          </w:tcPr>
          <w:p w14:paraId="0077340B">
            <w:pPr>
              <w:rPr>
                <w:rFonts w:ascii="新宋体" w:hAnsi="新宋体" w:eastAsia="新宋体" w:cs="Times New Roman"/>
                <w:color w:val="auto"/>
                <w:szCs w:val="21"/>
                <w:highlight w:val="none"/>
              </w:rPr>
            </w:pPr>
            <w:r>
              <w:rPr>
                <w:rFonts w:hint="eastAsia" w:ascii="新宋体" w:hAnsi="新宋体" w:eastAsia="新宋体" w:cs="Times New Roman"/>
                <w:color w:val="auto"/>
                <w:szCs w:val="21"/>
                <w:highlight w:val="none"/>
              </w:rPr>
              <w:t>投标报价=投标总价</w:t>
            </w:r>
          </w:p>
          <w:p w14:paraId="4A75C6A8">
            <w:pPr>
              <w:rPr>
                <w:rFonts w:hint="eastAsia" w:ascii="新宋体" w:hAnsi="新宋体" w:eastAsia="新宋体" w:cs="Times New Roman"/>
                <w:color w:val="auto"/>
                <w:szCs w:val="21"/>
                <w:highlight w:val="none"/>
              </w:rPr>
            </w:pPr>
            <w:r>
              <w:rPr>
                <w:rFonts w:hint="eastAsia" w:ascii="新宋体" w:hAnsi="新宋体" w:eastAsia="新宋体" w:cs="Times New Roman"/>
                <w:color w:val="auto"/>
                <w:szCs w:val="21"/>
                <w:highlight w:val="none"/>
              </w:rPr>
              <w:t>1.以满足招标文件要求且投标总价最低的投标报价为评标基准价，其商务报价得分为满分。</w:t>
            </w:r>
          </w:p>
          <w:p w14:paraId="4DC7AA30">
            <w:pPr>
              <w:rPr>
                <w:rFonts w:hint="eastAsia" w:ascii="新宋体" w:hAnsi="新宋体" w:eastAsia="新宋体" w:cs="Times New Roman"/>
                <w:color w:val="auto"/>
                <w:szCs w:val="21"/>
                <w:highlight w:val="none"/>
              </w:rPr>
            </w:pPr>
            <w:r>
              <w:rPr>
                <w:rFonts w:hint="eastAsia" w:ascii="新宋体" w:hAnsi="新宋体" w:eastAsia="新宋体" w:cs="Times New Roman"/>
                <w:color w:val="auto"/>
                <w:szCs w:val="21"/>
                <w:highlight w:val="none"/>
              </w:rPr>
              <w:t>2.其他投标人的商务报价分统一按照下列公式计算：</w:t>
            </w:r>
          </w:p>
          <w:p w14:paraId="13A8C02A">
            <w:pPr>
              <w:rPr>
                <w:rFonts w:hint="eastAsia" w:ascii="Times New Roman" w:hAnsi="Times New Roman" w:eastAsia="宋体" w:cs="仿宋"/>
                <w:color w:val="auto"/>
                <w:szCs w:val="21"/>
                <w:highlight w:val="none"/>
              </w:rPr>
            </w:pPr>
            <w:r>
              <w:rPr>
                <w:rFonts w:hint="eastAsia" w:ascii="新宋体" w:hAnsi="新宋体" w:eastAsia="新宋体" w:cs="Times New Roman"/>
                <w:color w:val="auto"/>
                <w:szCs w:val="21"/>
                <w:highlight w:val="none"/>
              </w:rPr>
              <w:t>商务报价分＝（评标基准价／投标报价）×</w:t>
            </w:r>
            <w:r>
              <w:rPr>
                <w:rFonts w:hint="eastAsia" w:ascii="新宋体" w:hAnsi="新宋体" w:eastAsia="新宋体" w:cs="Times New Roman"/>
                <w:color w:val="auto"/>
                <w:szCs w:val="21"/>
                <w:highlight w:val="none"/>
                <w:lang w:val="en-US" w:eastAsia="zh-CN"/>
              </w:rPr>
              <w:t>20</w:t>
            </w:r>
            <w:r>
              <w:rPr>
                <w:rFonts w:hint="eastAsia" w:ascii="新宋体" w:hAnsi="新宋体" w:eastAsia="新宋体" w:cs="Times New Roman"/>
                <w:color w:val="auto"/>
                <w:szCs w:val="21"/>
                <w:highlight w:val="none"/>
              </w:rPr>
              <w:t>，计算结果保留2位小数（第三位小数四舍五入）。</w:t>
            </w:r>
          </w:p>
        </w:tc>
      </w:tr>
      <w:tr w14:paraId="1D2160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59" w:hRule="atLeast"/>
          <w:jc w:val="center"/>
        </w:trPr>
        <w:tc>
          <w:tcPr>
            <w:tcW w:w="710" w:type="dxa"/>
            <w:noWrap/>
            <w:vAlign w:val="center"/>
          </w:tcPr>
          <w:p w14:paraId="4AA70F7E">
            <w:pPr>
              <w:widowControl/>
              <w:adjustRightInd w:val="0"/>
              <w:snapToGrid w:val="0"/>
              <w:spacing w:line="312"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三</w:t>
            </w:r>
          </w:p>
        </w:tc>
        <w:tc>
          <w:tcPr>
            <w:tcW w:w="1476" w:type="dxa"/>
            <w:noWrap/>
            <w:vAlign w:val="center"/>
          </w:tcPr>
          <w:p w14:paraId="6ADB1755">
            <w:pPr>
              <w:rPr>
                <w:rFonts w:ascii="宋体" w:hAnsi="宋体" w:eastAsia="宋体" w:cs="Times New Roman"/>
                <w:color w:val="auto"/>
                <w:szCs w:val="21"/>
                <w:highlight w:val="none"/>
              </w:rPr>
            </w:pPr>
            <w:r>
              <w:rPr>
                <w:rFonts w:hint="eastAsia" w:ascii="新宋体" w:hAnsi="新宋体" w:eastAsia="新宋体" w:cs="Times New Roman"/>
                <w:color w:val="auto"/>
                <w:szCs w:val="21"/>
                <w:highlight w:val="none"/>
              </w:rPr>
              <w:t>综合得分</w:t>
            </w:r>
          </w:p>
        </w:tc>
        <w:tc>
          <w:tcPr>
            <w:tcW w:w="1730" w:type="dxa"/>
            <w:noWrap/>
            <w:vAlign w:val="center"/>
          </w:tcPr>
          <w:p w14:paraId="31C34311">
            <w:pPr>
              <w:ind w:firstLine="420" w:firstLineChars="200"/>
              <w:rPr>
                <w:rFonts w:hint="eastAsia" w:ascii="新宋体" w:hAnsi="新宋体" w:eastAsia="新宋体" w:cs="Times New Roman"/>
                <w:color w:val="auto"/>
                <w:szCs w:val="21"/>
                <w:highlight w:val="none"/>
              </w:rPr>
            </w:pPr>
            <w:r>
              <w:rPr>
                <w:rFonts w:hint="eastAsia" w:ascii="新宋体" w:hAnsi="新宋体" w:eastAsia="新宋体" w:cs="Times New Roman"/>
                <w:color w:val="auto"/>
                <w:szCs w:val="21"/>
                <w:highlight w:val="none"/>
              </w:rPr>
              <w:t>100</w:t>
            </w:r>
          </w:p>
        </w:tc>
        <w:tc>
          <w:tcPr>
            <w:tcW w:w="4800" w:type="dxa"/>
            <w:noWrap/>
            <w:vAlign w:val="center"/>
          </w:tcPr>
          <w:p w14:paraId="53C24185">
            <w:pPr>
              <w:rPr>
                <w:rFonts w:hint="eastAsia" w:ascii="Times New Roman" w:hAnsi="Times New Roman" w:eastAsia="宋体" w:cs="仿宋"/>
                <w:color w:val="auto"/>
                <w:szCs w:val="21"/>
                <w:highlight w:val="none"/>
              </w:rPr>
            </w:pPr>
            <w:r>
              <w:rPr>
                <w:rFonts w:hint="eastAsia" w:ascii="新宋体" w:hAnsi="新宋体" w:eastAsia="新宋体" w:cs="Times New Roman"/>
                <w:color w:val="auto"/>
                <w:szCs w:val="21"/>
                <w:highlight w:val="none"/>
              </w:rPr>
              <w:t>投标人综合得分=技术分+商务报价分</w:t>
            </w:r>
          </w:p>
        </w:tc>
      </w:tr>
    </w:tbl>
    <w:p w14:paraId="1614540C">
      <w:pPr>
        <w:rPr>
          <w:rFonts w:hint="eastAsia"/>
        </w:rPr>
      </w:pPr>
    </w:p>
    <w:p w14:paraId="2BD61FC8">
      <w:pPr>
        <w:spacing w:line="420" w:lineRule="exact"/>
        <w:ind w:firstLine="420" w:firstLineChars="200"/>
        <w:rPr>
          <w:rFonts w:hint="eastAsia" w:ascii="宋体" w:hAnsi="宋体" w:eastAsia="宋体" w:cs="宋体"/>
          <w:b/>
          <w:bCs/>
          <w:strike w:val="0"/>
          <w:dstrike w:val="0"/>
          <w:color w:val="auto"/>
          <w:sz w:val="21"/>
          <w:szCs w:val="21"/>
          <w:highlight w:val="none"/>
        </w:rPr>
      </w:pPr>
      <w:r>
        <w:rPr>
          <w:rFonts w:hint="eastAsia" w:ascii="宋体" w:hAnsi="宋体" w:eastAsia="宋体" w:cs="宋体"/>
          <w:strike w:val="0"/>
          <w:dstrike w:val="0"/>
          <w:color w:val="auto"/>
          <w:sz w:val="21"/>
          <w:szCs w:val="21"/>
          <w:highlight w:val="none"/>
        </w:rPr>
        <w:t>以上评分内容仅限对未打“★”条款进行评分</w:t>
      </w:r>
      <w:r>
        <w:rPr>
          <w:rFonts w:hint="eastAsia" w:ascii="宋体" w:hAnsi="宋体" w:eastAsia="宋体" w:cs="宋体"/>
          <w:b/>
          <w:bCs/>
          <w:strike w:val="0"/>
          <w:dstrike w:val="0"/>
          <w:color w:val="auto"/>
          <w:sz w:val="21"/>
          <w:szCs w:val="21"/>
          <w:highlight w:val="none"/>
        </w:rPr>
        <w:t>。</w:t>
      </w:r>
    </w:p>
    <w:p w14:paraId="3E76EA2F">
      <w:pPr>
        <w:rPr>
          <w:rFonts w:hint="eastAsia" w:ascii="宋体" w:hAnsi="宋体" w:eastAsia="宋体" w:cs="宋体"/>
          <w:color w:val="auto"/>
          <w:sz w:val="21"/>
          <w:szCs w:val="21"/>
          <w:highlight w:val="none"/>
        </w:rPr>
      </w:pPr>
    </w:p>
    <w:p w14:paraId="599A9486">
      <w:pPr>
        <w:pStyle w:val="104"/>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textAlignment w:val="auto"/>
        <w:outlineLvl w:val="1"/>
        <w:rPr>
          <w:rFonts w:hint="eastAsia" w:hAnsi="宋体"/>
          <w:b/>
          <w:bCs/>
          <w:color w:val="auto"/>
          <w:highlight w:val="none"/>
        </w:rPr>
      </w:pPr>
      <w:bookmarkStart w:id="80" w:name="_Toc29368"/>
      <w:r>
        <w:rPr>
          <w:rFonts w:hint="eastAsia" w:hAnsi="宋体" w:cs="宋体"/>
          <w:b/>
          <w:color w:val="auto"/>
          <w:sz w:val="24"/>
          <w:szCs w:val="24"/>
          <w:highlight w:val="none"/>
        </w:rPr>
        <w:t>评标小组不向落标方解释落标原因</w:t>
      </w:r>
      <w:r>
        <w:rPr>
          <w:rFonts w:hint="eastAsia" w:hAnsi="宋体"/>
          <w:b/>
          <w:bCs/>
          <w:color w:val="auto"/>
          <w:highlight w:val="none"/>
        </w:rPr>
        <w:t>。</w:t>
      </w:r>
      <w:bookmarkEnd w:id="80"/>
    </w:p>
    <w:p w14:paraId="7F7DCDAF">
      <w:pPr>
        <w:rPr>
          <w:rFonts w:hint="eastAsia"/>
        </w:rPr>
      </w:pPr>
    </w:p>
    <w:p w14:paraId="3CBE952D">
      <w:pPr>
        <w:rPr>
          <w:rFonts w:hint="eastAsia" w:eastAsia="宋体"/>
          <w:color w:val="auto"/>
          <w:sz w:val="36"/>
          <w:highlight w:val="none"/>
          <w:lang w:eastAsia="zh-CN"/>
        </w:rPr>
      </w:pPr>
      <w:r>
        <w:rPr>
          <w:rFonts w:hint="eastAsia" w:eastAsia="宋体"/>
          <w:color w:val="auto"/>
          <w:sz w:val="36"/>
          <w:highlight w:val="none"/>
          <w:lang w:eastAsia="zh-CN"/>
        </w:rPr>
        <w:br w:type="page"/>
      </w:r>
    </w:p>
    <w:p w14:paraId="1841B5E7">
      <w:pPr>
        <w:pStyle w:val="3"/>
        <w:bidi w:val="0"/>
        <w:jc w:val="center"/>
        <w:rPr>
          <w:rFonts w:hint="eastAsia"/>
          <w:sz w:val="36"/>
          <w:szCs w:val="36"/>
        </w:rPr>
      </w:pPr>
      <w:bookmarkStart w:id="81" w:name="_Toc21212"/>
      <w:r>
        <w:rPr>
          <w:rFonts w:hint="eastAsia"/>
          <w:sz w:val="36"/>
          <w:szCs w:val="36"/>
          <w:lang w:eastAsia="zh-CN"/>
        </w:rPr>
        <w:t>第七章</w:t>
      </w:r>
      <w:r>
        <w:rPr>
          <w:rFonts w:hint="eastAsia"/>
          <w:sz w:val="36"/>
          <w:szCs w:val="36"/>
        </w:rPr>
        <w:t xml:space="preserve"> 合同主要条款</w:t>
      </w:r>
      <w:bookmarkEnd w:id="81"/>
    </w:p>
    <w:p w14:paraId="3795785D">
      <w:pPr>
        <w:ind w:firstLine="420" w:firstLineChars="0"/>
        <w:jc w:val="center"/>
        <w:rPr>
          <w:rFonts w:hint="eastAsia" w:eastAsia="宋体"/>
          <w:lang w:eastAsia="zh-CN"/>
        </w:rPr>
      </w:pPr>
      <w:r>
        <w:rPr>
          <w:rFonts w:hint="eastAsia" w:ascii="宋体" w:hAnsi="宋体"/>
          <w:color w:val="auto"/>
          <w:sz w:val="36"/>
          <w:szCs w:val="36"/>
          <w:highlight w:val="none"/>
          <w:lang w:eastAsia="zh-CN"/>
        </w:rPr>
        <w:t>（样本）</w:t>
      </w:r>
    </w:p>
    <w:p w14:paraId="6C75C26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甲方：________________________________</w:t>
      </w:r>
    </w:p>
    <w:p w14:paraId="08E1C40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乙方：________________________________</w:t>
      </w:r>
    </w:p>
    <w:p w14:paraId="27610980">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甲、乙双方根据____年____月____日浙江省义乌市国企采购                  项目成交结果和投标文件的要求，依据《</w:t>
      </w:r>
      <w:r>
        <w:rPr>
          <w:rFonts w:hint="eastAsia" w:ascii="Times New Roman" w:hAnsi="Times New Roman" w:eastAsia="宋体" w:cs="宋体"/>
          <w:color w:val="auto"/>
          <w:kern w:val="0"/>
          <w:sz w:val="21"/>
          <w:szCs w:val="21"/>
          <w:highlight w:val="none"/>
        </w:rPr>
        <w:t>中华人民共和国民法典</w:t>
      </w:r>
      <w:r>
        <w:rPr>
          <w:rFonts w:hint="eastAsia" w:ascii="宋体" w:hAnsi="宋体" w:eastAsia="宋体" w:cs="宋体"/>
          <w:sz w:val="21"/>
          <w:szCs w:val="21"/>
        </w:rPr>
        <w:t>》并经双方协调一致，订立本采购合同。</w:t>
      </w:r>
    </w:p>
    <w:p w14:paraId="5C1E506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一、合同文件组成：招标文件及其补充文件、询标承诺、询疑答复、投标响应文件、双方来函。合同文件组成的所有内容是构成合同不可分割的部分，与合同具有同等法律效力。</w:t>
      </w:r>
    </w:p>
    <w:p w14:paraId="4C9968C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二、道路清扫保洁范围和等级台班</w:t>
      </w:r>
    </w:p>
    <w:p w14:paraId="606B67F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等辖区范围内的快车道、慢车道、人行道（扫到沿街店面房为止）、绿化带共计道路清扫保洁面积为         平方米；以及该区块内指定公共厕所（如有）的管理保洁，路段内所有果皮箱的清洗保洁及沿街袋装垃圾的清理工作。</w:t>
      </w:r>
    </w:p>
    <w:p w14:paraId="286A5041">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三、人员核定</w:t>
      </w:r>
    </w:p>
    <w:p w14:paraId="0EBB90E3">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区块最低应配备清扫保洁员      人（含管理人员       人）及公厕保洁员       人。</w:t>
      </w:r>
    </w:p>
    <w:p w14:paraId="389A4C5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四、清扫保洁时间和质量要求及考核标准</w:t>
      </w:r>
    </w:p>
    <w:p w14:paraId="26AC6CCB">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人工清扫保洁作业时间：一班制保洁的路段为5:30—10:00、13:00—17:00</w:t>
      </w:r>
    </w:p>
    <w:p w14:paraId="457DA5FD">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二</w:t>
      </w:r>
      <w:r>
        <w:rPr>
          <w:rFonts w:hint="eastAsia" w:ascii="宋体" w:hAnsi="宋体" w:eastAsia="宋体" w:cs="宋体"/>
          <w:sz w:val="21"/>
          <w:szCs w:val="21"/>
        </w:rPr>
        <w:t>班制保洁的路段为</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0—</w:t>
      </w:r>
      <w:r>
        <w:rPr>
          <w:rFonts w:hint="eastAsia" w:ascii="宋体" w:hAnsi="宋体" w:eastAsia="宋体" w:cs="宋体"/>
          <w:sz w:val="21"/>
          <w:szCs w:val="21"/>
          <w:lang w:val="en-US" w:eastAsia="zh-CN"/>
        </w:rPr>
        <w:t>6</w:t>
      </w:r>
      <w:r>
        <w:rPr>
          <w:rFonts w:hint="eastAsia" w:ascii="宋体" w:hAnsi="宋体" w:eastAsia="宋体" w:cs="宋体"/>
          <w:sz w:val="21"/>
          <w:szCs w:val="21"/>
        </w:rPr>
        <w:t>:00</w:t>
      </w:r>
      <w:r>
        <w:rPr>
          <w:rFonts w:hint="eastAsia" w:ascii="宋体" w:hAnsi="宋体" w:eastAsia="宋体" w:cs="宋体"/>
          <w:sz w:val="21"/>
          <w:szCs w:val="21"/>
          <w:lang w:val="en-US" w:eastAsia="zh-CN"/>
        </w:rPr>
        <w:t>,7:00-12:00</w:t>
      </w:r>
      <w:r>
        <w:rPr>
          <w:rFonts w:hint="eastAsia" w:ascii="宋体" w:hAnsi="宋体" w:eastAsia="宋体" w:cs="宋体"/>
          <w:sz w:val="21"/>
          <w:szCs w:val="21"/>
        </w:rPr>
        <w:t>、</w:t>
      </w:r>
      <w:r>
        <w:rPr>
          <w:rFonts w:hint="eastAsia" w:ascii="宋体" w:hAnsi="宋体" w:eastAsia="宋体" w:cs="宋体"/>
          <w:sz w:val="21"/>
          <w:szCs w:val="21"/>
          <w:lang w:val="en-US" w:eastAsia="zh-CN"/>
        </w:rPr>
        <w:t>12:00—17:30，</w:t>
      </w:r>
      <w:r>
        <w:rPr>
          <w:rFonts w:hint="eastAsia" w:ascii="宋体" w:hAnsi="宋体" w:eastAsia="宋体" w:cs="宋体"/>
          <w:sz w:val="21"/>
          <w:szCs w:val="21"/>
        </w:rPr>
        <w:t>1</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w:t>
      </w:r>
      <w:r>
        <w:rPr>
          <w:rFonts w:hint="eastAsia" w:ascii="宋体" w:hAnsi="宋体" w:eastAsia="宋体" w:cs="宋体"/>
          <w:sz w:val="21"/>
          <w:szCs w:val="21"/>
          <w:lang w:val="en-US" w:eastAsia="zh-CN"/>
        </w:rPr>
        <w:t>21</w:t>
      </w:r>
      <w:r>
        <w:rPr>
          <w:rFonts w:hint="eastAsia" w:ascii="宋体" w:hAnsi="宋体" w:eastAsia="宋体" w:cs="宋体"/>
          <w:sz w:val="21"/>
          <w:szCs w:val="21"/>
        </w:rPr>
        <w:t>:00</w:t>
      </w:r>
    </w:p>
    <w:p w14:paraId="6BFB5CAF">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扫路车作业时间：05:00—08:00、12:00—15:30</w:t>
      </w:r>
    </w:p>
    <w:p w14:paraId="10D6A2F6">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洒水车作业时间：02：00—05:00、07:00—10:00、12:00—15:00、17:00—20:00</w:t>
      </w:r>
    </w:p>
    <w:p w14:paraId="5B77739D">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rPr>
      </w:pPr>
      <w:r>
        <w:rPr>
          <w:rFonts w:hint="eastAsia" w:ascii="宋体" w:hAnsi="宋体" w:eastAsia="宋体" w:cs="宋体"/>
          <w:sz w:val="21"/>
          <w:szCs w:val="21"/>
        </w:rPr>
        <w:t>注：保洁工作时间可随街道办事处要求进行调整。</w:t>
      </w:r>
    </w:p>
    <w:p w14:paraId="4C95181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道路清扫保洁质量要求及考核标准：清扫保洁作业时（包括人行道）要做到纵到头，横到边，路切石缝隙处和人行道花板缝隙无灰砂堆积，并达到路面整洁，排水口清洁，无残留污水，无残积沙土，道路垃圾收集容器等环卫设施无明显污迹。</w:t>
      </w:r>
    </w:p>
    <w:p w14:paraId="06F8BFD6">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具体标准详见甲方的</w:t>
      </w:r>
      <w:r>
        <w:rPr>
          <w:rFonts w:hint="eastAsia" w:ascii="宋体" w:hAnsi="宋体" w:eastAsia="宋体" w:cs="宋体"/>
          <w:sz w:val="21"/>
          <w:szCs w:val="21"/>
          <w:lang w:eastAsia="zh-CN"/>
        </w:rPr>
        <w:t>义环境【2023】03号</w:t>
      </w:r>
      <w:r>
        <w:rPr>
          <w:rFonts w:hint="eastAsia" w:ascii="宋体" w:hAnsi="宋体" w:eastAsia="宋体" w:cs="宋体"/>
          <w:sz w:val="21"/>
          <w:szCs w:val="21"/>
        </w:rPr>
        <w:t>《义乌市环境集团有限公司清扫保洁及公厕管理市场化运作质量要求及考核办法》的质量要求</w:t>
      </w:r>
    </w:p>
    <w:p w14:paraId="58465FFA">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五、承包期限</w:t>
      </w:r>
    </w:p>
    <w:p w14:paraId="510442D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承包期限为从    年    月    日至    年    月    日止。</w:t>
      </w:r>
    </w:p>
    <w:p w14:paraId="270BDE5D">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六、承包款及支付方式</w:t>
      </w:r>
    </w:p>
    <w:p w14:paraId="1C2EDFC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承包款为          元整，甲方根据考核奖惩情况增减后</w:t>
      </w:r>
      <w:r>
        <w:rPr>
          <w:rFonts w:hint="eastAsia" w:ascii="宋体" w:hAnsi="宋体" w:eastAsia="宋体" w:cs="宋体"/>
          <w:sz w:val="21"/>
          <w:szCs w:val="21"/>
          <w:lang w:eastAsia="zh-CN"/>
        </w:rPr>
        <w:t>，</w:t>
      </w:r>
      <w:r>
        <w:rPr>
          <w:rFonts w:hint="eastAsia" w:ascii="宋体" w:hAnsi="宋体" w:eastAsia="宋体" w:cs="宋体"/>
          <w:sz w:val="21"/>
          <w:szCs w:val="21"/>
        </w:rPr>
        <w:t>按每</w:t>
      </w:r>
      <w:r>
        <w:rPr>
          <w:rFonts w:hint="eastAsia" w:ascii="宋体" w:hAnsi="宋体" w:eastAsia="宋体" w:cs="宋体"/>
          <w:sz w:val="21"/>
          <w:szCs w:val="21"/>
          <w:lang w:val="en-US" w:eastAsia="zh-CN"/>
        </w:rPr>
        <w:t>3</w:t>
      </w:r>
      <w:r>
        <w:rPr>
          <w:rFonts w:hint="eastAsia" w:ascii="宋体" w:hAnsi="宋体" w:eastAsia="宋体" w:cs="宋体"/>
          <w:sz w:val="21"/>
          <w:szCs w:val="21"/>
        </w:rPr>
        <w:t>个月</w:t>
      </w:r>
      <w:r>
        <w:rPr>
          <w:rFonts w:hint="eastAsia" w:ascii="宋体" w:hAnsi="宋体" w:eastAsia="宋体" w:cs="宋体"/>
          <w:sz w:val="21"/>
          <w:szCs w:val="21"/>
          <w:lang w:val="en-US" w:eastAsia="zh-CN"/>
        </w:rPr>
        <w:t>结算一次</w:t>
      </w:r>
      <w:r>
        <w:rPr>
          <w:rFonts w:hint="eastAsia" w:ascii="宋体" w:hAnsi="宋体" w:eastAsia="宋体" w:cs="宋体"/>
          <w:sz w:val="21"/>
          <w:szCs w:val="21"/>
        </w:rPr>
        <w:t>；前</w:t>
      </w:r>
      <w:r>
        <w:rPr>
          <w:rFonts w:hint="eastAsia" w:ascii="宋体" w:hAnsi="宋体" w:eastAsia="宋体" w:cs="宋体"/>
          <w:sz w:val="21"/>
          <w:szCs w:val="21"/>
          <w:lang w:val="en-US" w:eastAsia="zh-CN"/>
        </w:rPr>
        <w:t>3</w:t>
      </w:r>
      <w:r>
        <w:rPr>
          <w:rFonts w:hint="eastAsia" w:ascii="宋体" w:hAnsi="宋体" w:eastAsia="宋体" w:cs="宋体"/>
          <w:sz w:val="21"/>
          <w:szCs w:val="21"/>
        </w:rPr>
        <w:t>个月承包款于第</w:t>
      </w:r>
      <w:r>
        <w:rPr>
          <w:rFonts w:hint="eastAsia" w:ascii="宋体" w:hAnsi="宋体" w:eastAsia="宋体" w:cs="宋体"/>
          <w:sz w:val="21"/>
          <w:szCs w:val="21"/>
          <w:lang w:val="en-US" w:eastAsia="zh-CN"/>
        </w:rPr>
        <w:t>6</w:t>
      </w:r>
      <w:r>
        <w:rPr>
          <w:rFonts w:hint="eastAsia" w:ascii="宋体" w:hAnsi="宋体" w:eastAsia="宋体" w:cs="宋体"/>
          <w:sz w:val="21"/>
          <w:szCs w:val="21"/>
        </w:rPr>
        <w:t>个月支付。承包款于第</w:t>
      </w:r>
      <w:r>
        <w:rPr>
          <w:rFonts w:hint="eastAsia" w:ascii="宋体" w:hAnsi="宋体" w:eastAsia="宋体" w:cs="宋体"/>
          <w:sz w:val="21"/>
          <w:szCs w:val="21"/>
          <w:lang w:val="en-US" w:eastAsia="zh-CN"/>
        </w:rPr>
        <w:t>6</w:t>
      </w:r>
      <w:r>
        <w:rPr>
          <w:rFonts w:hint="eastAsia" w:ascii="宋体" w:hAnsi="宋体" w:eastAsia="宋体" w:cs="宋体"/>
          <w:sz w:val="21"/>
          <w:szCs w:val="21"/>
        </w:rPr>
        <w:t>个月 25 日前划拨到以乙方公司名称为开户名称的帐户。</w:t>
      </w:r>
    </w:p>
    <w:p w14:paraId="3E17B36A">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尾款支付：无劳动纠纷的，于履约期满后第</w:t>
      </w:r>
      <w:r>
        <w:rPr>
          <w:rFonts w:hint="eastAsia" w:ascii="宋体" w:hAnsi="宋体" w:eastAsia="宋体" w:cs="宋体"/>
          <w:sz w:val="21"/>
          <w:szCs w:val="21"/>
          <w:lang w:val="en-US" w:eastAsia="zh-CN"/>
        </w:rPr>
        <w:t>三</w:t>
      </w:r>
      <w:r>
        <w:rPr>
          <w:rFonts w:hint="eastAsia" w:ascii="宋体" w:hAnsi="宋体" w:eastAsia="宋体" w:cs="宋体"/>
          <w:sz w:val="21"/>
          <w:szCs w:val="21"/>
        </w:rPr>
        <w:t>个月内支付；有劳动纠纷的，延期支付，直至劳动纠纷解除。</w:t>
      </w:r>
    </w:p>
    <w:p w14:paraId="59ADB1F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七、权利和义务</w:t>
      </w:r>
    </w:p>
    <w:p w14:paraId="689B99D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（一）甲方权利与义务</w:t>
      </w:r>
    </w:p>
    <w:p w14:paraId="71BA468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1.甲方有权随时检查和督查乙方清扫保洁的情况，并根据检查和督查情况进行奖惩。</w:t>
      </w:r>
    </w:p>
    <w:p w14:paraId="0E8A97FA">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2.甲方有向乙方有偿提供每人每年环卫安全工作服二套（含安全背心），环卫安全雨衣一套，环卫专用三轮车一辆等物品义务，但所需的一切费用由乙方承担。</w:t>
      </w:r>
    </w:p>
    <w:p w14:paraId="27E4DE06">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3.乙方在履约期间，保洁范围被评为黄旗时，视作受到上级单位督办或批评，甲方有权对中标人按照上级部门扣款金额的1.5倍处罚。</w:t>
      </w:r>
    </w:p>
    <w:p w14:paraId="12A06676">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（二）乙方的权利与义务</w:t>
      </w:r>
    </w:p>
    <w:p w14:paraId="0D5832E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1.乙方必须遵守国家的法律法规，照章经营，按章纳税。工作人员必须持证上岗。</w:t>
      </w:r>
    </w:p>
    <w:p w14:paraId="614E703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2.乙方应在承包范围内按甲方要求的最低总人数配备足额的清扫保洁人员，并在各路段内合理安排所配清扫保洁人员。</w:t>
      </w:r>
    </w:p>
    <w:p w14:paraId="3DDEB52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3.乙方必须及时收集承包服务内的零星、袋装垃圾；并在非雨天（温度在5摄氏度以上）对承包区域内道路（快车道）洒水每日4次以上。</w:t>
      </w:r>
    </w:p>
    <w:p w14:paraId="176E9FD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4.乙方必须严格执行甲方的</w:t>
      </w:r>
      <w:r>
        <w:rPr>
          <w:rFonts w:hint="eastAsia" w:ascii="宋体" w:hAnsi="宋体" w:eastAsia="宋体" w:cs="宋体"/>
          <w:sz w:val="21"/>
          <w:szCs w:val="21"/>
          <w:lang w:eastAsia="zh-CN"/>
        </w:rPr>
        <w:t>义环境【2023】03号</w:t>
      </w:r>
      <w:r>
        <w:rPr>
          <w:rFonts w:hint="eastAsia" w:ascii="宋体" w:hAnsi="宋体" w:eastAsia="宋体" w:cs="宋体"/>
          <w:sz w:val="21"/>
          <w:szCs w:val="21"/>
        </w:rPr>
        <w:t>《义乌市环境集团有限公司清扫保洁及公厕管理市场化运作质量要求及考核办法》的质量要求，在普扫时必须做到不花洒和不漏洒；与街道社区道路（弄堂）交接处需多扫进2米，以视距内无明显垃圾为准；清扫时不得将清扫的垃圾（灰尘）扫入、停留在窨井盖上或将清扫的垃圾倒入马路边、河道内、绿化带内或垃圾收集房和果壳箱内，而必须及时装入三轮收集车内，严禁焚烧垃圾。</w:t>
      </w:r>
    </w:p>
    <w:p w14:paraId="43E479E8">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5.乙方必须对实行机扫的二班制路段实行每日不少于四次的机扫。</w:t>
      </w:r>
    </w:p>
    <w:p w14:paraId="3E840411">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6.乙方不得私自将承包范围内人工清扫路段改为机械化清扫。</w:t>
      </w:r>
    </w:p>
    <w:p w14:paraId="0BA6251A">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7.乙方必须在一周内对承包范围内全部路段完成一次洗扫作业。</w:t>
      </w:r>
    </w:p>
    <w:p w14:paraId="2E5FA270">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8.乙方需每天对道路两边的果皮箱擦洗不少于一次，保持果皮箱的整洁，如果发现果皮箱丢失或损坏的要及时查明原因，并及时向甲方汇报。</w:t>
      </w:r>
    </w:p>
    <w:p w14:paraId="3E70A2CA">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9.乙方须为每名清扫人员配备一辆不锈钢箱体的环卫三轮车。</w:t>
      </w:r>
    </w:p>
    <w:p w14:paraId="656D7B87">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10.乙方清扫、收集的生活垃圾需由垃圾收集车统一收集，垃圾收集车应做到密闭运输；清扫人员在工作时间段内不得到垃圾转运站倾倒垃圾。</w:t>
      </w:r>
    </w:p>
    <w:p w14:paraId="6710671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11.乙方清扫、收集的生活垃圾必须运往就近的垃圾转运站，并服从垃圾转运站工作人员安排，不得以任何理由将生活垃圾运往垃圾转运站以外的地方倾倒；</w:t>
      </w:r>
    </w:p>
    <w:p w14:paraId="50D2F3C1">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扫路车作业产生的垃圾，不得随意倾倒，经合规中转处置场所实行泥沙与生活垃圾分离后按甲方指导意见进行处置，乙方应向甲方提供中转处置场所相关合规书面材料。</w:t>
      </w:r>
    </w:p>
    <w:p w14:paraId="219AF497">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12.乙方在聘用工作人员时，需遵守《劳动法》及相关法律法规的规定，若有违反《劳动法》及相关法律法规的行为或事件，责任由乙方自行承担。</w:t>
      </w:r>
    </w:p>
    <w:p w14:paraId="32116A2D">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13.乙方必须保证按核定的清扫保洁人员和扫路车上班作业，并在每月10日前向甲方报送《人员名册表》、《人员变动等级表》、《责任路段表》，如报送后需变动责任区块或更换管理人员的，必须在变动后1个工作日内以书面形式通知甲方，需附变动人员名单和相关责任路段等资料。</w:t>
      </w:r>
    </w:p>
    <w:p w14:paraId="5291F2E0">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14.乙方清扫保洁人员在上班作业时必须穿戴和使用统一的、有醒目乙方标志的环卫安全作业服和环卫专用扫路车、洒水车、三轮垃圾车、铁皮畚斗、草帽等，保证环卫车辆的整洁，严禁车上载无关人员和车外挂物；上班作业时不允许有损坏环卫形象的行为的发生或干与工作无关的事情。</w:t>
      </w:r>
    </w:p>
    <w:p w14:paraId="530A09B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15.乙方负责所聘用人员的劳动安全培训教育和管理，清扫人员作业过程中若发生安全和交通等意外事故，一切责任由乙方自行承担。</w:t>
      </w:r>
    </w:p>
    <w:p w14:paraId="02769ED3">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16.乙方法人代表及管理人员必须按时参加甲方组织的有关会议。</w:t>
      </w:r>
    </w:p>
    <w:p w14:paraId="58F1692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17.乙方不得转包或发包所承包路段的清扫保洁工作。</w:t>
      </w:r>
    </w:p>
    <w:p w14:paraId="0B50BFF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18.乙方对承包范围内道路上的建筑垃圾、装潢垃圾、渣土等污染路面问题负有举报和清理责任，发现路面被严重污染，应及时向96150举报；乙方负责跟踪和协调处理情况，如有关部门不能查找到责任单位的，由乙方自行组织人员对污染路面进行清理。如遇恶劣天气（如暴雨、雨雪冰冻）造成的道路淤泥堆积、道路积雪等，乙方在接到甲方指令后，应自行组织人员负责清理。</w:t>
      </w:r>
    </w:p>
    <w:p w14:paraId="2EDFC5C6">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19.乙方有义务也有权利派人员参加由甲方组织的需乙方共同参与的检查或考核任务。</w:t>
      </w:r>
    </w:p>
    <w:p w14:paraId="6EBEFD7D">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20.乙方扫路车如遇故障大修或年审致使车辆停用超过两天的，应在1小时内以电子稿形式通报甲方，在24小时内以书面形式上报甲方，并安排同等吨位的扫路车或核定抵换人数的清扫人员进行清扫保洁。</w:t>
      </w:r>
    </w:p>
    <w:p w14:paraId="398C9043">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21.遇创建或市委市府临时性任务，乙方必须无条件按甲方安排的工作任务及时完成，如需延长工作时间在1小时以上的（延长工作时间及人数须由甲方批准），由甲方核准后1小时之外的工时按12元/小时工资标准支付；扫路车加班时间由甲方按GPS系统核定，1小时之外的工时按157.5元/工时标准支付。</w:t>
      </w:r>
    </w:p>
    <w:p w14:paraId="6C79DA03">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22.根据甲方安排，乙方有义务及时接收本范围附近新接管道路的清扫保洁任务，并有权向甲方收取所增加的清扫保洁面积的清扫保洁费等相应的费用。增加部分费用不超过合同金额的10%。</w:t>
      </w:r>
    </w:p>
    <w:p w14:paraId="7B99992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23.在承包期内，因道路施工等原因，乙方承包范围内的道路进行施工造成道路无法清扫保洁的，按照施工开始时间及道路相应面积计算扣除相应承包款。施工开始时间以建设单位出具的施工公告或实际施工开始时间为准。</w:t>
      </w:r>
    </w:p>
    <w:p w14:paraId="7A21D0F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25.乙方承包范围内的道路结构发生变化（如快车道中间增设或移除护栏、封闭施工等情况），乙方应及时上报甲方。</w:t>
      </w:r>
    </w:p>
    <w:p w14:paraId="3661F48D">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26.乙方承包范围内的道路结构发生变化（如快车道中间增设或移除护栏等情况），按照实际结构计算道路清扫保洁面积，并增加或减少相应承包款。</w:t>
      </w:r>
    </w:p>
    <w:p w14:paraId="39CD6F1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27.如招标文件中道路清扫保洁面积与道路实际清扫保洁面积存在出入，以实际丈量的清扫保洁面积为准。</w:t>
      </w:r>
    </w:p>
    <w:p w14:paraId="2B4D77B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28.乙方应在投入中标路段使用的机械</w:t>
      </w:r>
      <w:r>
        <w:rPr>
          <w:rFonts w:hint="eastAsia" w:ascii="宋体" w:hAnsi="宋体" w:eastAsia="宋体" w:cs="宋体"/>
          <w:sz w:val="21"/>
          <w:szCs w:val="21"/>
          <w:lang w:val="en-US" w:eastAsia="zh-CN"/>
        </w:rPr>
        <w:t>作业车</w:t>
      </w:r>
      <w:r>
        <w:rPr>
          <w:rFonts w:hint="eastAsia" w:ascii="宋体" w:hAnsi="宋体" w:eastAsia="宋体" w:cs="宋体"/>
          <w:sz w:val="21"/>
          <w:szCs w:val="21"/>
        </w:rPr>
        <w:t>上安装GPS监控系统，并与义乌市环境环境集团GPS监控平台进行联网，所需费用由中标单位自行承担。乙方应保证在承包路段投入</w:t>
      </w:r>
      <w:r>
        <w:rPr>
          <w:rFonts w:hint="eastAsia" w:ascii="宋体" w:hAnsi="宋体" w:eastAsia="宋体" w:cs="宋体"/>
          <w:sz w:val="21"/>
          <w:szCs w:val="21"/>
          <w:lang w:val="en-US" w:eastAsia="zh-CN"/>
        </w:rPr>
        <w:t>1辆荷载≥0.5吨小型垃圾收集车</w:t>
      </w:r>
      <w:r>
        <w:rPr>
          <w:rFonts w:hint="eastAsia" w:ascii="宋体" w:hAnsi="宋体" w:eastAsia="宋体" w:cs="宋体"/>
          <w:sz w:val="21"/>
          <w:szCs w:val="21"/>
          <w:lang w:eastAsia="zh-CN"/>
        </w:rPr>
        <w:t>及</w:t>
      </w:r>
      <w:r>
        <w:rPr>
          <w:rFonts w:hint="eastAsia" w:ascii="宋体" w:hAnsi="宋体" w:eastAsia="宋体" w:cs="宋体"/>
          <w:sz w:val="21"/>
          <w:szCs w:val="21"/>
          <w:lang w:val="en-US" w:eastAsia="zh-CN"/>
        </w:rPr>
        <w:t>1辆小型高压冲洗车。</w:t>
      </w:r>
    </w:p>
    <w:p w14:paraId="5620637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29.乙方车辆GPS系统出现故障的应在发现后1小时内以电子稿形式通报甲方，并在24小时内以书面形式上报甲方。</w:t>
      </w:r>
    </w:p>
    <w:p w14:paraId="31D97FF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30.乙方环卫作业车辆申请在集团加水点加水的，水费每季度结算一次。</w:t>
      </w:r>
    </w:p>
    <w:p w14:paraId="4F887AE6">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31.公厕如果改造，改造时甲方扣回相应（停用期的）承包款。</w:t>
      </w:r>
    </w:p>
    <w:p w14:paraId="55CB0EFA">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八</w:t>
      </w:r>
      <w:r>
        <w:rPr>
          <w:rFonts w:hint="eastAsia" w:ascii="宋体" w:hAnsi="宋体" w:eastAsia="宋体" w:cs="宋体"/>
          <w:sz w:val="21"/>
          <w:szCs w:val="21"/>
        </w:rPr>
        <w:t>、终止合同条件及违约责任</w:t>
      </w:r>
    </w:p>
    <w:p w14:paraId="23DE75A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有下列情形的，集团可以终止与中标人签订的承包合同：</w:t>
      </w:r>
    </w:p>
    <w:p w14:paraId="3DAC4C23">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（一）集团运营部首次考核成绩不合格的，在签订合同后30日内未整改到位的。</w:t>
      </w:r>
    </w:p>
    <w:p w14:paraId="2510FB5E">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（二）集团运营部连续两次或一年度内累计两次月综合考核成绩不合格。</w:t>
      </w:r>
    </w:p>
    <w:p w14:paraId="0419B31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（三）履约期内，中标人作业区域内经上级部门考核，出现考核成绩为黄旗两次以上的。</w:t>
      </w:r>
    </w:p>
    <w:p w14:paraId="1ABD13FA">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（四）中标人机械设备故障因故不能正常作业且未安排相应机械设备或核定抵换人员替班的，时间累积超过10天以上的。</w:t>
      </w:r>
    </w:p>
    <w:p w14:paraId="0882C79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（五）市执法局、相关镇街等以书面形式对保洁质量提出两次以上不满意意见的。</w:t>
      </w:r>
    </w:p>
    <w:p w14:paraId="69D9636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2.乙方一年度内单次处罚金额在2000元以上情形出现五次以上的，甲方可视情终止本合同。</w:t>
      </w:r>
    </w:p>
    <w:p w14:paraId="5553330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3.乙方擅自转包或发包所承包的路段的，甲方终止本合同。</w:t>
      </w:r>
    </w:p>
    <w:p w14:paraId="3B7506D6">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4.乙方不按时足额发放工资时（次月底前），终止本合同。</w:t>
      </w:r>
    </w:p>
    <w:p w14:paraId="00C6070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5.乙方扫路车因故不能正常作业时间累计超过30天以上的（含30天），将视为没有履行合同能力，甲方有权终止本合同。</w:t>
      </w:r>
    </w:p>
    <w:p w14:paraId="32054F8F">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6.如果甲方没有按规定支付承包款的，乙方有权终止本合同。</w:t>
      </w:r>
    </w:p>
    <w:p w14:paraId="543165B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九</w:t>
      </w:r>
      <w:r>
        <w:rPr>
          <w:rFonts w:hint="eastAsia" w:ascii="宋体" w:hAnsi="宋体" w:eastAsia="宋体" w:cs="宋体"/>
          <w:sz w:val="21"/>
          <w:szCs w:val="21"/>
        </w:rPr>
        <w:t>、不可抗力事件处理</w:t>
      </w:r>
    </w:p>
    <w:p w14:paraId="3E5ECD9E">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1、在合同有效期内，任何一方因不可抗力事件导致不能履行合同，则合同履行期可延长，其延长期与不可抗力影响期相同。</w:t>
      </w:r>
    </w:p>
    <w:p w14:paraId="2CE9873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2、不可抗力事件发生后，应立即通知对方，并寄送有关权威机构出具的材料。</w:t>
      </w:r>
    </w:p>
    <w:p w14:paraId="273C063A">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3、不可抗力事件发生，双方应通过友好协商，确定是否继续履行合同。</w:t>
      </w:r>
    </w:p>
    <w:p w14:paraId="74A30837">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十、其它约定</w:t>
      </w:r>
    </w:p>
    <w:p w14:paraId="0029A7C8">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1、本合同附件与本合同具有同等法律效力；乙方得奖并经甲方认同的保洁方案，作为本合同的附件。</w:t>
      </w:r>
    </w:p>
    <w:p w14:paraId="1D67DE0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2、遇不可抗力原因使本合同无法履约，甲、乙双方互不追究责任。</w:t>
      </w:r>
    </w:p>
    <w:p w14:paraId="429A3F5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3、本合同签章后后效，甲、乙双方在合同履行过程中，不得随意终止合同。</w:t>
      </w:r>
    </w:p>
    <w:p w14:paraId="24380F8D">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十</w:t>
      </w:r>
      <w:r>
        <w:rPr>
          <w:rFonts w:hint="eastAsia" w:ascii="宋体" w:hAnsi="宋体" w:eastAsia="宋体" w:cs="宋体"/>
          <w:sz w:val="21"/>
          <w:szCs w:val="21"/>
          <w:lang w:val="en-US" w:eastAsia="zh-CN"/>
        </w:rPr>
        <w:t>一</w:t>
      </w:r>
      <w:r>
        <w:rPr>
          <w:rFonts w:hint="eastAsia" w:ascii="宋体" w:hAnsi="宋体" w:eastAsia="宋体" w:cs="宋体"/>
          <w:sz w:val="21"/>
          <w:szCs w:val="21"/>
        </w:rPr>
        <w:t>、诉讼</w:t>
      </w:r>
    </w:p>
    <w:p w14:paraId="05A78666">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本合同项目所在地为义乌市，本合同发生争议产生的诉讼，应向项目所在地有管辖权的法院提起诉讼。</w:t>
      </w:r>
    </w:p>
    <w:p w14:paraId="5D182956">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十</w:t>
      </w:r>
      <w:r>
        <w:rPr>
          <w:rFonts w:hint="eastAsia" w:ascii="宋体" w:hAnsi="宋体" w:eastAsia="宋体" w:cs="宋体"/>
          <w:sz w:val="21"/>
          <w:szCs w:val="21"/>
          <w:lang w:val="en-US" w:eastAsia="zh-CN"/>
        </w:rPr>
        <w:t>二</w:t>
      </w:r>
      <w:r>
        <w:rPr>
          <w:rFonts w:hint="eastAsia" w:ascii="宋体" w:hAnsi="宋体" w:eastAsia="宋体" w:cs="宋体"/>
          <w:sz w:val="21"/>
          <w:szCs w:val="21"/>
        </w:rPr>
        <w:t>、合同双方确认，本合同及合同约定的其它文件组成部分中的各项约定都是通过法定招标过程形成的合法成果，如果中标单位的投标文件与招标文件要求不一致的，履约时应以有利于采购人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6E5A7568">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十</w:t>
      </w:r>
      <w:r>
        <w:rPr>
          <w:rFonts w:hint="eastAsia" w:ascii="宋体" w:hAnsi="宋体" w:eastAsia="宋体" w:cs="宋体"/>
          <w:sz w:val="21"/>
          <w:szCs w:val="21"/>
          <w:lang w:val="en-US" w:eastAsia="zh-CN"/>
        </w:rPr>
        <w:t>三</w:t>
      </w:r>
      <w:r>
        <w:rPr>
          <w:rFonts w:hint="eastAsia" w:ascii="宋体" w:hAnsi="宋体" w:eastAsia="宋体" w:cs="宋体"/>
          <w:sz w:val="21"/>
          <w:szCs w:val="21"/>
        </w:rPr>
        <w:t>、合同生效及其它</w:t>
      </w:r>
    </w:p>
    <w:p w14:paraId="4740C031">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1、合同经双方法定代表人或授权代表签字并加盖单位公章后生效。</w:t>
      </w:r>
    </w:p>
    <w:p w14:paraId="1D6EAB7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十</w:t>
      </w:r>
      <w:r>
        <w:rPr>
          <w:rFonts w:hint="eastAsia" w:ascii="宋体" w:hAnsi="宋体" w:eastAsia="宋体" w:cs="宋体"/>
          <w:sz w:val="21"/>
          <w:szCs w:val="21"/>
          <w:lang w:val="en-US" w:eastAsia="zh-CN"/>
        </w:rPr>
        <w:t>四</w:t>
      </w:r>
      <w:r>
        <w:rPr>
          <w:rFonts w:hint="eastAsia" w:ascii="宋体" w:hAnsi="宋体" w:eastAsia="宋体" w:cs="宋体"/>
          <w:sz w:val="21"/>
          <w:szCs w:val="21"/>
        </w:rPr>
        <w:t>、本合同一式  份，甲乙双方各执  份，义乌</w:t>
      </w:r>
      <w:bookmarkStart w:id="87" w:name="_GoBack"/>
      <w:bookmarkEnd w:id="87"/>
      <w:r>
        <w:rPr>
          <w:rFonts w:hint="eastAsia" w:ascii="宋体" w:hAnsi="宋体" w:eastAsia="宋体" w:cs="宋体"/>
          <w:sz w:val="21"/>
          <w:szCs w:val="21"/>
        </w:rPr>
        <w:t>产权交易所有限公司执一份，均具同等效力。</w:t>
      </w:r>
    </w:p>
    <w:p w14:paraId="4627BC3D">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甲    方：________________________  乙    方：________________________</w:t>
      </w:r>
    </w:p>
    <w:p w14:paraId="01498B60">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地    址：________________________  地    址：________________________</w:t>
      </w:r>
    </w:p>
    <w:p w14:paraId="6EB82FD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法定代表人：______________________  法定代表人：______________________  </w:t>
      </w:r>
    </w:p>
    <w:p w14:paraId="0C49775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授权代表：________________________  授权代表：________________________          </w:t>
      </w:r>
    </w:p>
    <w:p w14:paraId="7E3E9D06">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电    话：________________________  电    话：________________________</w:t>
      </w:r>
    </w:p>
    <w:p w14:paraId="2E9971AF">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账</w:t>
      </w:r>
      <w:r>
        <w:rPr>
          <w:rFonts w:hint="eastAsia" w:ascii="宋体" w:hAnsi="宋体" w:eastAsia="宋体" w:cs="宋体"/>
          <w:sz w:val="21"/>
          <w:szCs w:val="21"/>
        </w:rPr>
        <w:t xml:space="preserve">户名称：________________________  </w:t>
      </w:r>
      <w:r>
        <w:rPr>
          <w:rFonts w:hint="eastAsia" w:ascii="宋体" w:hAnsi="宋体" w:eastAsia="宋体" w:cs="宋体"/>
          <w:sz w:val="21"/>
          <w:szCs w:val="21"/>
          <w:lang w:val="en-US" w:eastAsia="zh-CN"/>
        </w:rPr>
        <w:t>账</w:t>
      </w:r>
      <w:r>
        <w:rPr>
          <w:rFonts w:hint="eastAsia" w:ascii="宋体" w:hAnsi="宋体" w:eastAsia="宋体" w:cs="宋体"/>
          <w:sz w:val="21"/>
          <w:szCs w:val="21"/>
        </w:rPr>
        <w:t>户名称：________________________</w:t>
      </w:r>
    </w:p>
    <w:p w14:paraId="6145AA4F">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开户银行：________________________  开户银行：________________________</w:t>
      </w:r>
    </w:p>
    <w:p w14:paraId="0004659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账</w:t>
      </w:r>
      <w:r>
        <w:rPr>
          <w:rFonts w:hint="eastAsia" w:ascii="宋体" w:hAnsi="宋体" w:eastAsia="宋体" w:cs="宋体"/>
          <w:sz w:val="21"/>
          <w:szCs w:val="21"/>
        </w:rPr>
        <w:t xml:space="preserve">    号：________________________  </w:t>
      </w:r>
      <w:r>
        <w:rPr>
          <w:rFonts w:hint="eastAsia" w:ascii="宋体" w:hAnsi="宋体" w:eastAsia="宋体" w:cs="宋体"/>
          <w:sz w:val="21"/>
          <w:szCs w:val="21"/>
          <w:lang w:val="en-US" w:eastAsia="zh-CN"/>
        </w:rPr>
        <w:t>账</w:t>
      </w:r>
      <w:r>
        <w:rPr>
          <w:rFonts w:hint="eastAsia" w:ascii="宋体" w:hAnsi="宋体" w:eastAsia="宋体" w:cs="宋体"/>
          <w:sz w:val="21"/>
          <w:szCs w:val="21"/>
        </w:rPr>
        <w:t xml:space="preserve">    号：________________________</w:t>
      </w:r>
    </w:p>
    <w:p w14:paraId="473194B6">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签约时间：________________________  签约地点：________________________</w:t>
      </w:r>
    </w:p>
    <w:p w14:paraId="2DCA7797">
      <w:pPr>
        <w:rPr>
          <w:rFonts w:hint="eastAsia" w:ascii="宋体" w:hAnsi="宋体" w:eastAsia="宋体" w:cs="宋体"/>
          <w:color w:val="auto"/>
          <w:sz w:val="21"/>
          <w:szCs w:val="21"/>
          <w:highlight w:val="none"/>
        </w:rPr>
      </w:pPr>
    </w:p>
    <w:p w14:paraId="2BEB3D2A">
      <w:pPr>
        <w:pStyle w:val="3"/>
        <w:numPr>
          <w:ilvl w:val="0"/>
          <w:numId w:val="0"/>
        </w:numPr>
        <w:spacing w:line="500" w:lineRule="exact"/>
        <w:ind w:firstLine="2319" w:firstLineChars="1100"/>
        <w:jc w:val="both"/>
        <w:rPr>
          <w:rFonts w:hint="eastAsia" w:ascii="宋体" w:hAnsi="宋体" w:eastAsia="宋体" w:cs="宋体"/>
          <w:color w:val="auto"/>
          <w:sz w:val="21"/>
          <w:szCs w:val="21"/>
          <w:highlight w:val="none"/>
        </w:rPr>
      </w:pPr>
    </w:p>
    <w:p w14:paraId="764500D5">
      <w:pPr>
        <w:pStyle w:val="3"/>
        <w:numPr>
          <w:ilvl w:val="0"/>
          <w:numId w:val="0"/>
        </w:numPr>
        <w:spacing w:line="500" w:lineRule="exact"/>
        <w:ind w:firstLine="2319" w:firstLineChars="1100"/>
        <w:jc w:val="both"/>
        <w:rPr>
          <w:rFonts w:hint="eastAsia" w:ascii="宋体" w:hAnsi="宋体" w:eastAsia="宋体" w:cs="宋体"/>
          <w:color w:val="auto"/>
          <w:sz w:val="21"/>
          <w:szCs w:val="21"/>
          <w:highlight w:val="none"/>
        </w:rPr>
      </w:pPr>
    </w:p>
    <w:p w14:paraId="16264D4E">
      <w:pPr>
        <w:pStyle w:val="3"/>
        <w:numPr>
          <w:ilvl w:val="0"/>
          <w:numId w:val="0"/>
        </w:numPr>
        <w:spacing w:line="500" w:lineRule="exact"/>
        <w:ind w:firstLine="2319" w:firstLineChars="1100"/>
        <w:jc w:val="both"/>
        <w:rPr>
          <w:rFonts w:hint="eastAsia" w:ascii="宋体" w:hAnsi="宋体" w:eastAsia="宋体" w:cs="宋体"/>
          <w:color w:val="auto"/>
          <w:sz w:val="21"/>
          <w:szCs w:val="21"/>
          <w:highlight w:val="none"/>
        </w:rPr>
      </w:pPr>
    </w:p>
    <w:p w14:paraId="571278E2">
      <w:pPr>
        <w:pStyle w:val="3"/>
        <w:numPr>
          <w:ilvl w:val="0"/>
          <w:numId w:val="0"/>
        </w:numPr>
        <w:spacing w:line="500" w:lineRule="exact"/>
        <w:ind w:firstLine="2319" w:firstLineChars="1100"/>
        <w:jc w:val="both"/>
        <w:rPr>
          <w:rFonts w:hint="eastAsia" w:ascii="宋体" w:hAnsi="宋体" w:eastAsia="宋体" w:cs="宋体"/>
          <w:color w:val="auto"/>
          <w:sz w:val="21"/>
          <w:szCs w:val="21"/>
          <w:highlight w:val="none"/>
        </w:rPr>
      </w:pPr>
    </w:p>
    <w:p w14:paraId="3994D477">
      <w:pPr>
        <w:pStyle w:val="3"/>
        <w:numPr>
          <w:ilvl w:val="0"/>
          <w:numId w:val="0"/>
        </w:numPr>
        <w:spacing w:line="500" w:lineRule="exact"/>
        <w:ind w:firstLine="2319" w:firstLineChars="1100"/>
        <w:jc w:val="both"/>
        <w:rPr>
          <w:rFonts w:hint="eastAsia" w:ascii="宋体" w:hAnsi="宋体" w:eastAsia="宋体" w:cs="宋体"/>
          <w:color w:val="auto"/>
          <w:sz w:val="21"/>
          <w:szCs w:val="21"/>
          <w:highlight w:val="none"/>
        </w:rPr>
      </w:pPr>
    </w:p>
    <w:p w14:paraId="1B2C3168">
      <w:pPr>
        <w:pStyle w:val="3"/>
        <w:numPr>
          <w:ilvl w:val="0"/>
          <w:numId w:val="0"/>
        </w:numPr>
        <w:spacing w:line="500" w:lineRule="exact"/>
        <w:ind w:firstLine="2319" w:firstLineChars="1100"/>
        <w:jc w:val="both"/>
        <w:rPr>
          <w:rFonts w:hint="eastAsia" w:ascii="宋体" w:hAnsi="宋体" w:eastAsia="宋体" w:cs="宋体"/>
          <w:color w:val="auto"/>
          <w:sz w:val="21"/>
          <w:szCs w:val="21"/>
          <w:highlight w:val="none"/>
        </w:rPr>
      </w:pPr>
    </w:p>
    <w:p w14:paraId="0149AE00">
      <w:pPr>
        <w:pStyle w:val="3"/>
        <w:numPr>
          <w:ilvl w:val="0"/>
          <w:numId w:val="0"/>
        </w:numPr>
        <w:spacing w:line="500" w:lineRule="exact"/>
        <w:ind w:firstLine="2319" w:firstLineChars="1100"/>
        <w:jc w:val="both"/>
        <w:rPr>
          <w:rFonts w:hint="eastAsia" w:ascii="宋体" w:hAnsi="宋体" w:eastAsia="宋体" w:cs="宋体"/>
          <w:color w:val="auto"/>
          <w:sz w:val="21"/>
          <w:szCs w:val="21"/>
          <w:highlight w:val="none"/>
        </w:rPr>
      </w:pPr>
    </w:p>
    <w:p w14:paraId="614EC4C4">
      <w:pPr>
        <w:pStyle w:val="3"/>
        <w:numPr>
          <w:ilvl w:val="0"/>
          <w:numId w:val="0"/>
        </w:numPr>
        <w:spacing w:line="500" w:lineRule="exact"/>
        <w:ind w:firstLine="2319" w:firstLineChars="1100"/>
        <w:jc w:val="both"/>
        <w:rPr>
          <w:rFonts w:hint="eastAsia" w:ascii="宋体" w:hAnsi="宋体" w:eastAsia="宋体" w:cs="宋体"/>
          <w:color w:val="auto"/>
          <w:sz w:val="21"/>
          <w:szCs w:val="21"/>
          <w:highlight w:val="none"/>
        </w:rPr>
      </w:pPr>
    </w:p>
    <w:p w14:paraId="038455FC">
      <w:pPr>
        <w:pStyle w:val="3"/>
        <w:numPr>
          <w:ilvl w:val="0"/>
          <w:numId w:val="0"/>
        </w:numPr>
        <w:spacing w:line="500" w:lineRule="exact"/>
        <w:ind w:firstLine="2319" w:firstLineChars="1100"/>
        <w:jc w:val="both"/>
        <w:rPr>
          <w:rFonts w:hint="eastAsia" w:ascii="宋体" w:hAnsi="宋体" w:eastAsia="宋体" w:cs="宋体"/>
          <w:color w:val="auto"/>
          <w:sz w:val="21"/>
          <w:szCs w:val="21"/>
          <w:highlight w:val="none"/>
        </w:rPr>
      </w:pPr>
    </w:p>
    <w:p w14:paraId="39798649">
      <w:pPr>
        <w:pStyle w:val="3"/>
        <w:numPr>
          <w:ilvl w:val="0"/>
          <w:numId w:val="0"/>
        </w:numPr>
        <w:spacing w:line="500" w:lineRule="exact"/>
        <w:ind w:firstLine="2319" w:firstLineChars="1100"/>
        <w:jc w:val="both"/>
        <w:rPr>
          <w:rFonts w:hint="eastAsia" w:ascii="宋体" w:hAnsi="宋体" w:eastAsia="宋体" w:cs="宋体"/>
          <w:color w:val="auto"/>
          <w:sz w:val="21"/>
          <w:szCs w:val="21"/>
          <w:highlight w:val="none"/>
        </w:rPr>
      </w:pPr>
    </w:p>
    <w:p w14:paraId="640FE9A1">
      <w:pPr>
        <w:rPr>
          <w:rFonts w:hint="eastAsia" w:ascii="宋体" w:hAnsi="宋体" w:eastAsia="宋体" w:cs="宋体"/>
          <w:color w:val="auto"/>
          <w:sz w:val="21"/>
          <w:szCs w:val="21"/>
          <w:highlight w:val="none"/>
        </w:rPr>
      </w:pPr>
    </w:p>
    <w:p w14:paraId="38D7FA23">
      <w:pPr>
        <w:pStyle w:val="2"/>
        <w:rPr>
          <w:rFonts w:hint="eastAsia" w:ascii="宋体" w:hAnsi="宋体" w:eastAsia="宋体" w:cs="宋体"/>
          <w:color w:val="auto"/>
          <w:sz w:val="21"/>
          <w:szCs w:val="21"/>
          <w:highlight w:val="none"/>
        </w:rPr>
      </w:pPr>
    </w:p>
    <w:p w14:paraId="379961D9">
      <w:pPr>
        <w:rPr>
          <w:rFonts w:hint="eastAsia" w:ascii="宋体" w:hAnsi="宋体" w:eastAsia="宋体" w:cs="宋体"/>
          <w:color w:val="auto"/>
          <w:sz w:val="21"/>
          <w:szCs w:val="21"/>
          <w:highlight w:val="none"/>
        </w:rPr>
      </w:pPr>
    </w:p>
    <w:p w14:paraId="6CBD3A90">
      <w:pPr>
        <w:rPr>
          <w:rFonts w:hint="eastAsia"/>
        </w:rPr>
      </w:pPr>
    </w:p>
    <w:p w14:paraId="6A3025D9">
      <w:pPr>
        <w:pStyle w:val="17"/>
        <w:bidi w:val="0"/>
        <w:rPr>
          <w:rFonts w:hint="eastAsia"/>
        </w:rPr>
      </w:pPr>
    </w:p>
    <w:p w14:paraId="26593B8D">
      <w:pPr>
        <w:pStyle w:val="17"/>
        <w:bidi w:val="0"/>
        <w:jc w:val="center"/>
        <w:rPr>
          <w:rFonts w:hint="eastAsia"/>
          <w:b/>
          <w:bCs/>
        </w:rPr>
      </w:pPr>
      <w:r>
        <w:rPr>
          <w:rFonts w:hint="eastAsia"/>
          <w:b/>
          <w:bCs/>
        </w:rPr>
        <w:t>义乌市环境集团有限公司清扫保洁及公厕管理</w:t>
      </w:r>
    </w:p>
    <w:p w14:paraId="4537327C">
      <w:pPr>
        <w:pStyle w:val="17"/>
        <w:bidi w:val="0"/>
        <w:jc w:val="center"/>
        <w:rPr>
          <w:rFonts w:hint="eastAsia"/>
          <w:b/>
          <w:bCs/>
        </w:rPr>
      </w:pPr>
      <w:r>
        <w:rPr>
          <w:rFonts w:hint="eastAsia"/>
          <w:b/>
          <w:bCs/>
        </w:rPr>
        <w:t>市场化运作质量要求及考核办法</w:t>
      </w:r>
    </w:p>
    <w:p w14:paraId="7892DC8A">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一、适用范围</w:t>
      </w:r>
    </w:p>
    <w:p w14:paraId="0494DF2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扫保洁作业承包范围内所有快车道、慢车道、人行道（扫到沿街店面房为止）、绿地带的清扫保洁、袋装化垃圾的收集、“牛皮癣”和废弃物的清除、果皮箱的擦洗保洁与清理、零星大件垃圾、建筑垃圾、工业垃圾的清理、洒水作业和中标人内部管理；社区清扫保洁作业承包范围内所有硬化道路路面（扫到房屋为止）、绿地带的清扫保洁、袋装化垃圾的收集、“牛皮癣”和废弃物的清除、果皮箱的擦洗保洁与清理、零星大件垃圾、建筑垃圾、工业垃圾的清理和中标人内部管理；</w:t>
      </w:r>
    </w:p>
    <w:p w14:paraId="378F504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清扫保洁作业承包范围内部分公厕的日常保洁、维护和管理；</w:t>
      </w:r>
    </w:p>
    <w:p w14:paraId="13BF4AC6">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社区垃圾分类“两定四分”点位垃圾运输、日常管理。</w:t>
      </w:r>
    </w:p>
    <w:p w14:paraId="7B2F6EFF">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二、质量要求</w:t>
      </w:r>
    </w:p>
    <w:p w14:paraId="53288390">
      <w:pPr>
        <w:pStyle w:val="36"/>
        <w:spacing w:line="520" w:lineRule="exact"/>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（一）清扫保洁作业</w:t>
      </w:r>
    </w:p>
    <w:p w14:paraId="338023F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1.日常工作要求及质量标准</w:t>
      </w:r>
    </w:p>
    <w:p w14:paraId="14C3AA3B">
      <w:pPr>
        <w:pStyle w:val="36"/>
        <w:spacing w:line="520" w:lineRule="exact"/>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规定完成清扫保洁任务。二班制人工保洁路段上午第一遍普扫应在06:00前结束，下午第一遍普扫应在14：00前结束；一班制人工保洁路段上午普扫应在07:00前结束,下午普扫应在15：30前结束。做到每天不少于2遍的普扫 (包括快车道两个或四个边、慢车道两个边以及人行道所有需清扫的面积)，普扫后应不间断地巡回保洁。</w:t>
      </w:r>
    </w:p>
    <w:p w14:paraId="594C70B8">
      <w:pPr>
        <w:spacing w:line="480" w:lineRule="exact"/>
        <w:ind w:firstLine="404" w:firstLineChars="200"/>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一班制扫路车完成普扫时间与一班制人工清扫完成普扫时间相同。一班制道路做到每天不少于2遍的作业，应在05:00—07:00、12:00—15:30两个时间段内分别对承包区块内机扫路段完成一次普扫。二班制道路做到每天不少于4遍的作业，应在03:30—06:30、08:00—11:30、12:30—16:00、17:00—20:00四个时间段内分别完成一次普扫。</w:t>
      </w:r>
    </w:p>
    <w:p w14:paraId="5E42A4DD">
      <w:pPr>
        <w:spacing w:line="480" w:lineRule="exact"/>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扫路车、洗扫车作业产生的垃圾，不得随意倾倒，经合规中转处置场所实行泥沙与生活垃圾分离后按环境集团指导意见进行处置，中标人应向义乌市环境集团有限公司（以下简称市环境集团）提供中转处置场所相关合规书面材料。</w:t>
      </w:r>
    </w:p>
    <w:p w14:paraId="31D381E9">
      <w:pPr>
        <w:pStyle w:val="36"/>
        <w:spacing w:line="480" w:lineRule="exact"/>
        <w:ind w:firstLine="624"/>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3）洒水车在非雨天（温度在5摄氏度以上）对承包区块内道路（快车道）做到在每日02：00—05:00、07:00—10:00、12:00—15:00、17:00—20:00每个时间段内不少于一次的洒水；社区内宽12米以上道路做到每日05：00—07:30、12:00—15:00每个时间段内进行不少于一次的洒水，其他路段采用小型洒水设备做到每天不少于一次的洒水。</w:t>
      </w:r>
    </w:p>
    <w:p w14:paraId="2AB8CF8B">
      <w:pPr>
        <w:pStyle w:val="36"/>
        <w:spacing w:line="480" w:lineRule="exact"/>
        <w:ind w:firstLine="624"/>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在创建或上级要求增加洒水次数时，无条件增加洒水次数，完成首次洒水时间为05:00，在城区范围内作业，平均时速不得超过20公里/小时。</w:t>
      </w:r>
    </w:p>
    <w:p w14:paraId="513969C1">
      <w:pPr>
        <w:pStyle w:val="36"/>
        <w:spacing w:line="480" w:lineRule="exact"/>
        <w:ind w:firstLine="624"/>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（4）护栏清洗车（温度在5摄氏度以上）应对承包区块内所有护栏做到每周不少于一次的清洗作业；</w:t>
      </w:r>
    </w:p>
    <w:p w14:paraId="1C5EB37B">
      <w:pPr>
        <w:pStyle w:val="36"/>
        <w:spacing w:line="480" w:lineRule="exact"/>
        <w:ind w:firstLine="624"/>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在创建或上级要求增加护栏清洗次数时，无条件增加护栏清洗次数，在城区范围内作业，平均时速不得超过5公里/小时。</w:t>
      </w:r>
    </w:p>
    <w:p w14:paraId="6068457B">
      <w:pPr>
        <w:spacing w:line="480" w:lineRule="exact"/>
        <w:ind w:firstLine="404" w:firstLineChars="200"/>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5）道路清扫保洁要达到“五无五净”标准，即：无果皮纸屑、无土石杂草、无积水积泥、无痰迹烟蒂、无垃圾堆积；路面干净、绿地树圈干净、边角侧石干净、窨井盖沟槽畅通干净、果皮箱等环卫设施整齐干净。</w:t>
      </w:r>
    </w:p>
    <w:p w14:paraId="01147414">
      <w:pPr>
        <w:spacing w:line="480" w:lineRule="exact"/>
        <w:ind w:firstLine="404" w:firstLineChars="200"/>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（6）绿地带内无垃圾、果皮、纸屑、塑料袋、烟蒂等其它杂物。</w:t>
      </w:r>
    </w:p>
    <w:p w14:paraId="230F6379">
      <w:pPr>
        <w:spacing w:line="480" w:lineRule="exact"/>
        <w:ind w:firstLine="404" w:firstLineChars="200"/>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（7）清扫保洁路段范围内无“牛皮癣”。</w:t>
      </w:r>
    </w:p>
    <w:p w14:paraId="3CC3AEB0">
      <w:pPr>
        <w:spacing w:line="480" w:lineRule="exact"/>
        <w:ind w:firstLine="404" w:firstLineChars="200"/>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（8）果皮箱应保持干净整洁，无垃圾外溢。</w:t>
      </w:r>
    </w:p>
    <w:p w14:paraId="7B8291E8">
      <w:pPr>
        <w:spacing w:line="480" w:lineRule="exact"/>
        <w:ind w:firstLine="404" w:firstLineChars="200"/>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（9）对承包区块内道路路面（包括快车道、慢车道、人行道）内袋装垃圾及时进行收集清理。</w:t>
      </w:r>
    </w:p>
    <w:p w14:paraId="79667EF3">
      <w:pPr>
        <w:spacing w:line="480" w:lineRule="exact"/>
        <w:ind w:firstLine="404" w:firstLineChars="200"/>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（10）对承包区块内道路路面上无主的建筑垃圾、装潢垃圾及渣土等及时进行清理。</w:t>
      </w:r>
    </w:p>
    <w:p w14:paraId="1B417AD5">
      <w:pPr>
        <w:spacing w:line="480" w:lineRule="exact"/>
        <w:ind w:firstLine="404" w:firstLineChars="200"/>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（11）交界处应对延伸2米的范围进行保洁。</w:t>
      </w:r>
    </w:p>
    <w:p w14:paraId="1CB1DB26">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2.量化质量标准</w:t>
      </w:r>
    </w:p>
    <w:p w14:paraId="3680955E">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二班制人工保洁道路完成普扫后路面残留粉尘每平方米不得超过10克；人行道完成普扫后残留粉尘每平方米不得超过12克；一班制人工保洁道路普扫后路面残留粉尘每平方米不得超过20克；扫路车、洗扫车作业后路面残留粉尘每平方米不得超过20克。</w:t>
      </w:r>
    </w:p>
    <w:p w14:paraId="10A43575">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路段内随机一点前后5米（共10米）距离内（快车道、慢车道、人行道至沿街店面房为止）“牛皮癣”数量精品街不得超过1处、普通道路不得超过2处（包括纸贴和油墨两类）且在20分钟内清除为合格，油墨类“牛皮癣”处理后要与底色基本相近，不得产生新的“牛皮癣”。</w:t>
      </w:r>
    </w:p>
    <w:p w14:paraId="4443A587">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路段内随机一点为中心1000平方米范围内，一级道路废弃物数量不得超过10张（个），且必须在25分钟内及时清理；二级道路废弃物数量不得超过17张（个），且必须在30分钟内及时清理；三级以下道路废弃物数量不得超过23张（个），且必须在50分钟内及时清理。</w:t>
      </w:r>
    </w:p>
    <w:p w14:paraId="1643A1A6">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（4）对沿街店面放置的袋装垃圾或道路上袋装垃圾，必须在15分钟内及时清理。</w:t>
      </w:r>
    </w:p>
    <w:p w14:paraId="143F62A6">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（5）果皮箱有垃圾溢出的，在一级道路内应在25分钟内清理干净；在二级道路内应在30分钟内清理干净；在三级及以下道路内应在50分钟内清理干净；并保持果皮箱外观干净整洁。</w:t>
      </w:r>
    </w:p>
    <w:p w14:paraId="47723702">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（6）对道路范围内无主的建筑垃圾、装潢垃圾及渣土等在24小时内进行清理。</w:t>
      </w:r>
    </w:p>
    <w:p w14:paraId="272DBFD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中标人配备的小型收集车、洒水车、扫路车、洗扫车、护栏清洗车等设备必须符合其与市环境集团签订的承包合同之规定。在从事具体清扫保洁工作前所有作业人员配备工牌（内装GPS定位）、所有机动作业车辆必须安装GPS（位置信息）及可视监控（作业视频信息）系统，并可与市环境集团的智慧环卫监控平台联网。</w:t>
      </w:r>
    </w:p>
    <w:p w14:paraId="3658A18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（8）中标人作业车辆数量、人员、作业次数、作业标准应符合本《考核办法》规定的最低要求。</w:t>
      </w:r>
    </w:p>
    <w:p w14:paraId="5FC3F675">
      <w:pPr>
        <w:spacing w:line="520" w:lineRule="exact"/>
        <w:ind w:firstLine="420" w:firstLineChars="200"/>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9）中标人需安排2名人员参与环境集团智慧环卫监控平台管理，并服从统一管理，该人员需具备相关的知识储备，熟悉设备及平台操作，主要负责自身公司环卫作业各项工作的监管，标准按照环境集团相关管理制度执行。</w:t>
      </w:r>
    </w:p>
    <w:p w14:paraId="6CF7F58F">
      <w:pPr>
        <w:pStyle w:val="36"/>
        <w:numPr>
          <w:ilvl w:val="0"/>
          <w:numId w:val="5"/>
        </w:numPr>
        <w:spacing w:line="520" w:lineRule="exact"/>
        <w:ind w:left="0" w:leftChars="0"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公厕管理作业</w:t>
      </w:r>
    </w:p>
    <w:p w14:paraId="10FD5996">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1.日常工作要求及质量标准</w:t>
      </w:r>
    </w:p>
    <w:p w14:paraId="42F3223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公厕卫生管理做到“六无七净一少”，即：无痰迹、粪迹、尿迹，无积尘泥水，无蛛网，四周空地外延5米范围内无垃圾粪便、污水、瓦砾，无蝇蛆，粪便槽无积粪、堵塞；四壁净、地面净、门窗净、蹲位净、隔板净、小便处净、洗手池净；臭气少。</w:t>
      </w:r>
    </w:p>
    <w:p w14:paraId="579B5926">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（2）公厕内、外墙无“牛皮癣”，墙面和环境应整洁、无乱刻乱画、无乱堆杂物。</w:t>
      </w:r>
    </w:p>
    <w:p w14:paraId="6DEA43D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（3）小便槽（斗）应无水锈、尿垢，垃圾沟眼、管道保持畅通。</w:t>
      </w:r>
    </w:p>
    <w:p w14:paraId="36AA61E3">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（4）公厕通道内不得私自铺设地毯。</w:t>
      </w:r>
    </w:p>
    <w:p w14:paraId="5D43D377">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（5）公厕内外设施、设备应完好无损，图形符号标志按规定设置。</w:t>
      </w:r>
    </w:p>
    <w:p w14:paraId="5E82A895">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（6）公厕管理房干净整洁，无积灰、污迹、蛛网和蝇迹，管理房物品和保洁工具应放置整齐。</w:t>
      </w:r>
    </w:p>
    <w:p w14:paraId="0B84FD8F">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（7）做好消毒和除“四害”工作，做到公厕基本无苍蝇、无明显臭味。</w:t>
      </w:r>
    </w:p>
    <w:p w14:paraId="132FDE3F">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（8）公厕管理房不得租借他人，不准留宿无关人员；节约用水，严禁他人洗浴、洗衣、打水等；节约用电，不使用大功率电器，不乱接电线，防止窃电；做好消防安全和安全保卫工作。</w:t>
      </w:r>
    </w:p>
    <w:p w14:paraId="5E1DD57E">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（9）自觉遵守安全用电规章制度，禁止私拉、乱接电网、临时电线等。</w:t>
      </w:r>
    </w:p>
    <w:p w14:paraId="67B0A84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五星级公厕在气温33℃以上或0℃以下时，可按需要开启空调，不符合开启空调的要求时，不得擅自使用；夏季空调温度应设在26℃以上，冬季空调温度应设在18℃以下，尽量减少空调使用时间；除特殊情况外，在早上10点之前和晚上8点之后，空调应停止使用，做到节约用电。</w:t>
      </w:r>
    </w:p>
    <w:p w14:paraId="2B4094C3">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（11）规范使用并保管好消毒、“除四害”药品，勿伤及人畜。</w:t>
      </w:r>
    </w:p>
    <w:p w14:paraId="3535B83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2.其他要求</w:t>
      </w:r>
    </w:p>
    <w:p w14:paraId="2C8C24D5">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（1）不得占用、挪用第三卫生间、残疾坑位等</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残疾人坑位不得上锁。</w:t>
      </w:r>
    </w:p>
    <w:p w14:paraId="714E65B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（2）提供手纸时，必须遵守“自愿购买”的规定，并不准擅自提价或以次充好（少张），不准搞其它销售经营活动。</w:t>
      </w:r>
    </w:p>
    <w:p w14:paraId="5C3F6765">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（3）公厕内设施有损坏或者有故障应在24小时内修理完毕，确有困难无法按时修理完成的，书面上报市环境集团，经市环境集团同意后可适当延长时间。</w:t>
      </w:r>
    </w:p>
    <w:p w14:paraId="370D187E">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（4）遵纪守法，禁止在公厕或管理房内进行非法活动，发生问题责任自负。</w:t>
      </w:r>
    </w:p>
    <w:p w14:paraId="6A8B2C1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（5）保洁员认真做好日常登记，中标人应派员每日对承包公厕进行巡查，做好巡查日记。</w:t>
      </w:r>
    </w:p>
    <w:p w14:paraId="7CBE2859">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（6）公厕应做到24小时开放，并安排专人管理。</w:t>
      </w:r>
    </w:p>
    <w:p w14:paraId="7932A861">
      <w:pPr>
        <w:spacing w:line="520" w:lineRule="exact"/>
        <w:ind w:firstLine="420" w:firstLineChars="200"/>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（7）公厕粪便应按规定进行无害化处理；化粪池将满时，应及时进行清理。</w:t>
      </w:r>
    </w:p>
    <w:p w14:paraId="791DCF02">
      <w:pPr>
        <w:spacing w:line="480" w:lineRule="exact"/>
        <w:ind w:firstLine="404" w:firstLineChars="200"/>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（三）社区垃圾分类“两定四分”管理作业</w:t>
      </w:r>
    </w:p>
    <w:p w14:paraId="07C3787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（1）引导、维护市民有序分类投放垃圾。</w:t>
      </w:r>
    </w:p>
    <w:p w14:paraId="44B9FB3E">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（2）指导、督促市民严格按四分法要求分类投放垃圾及投放到相对应的垃圾桶内。</w:t>
      </w:r>
    </w:p>
    <w:p w14:paraId="2F45208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（3）宣传栏、垃圾桶和点位周边的环境干净整洁，确保各类垃圾入桶。</w:t>
      </w:r>
    </w:p>
    <w:p w14:paraId="0ECCACCA">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（4）点位设备日常保养及运行状况良好。</w:t>
      </w:r>
    </w:p>
    <w:p w14:paraId="331495E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（5）垃圾桶内垃圾投放满时及时通知驾驶员运输，确保每个“两定四分法”点位垃圾不满溢。</w:t>
      </w:r>
    </w:p>
    <w:p w14:paraId="5B9EDC3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（6）配合驾驶员做好垃圾收集工作，指挥清运车辆有序进出。</w:t>
      </w:r>
    </w:p>
    <w:p w14:paraId="0D2777AF">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（7）维护点位周边停车秩序，有乱停车占道情况及时联系解决。</w:t>
      </w:r>
    </w:p>
    <w:p w14:paraId="3549D6B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（8）其他垃圾分类“两定四分”管理作业标准和规范。</w:t>
      </w:r>
    </w:p>
    <w:p w14:paraId="53F40E32">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三、中标人内部管理要求</w:t>
      </w:r>
    </w:p>
    <w:p w14:paraId="56989DE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必须在义乌市内具有固定的办公及机械、设备、车辆停放场所，同时还应有专门堆放清扫保洁用具、公厕管理及保洁用具的固定场所和扫路车、洗扫车垃圾合法中转处置场所。中标人应将上述场所相关材料（所有权、使用权或租赁协议等相关材料）复印件交市环境集团留存。</w:t>
      </w:r>
    </w:p>
    <w:p w14:paraId="08548A2A">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（二）中标人必须有健全的安全生产制度和内部督查考核管理制度，并保证上述制度在实际工作中有效执行。</w:t>
      </w:r>
    </w:p>
    <w:p w14:paraId="22F3131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（三）中标人用于环境集团项目的洒水车、机扫车、洗扫车、护栏清洗车、小型垃圾收集车等外观必须要完整，不得有破损等影响市容市貌。</w:t>
      </w:r>
    </w:p>
    <w:p w14:paraId="303055CF">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（四）中标人必须提供规范、整洁、统一的一线工人工作服。</w:t>
      </w:r>
    </w:p>
    <w:p w14:paraId="5AC47233">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中标人必须按照与市环境集团签订的承包合同的规定，配足核定人员。中标人每月需向市环境集团提供所有工种的人员名册表（附件1）和人员变动登记表（附件2）及身份证信息与路段相符的责任路段表（附件3）。</w:t>
      </w:r>
    </w:p>
    <w:p w14:paraId="16880838">
      <w:pPr>
        <w:spacing w:line="520" w:lineRule="exact"/>
        <w:ind w:firstLine="420" w:firstLineChars="200"/>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中标人在开始从事具体清扫保洁任务一个月内，需向市环境集团提供其与所有聘用人员签订的劳动合同复印件，人员发生变动的，需提供与新招收录用人员的劳动合同复印件。</w:t>
      </w:r>
    </w:p>
    <w:p w14:paraId="7DCDAF5F">
      <w:pPr>
        <w:spacing w:line="520" w:lineRule="exact"/>
        <w:ind w:firstLine="420" w:firstLineChars="200"/>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月综合考核连续二个月合格率达到95%（优秀）以上的，中标人可对核定一线清扫人员进行优化核减，核减率按照环境集团核定人员数量基础上最高不得超过10%，核减人员信息需报环境集团管理分公司及运营发展部备案；如核减当月月综合考核合格率在95%以下的，按照核减人员全部经费进行扣款并取消下月优化方案。</w:t>
      </w:r>
    </w:p>
    <w:p w14:paraId="32E67B59">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综合考核连续二个月合格率达不到80%（不合格）的，中标人须核增一线清扫人员数量，核增率按照环境集团核定人员数量基础上不得少于10%，核增人员信息需报环境集团管理分公司及运营发展部备案；如核增当月月综合考核合格率达到80%以上的，下月可取消核增方案。</w:t>
      </w:r>
    </w:p>
    <w:p w14:paraId="4FF331DA">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中标人必须按照与市环境集团签订的承包合同规定配足管理人员。</w:t>
      </w:r>
    </w:p>
    <w:p w14:paraId="45C97F4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（六）中标人必须在每月底将当月内部检查、考核以及人员信息等资料以书面形式一式两份报送市环境集团。</w:t>
      </w:r>
    </w:p>
    <w:p w14:paraId="5B3E2765">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四、督查考核种类和方法</w:t>
      </w:r>
    </w:p>
    <w:p w14:paraId="6D4CBAA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（一）首次考核：在签订合同后30日内，市环境集团对其企业资质等进行的专项考核，考核人员由运营发展部、法务审计部及各清洁服务分公司组成。</w:t>
      </w:r>
    </w:p>
    <w:p w14:paraId="2EBDDD8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（二）月综合考核：市环境集团运营发展部组织对其专项业务进行考核，每月不少于两次，每次由二人以上组成。</w:t>
      </w:r>
    </w:p>
    <w:p w14:paraId="52F1A556">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定员定岗考核：根据中标人作业质量情况，由市环境集团运营发展部牵头开展的考核，年度内全面核查不少于4次，每月随机抽查次数不限，考核人员由运营发展部、法务审计部及各清洁服务分公司组成。分公司自行开展的考核，每月至少一次，当月遇到同时考核的，可将集团牵头开展考核次数列入分公司自行考核次数内。</w:t>
      </w:r>
    </w:p>
    <w:p w14:paraId="3C063B0E">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全面核查与抽查路面实际在岗清扫人员是否与中标人每月报送的人员名册表和人员变动登记表及身份证信息与路段相符的责任路段表相一致，以及承包区块内实际在岗人数是否低于环境集团核定最低人数。</w:t>
      </w:r>
    </w:p>
    <w:p w14:paraId="2C96182F">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（四）日常巡查考核：市环境集团清洁服务分公司组织考核。考核时间与作业时间同步，采用巡回督查检查方式。</w:t>
      </w:r>
    </w:p>
    <w:p w14:paraId="08110E2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（五）社会监督考核：</w:t>
      </w:r>
    </w:p>
    <w:p w14:paraId="282C2DE6">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市环境集团可邀请社会监督人员、相关部委、街道工作人员、环境集团分公司工作人员、店面业主、市场化承包公司等人员参加考核及问卷调查。</w:t>
      </w:r>
    </w:p>
    <w:p w14:paraId="16F32C6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（六）清扫保洁作业月综合考核中的废弃物考核、“牛皮癣”考核、洒水作业考核和果壳箱考核可以合并一起进行。</w:t>
      </w:r>
    </w:p>
    <w:p w14:paraId="07BA6BAB">
      <w:pPr>
        <w:spacing w:line="520" w:lineRule="exact"/>
        <w:ind w:firstLine="420" w:firstLineChars="200"/>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（七）各项考核结束后，当场宣布考核结果（路面残留粉尘考核需现场取样结束回指定地点称出重量后宣布）。</w:t>
      </w:r>
    </w:p>
    <w:p w14:paraId="375CC84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（八）考核不合格的点，将自动转为下一次或次月的必考点（复考可以在该点责任人范围内随机确定），直至考核结果为合格以上止，如该考核点优秀的不予以奖励。</w:t>
      </w:r>
    </w:p>
    <w:p w14:paraId="789DC54F">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五、考核内容及处罚标准</w:t>
      </w:r>
    </w:p>
    <w:p w14:paraId="0954E4BE">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（一）首次考核</w:t>
      </w:r>
    </w:p>
    <w:p w14:paraId="5898826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1.是否有固定的办公及机械、设备、车辆停放场所和专门堆放保洁作业用具的固定场所。</w:t>
      </w:r>
    </w:p>
    <w:p w14:paraId="447B8EB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2.是否有健全的安全和内部督查考核管理制度。</w:t>
      </w:r>
    </w:p>
    <w:p w14:paraId="51DDB6DF">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3.是否有合理的、具体的清扫保洁方案、公厕保洁方案、人员配置方案及创建等全市性检查活动、恶劣天气（如暴雨、雨雪冰冻）的应急方案。</w:t>
      </w:r>
    </w:p>
    <w:p w14:paraId="2322F494">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4.是否配备符合合同规定的人员。</w:t>
      </w:r>
    </w:p>
    <w:p w14:paraId="667B4105">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5.是否有合理的不锈钢三轮车。</w:t>
      </w:r>
    </w:p>
    <w:p w14:paraId="79841AA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6.是否按照合同规定配足小型垃圾收集车、洒水车、扫路车、洗扫车、护栏清洗车等。</w:t>
      </w:r>
    </w:p>
    <w:p w14:paraId="03DA515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7.是否有合法的扫路车、洗扫车垃圾中转处置场所等。</w:t>
      </w:r>
    </w:p>
    <w:p w14:paraId="53448425">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首次考核内容有项目不符合要求且未在限期内整改的，视为不合格，按照本办法第六条处理。首次考核内容在日常考核、月综合考核、定员定岗考核过程中均可作为考核内容。</w:t>
      </w:r>
    </w:p>
    <w:p w14:paraId="1243B3DF">
      <w:pPr>
        <w:spacing w:line="480" w:lineRule="exact"/>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（二）月综合考核</w:t>
      </w:r>
    </w:p>
    <w:p w14:paraId="3FE4E430">
      <w:pPr>
        <w:pStyle w:val="36"/>
        <w:spacing w:line="520" w:lineRule="exact"/>
        <w:ind w:firstLine="211"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1.清扫保洁作业</w:t>
      </w:r>
    </w:p>
    <w:p w14:paraId="21C21EB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（1）残留粉尘考核</w:t>
      </w:r>
    </w:p>
    <w:p w14:paraId="2A06F36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工清扫二班制路面残留粉尘每平方米不得超过10克，10克以上为不合格；人行道完成普扫后残留粉尘每平方米不得超过12克，12克以上为不合格；一班制路段、机械化作业路段路面残留粉尘不得超过20克，20克以上为不合格。</w:t>
      </w:r>
    </w:p>
    <w:p w14:paraId="4656152A">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残留粉尘考核为每日首次普扫规定时间后进行，残留粉尘考核时，如在质量要求第一款规定时间内没有完成首次普扫的,直接认定为不合格；残留粉尘考核点刚好在建筑工地出口附近的，在距离出口不足200米的情况下，应移足200米。</w:t>
      </w:r>
    </w:p>
    <w:p w14:paraId="13934005">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（2）废弃物考核</w:t>
      </w:r>
    </w:p>
    <w:p w14:paraId="20B576C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中标人中标路段的清扫保洁总面积除以20万平方米计算考核点数量，但最少不得少于3个点，考核点随机产生。废弃物指标应符合标准：路段内随机一点为中心1000平方米范围内，一级道路废弃物数量不得超过10张（个），且必须在25分钟内及时清理；二级道路废弃物数量不得超过17张（个），且必须在30分钟内及时清理；三级以下道路废弃物数量不得超过23张（个），且必须在50分钟内及时清理。</w:t>
      </w:r>
    </w:p>
    <w:p w14:paraId="64829763">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道路范围废弃物超出上述标准的；道路范围内废弃物未超出上述标准，但未在上述规定时间内清理的；道路范围内有明显垃圾、土石杂草、积水积泥的，认定为该项目考核不合格。</w:t>
      </w:r>
    </w:p>
    <w:p w14:paraId="3D5E4972">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（3）“牛皮癣”考核</w:t>
      </w:r>
    </w:p>
    <w:p w14:paraId="1385114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道路“牛皮癣”做到及时清理。路段内随机一点前后5米（共10米）距离内（快车道、慢车道、人行道至沿街店面房为止）“牛皮癣”数量：精品街不得超过1处；普通道路不得超过2处（包括纸贴和油墨两类）。油墨类“牛皮癣”处理后要与底色基本相近，不得产生新的“牛皮癣”。</w:t>
      </w:r>
    </w:p>
    <w:p w14:paraId="060626CD">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前款规定，精品街“牛皮癣”2张（个）以上的或1张（个）且未在20分钟内清理的。其他路段，“牛皮癣”3张（个）以上的或2张（个）以下且在20分钟内未清理的，认定为不合格。油墨类“牛皮癣”处理后与底色反差大，产生新的“牛皮癣”的，该项考核认定为不合格。</w:t>
      </w:r>
    </w:p>
    <w:p w14:paraId="2507BD94">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（4）果皮箱考核</w:t>
      </w:r>
    </w:p>
    <w:p w14:paraId="22C0E739">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果皮箱内胆存在陈旧垃圾，果皮箱表面有明显积尘、内外明显污迹及“牛皮癣”滞留，破损移位的；果皮箱存在破损移位情况而未及时报修的（以书面、电子信息等文字内容为准）该项考核认定为不合格。 </w:t>
      </w:r>
    </w:p>
    <w:p w14:paraId="4C0843B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果皮箱有垃圾溢出，一级道路未在25分钟内清理干净，二级道路未在30分钟内清理干净，三级及以下道路未在50分钟内清理干净的；路段上相邻两只以上果皮箱有外溢情况的，该项考核认定为不合格。</w:t>
      </w:r>
    </w:p>
    <w:p w14:paraId="7EC07122">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（5）洒水车作业考核</w:t>
      </w:r>
    </w:p>
    <w:p w14:paraId="7E82E63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洒水车考核点在承包范围内随机抽查2至3条道路。</w:t>
      </w:r>
    </w:p>
    <w:p w14:paraId="7DF5D723">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承包区域内道路有无洒水或在规定的时间段是否完成洒水及洒水车作业规范进行考核。因在抽查到的路段无法分清有无洒水的，考核人员可查看洒水车GPS及可视监控系统运行轨迹，洒水车GPS及可视监控系统中无运行轨迹或运行轨迹不全的，视为不合格；对承包区块内的主干道（快车道）每日洒水少于四次的，视为不合格。对承包区块内社区的宽12米以上道路每日洒水少于二次的，社区内宽12米以下道路每日洒水少于一次的，视为不合格。</w:t>
      </w:r>
    </w:p>
    <w:p w14:paraId="3BBAB79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（6）护栏清洗车作业考核</w:t>
      </w:r>
    </w:p>
    <w:p w14:paraId="1AEDB017">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护栏清洗车考核点在承包范围内随机抽查2至3条道路护栏。</w:t>
      </w:r>
    </w:p>
    <w:p w14:paraId="1BC552C5">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承包区域内护栏有无清洗或在规定的时间段是否完成护栏清洗及护栏清洗车作业规范进行考核。因在抽查到的路段无法分清有无护栏清洗的，考核人员可查看护栏清洗车GPS及可视监控系统运行轨迹，护栏清洗车GPS及可视监控系统中无运行轨迹或运行轨迹不全的，视为不合格；对承包区块内的护栏每周清洗少于一次的，视为不合格。</w:t>
      </w:r>
    </w:p>
    <w:p w14:paraId="2106B933">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（7）安全生产考核</w:t>
      </w:r>
    </w:p>
    <w:p w14:paraId="651E3FC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公司要有完善的安全生产规则制度；应对应急事件的安全处置流程；清扫工过马路时做到文明，不得翻越护栏、闯红灯、骑三轮车过斑马线；清扫保洁作业时要有明显的反光指示；机械化设备工作时不得闯红灯、违章停车等存在安全隐患的行为；护栏清洗、道路冲洗时，采取必要的安全措施；各中标公司每月召开安全生产会，并有相关的会议记录。</w:t>
      </w:r>
    </w:p>
    <w:p w14:paraId="62DC32F4">
      <w:pPr>
        <w:spacing w:line="520" w:lineRule="exact"/>
        <w:ind w:firstLine="420" w:firstLineChars="200"/>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未按以上要求管理作业的，本项考核视为不合格。</w:t>
      </w:r>
    </w:p>
    <w:p w14:paraId="5DAD265F">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2.公厕管理作业</w:t>
      </w:r>
    </w:p>
    <w:p w14:paraId="2A93F802">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（1）公厕整洁考核</w:t>
      </w:r>
    </w:p>
    <w:p w14:paraId="044E7C06">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厕卫生管理做到“六无七净一少”，无“牛皮癣”；小便槽（斗）不得有水锈、尿垢，垃圾沟眼、管道需保持畅通；公厕管理房不得脏乱，不得有积灰、污迹、蛛网或蝇迹；定期做好消毒和除“四害”工作；公厕四周空地外延5米范围无杂物堆放、无垃圾堆积、无粪便污水、无明显废弃物、无破坏绿化行为；公厕外墙干净整洁，无乱涂乱画、无“牛皮癣”。</w:t>
      </w:r>
    </w:p>
    <w:p w14:paraId="602771C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未按以上要求管理作业的，本项考核视为不合格。</w:t>
      </w:r>
    </w:p>
    <w:p w14:paraId="347FB8F9">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（2）安全生产考核</w:t>
      </w:r>
    </w:p>
    <w:p w14:paraId="0DCF7766">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厕管理房做到文明使用，公厕管理房不得租借他人，不准留宿无关人员，禁止在公厕或管理房内从事非法活动或其他不符合制度要求的活动；不使用大功率电器，不乱接电线，防止窃电；规范使用并保管好消毒、“除四害”药品，勿伤及人畜；按照规范配置消防设备及消防器材，消防安全管理到位。</w:t>
      </w:r>
    </w:p>
    <w:p w14:paraId="659547A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未按以上要求管理作业的，本项考核视为不合格。</w:t>
      </w:r>
    </w:p>
    <w:p w14:paraId="09F2449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（3）规范保洁程序考核</w:t>
      </w:r>
    </w:p>
    <w:p w14:paraId="5BD6280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洗作业时要放置“清洗作业”标志，非清洗作业期间要放置“小心地滑”标志；公厕保洁员须着工作服、挂监督牌、着装整洁，保洁时带皮手套、口罩；公厕保洁员遵守工作纪律，不乱收费，上班时间严禁看电视、使用电脑，不得擅自离岗、不得干私活或其他与工作无关的事；消杀登记、管理人员巡查记录等公厕管理台账健全。</w:t>
      </w:r>
    </w:p>
    <w:p w14:paraId="557E46E3">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未按以上要求管理作业的，本项考核视为不合格。</w:t>
      </w:r>
    </w:p>
    <w:p w14:paraId="0075CCA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（4）公厕设施完好考核</w:t>
      </w:r>
    </w:p>
    <w:p w14:paraId="704556F7">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厕内照明设施完好，洗手器具、镜子、衣钩、烘手器、冲水设备等完好，无积尘无污物；公厕门牌、标识标志、文明入厕标语、保洁人员岗位职责、监督牌、禁烟标志等上墙公示内容完整齐全；便槽、墙面、地面、管道整洁无破损、无剥落。</w:t>
      </w:r>
    </w:p>
    <w:p w14:paraId="72D6FB06">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未按以上要求管理作业的，本项考核视为不合格。</w:t>
      </w:r>
    </w:p>
    <w:p w14:paraId="1A27751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（5）其他要求考核</w:t>
      </w:r>
    </w:p>
    <w:p w14:paraId="66E17C0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公厕应做到24小时开放，并安排专人管理；公厕粪便应按规定进行无害化处理；化粪池将满时，应及时进行清理；不得占用、挪用第三卫生间、残疾坑位；残疾人坑位不得上锁。</w:t>
      </w:r>
    </w:p>
    <w:p w14:paraId="7191117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未按以上要求管理作业的，本项考核视为不合格。</w:t>
      </w:r>
    </w:p>
    <w:p w14:paraId="0F871B5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3.社区垃圾分类“两定四分”管理作业</w:t>
      </w:r>
    </w:p>
    <w:p w14:paraId="3D92C59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（1）“两定四分”管理考核</w:t>
      </w:r>
    </w:p>
    <w:p w14:paraId="364F6632">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两定四分”监管人员需做好指导、督促市民严格按四分法要求分类投放垃圾及投放到相对应的垃圾桶内；引导、维护市民有序分类投放垃圾；保持宣传栏和点位周边的环境干净整洁，确保各类垃圾入桶；保持分类垃圾桶内外干净整洁，每天至少冲洗一次垃圾桶；垃圾桶内垃圾投放满时及时通知驾驶员运输，确保每个“两定四分”点位垃圾不满溢；保持“两定四分”垃圾分类点上照明设施完好，洗手器具、冲水设备等完好；定期做好消毒和除“四害”工作；做好其他“两定四分”管理作业标准和规范。</w:t>
      </w:r>
    </w:p>
    <w:p w14:paraId="170B93ED">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未按以上要求管理作业的，本项考核视为不合格。</w:t>
      </w:r>
    </w:p>
    <w:p w14:paraId="359D68DA">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（2）安全生产考核</w:t>
      </w:r>
    </w:p>
    <w:p w14:paraId="51D0E0F5">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积极配合驾驶员做好垃圾收集工作，指挥清运车辆有序进出；维护点位周边停车秩序，有乱停车占道情况及时联系解决；不使用大功率电器，不乱接电线，防止窃电；规范使用并保管好消毒、“除四害”药品，勿伤及人畜；按照规范配置消防设备及消防器材，消防安全管理到位。</w:t>
      </w:r>
    </w:p>
    <w:p w14:paraId="2C4029C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未按以上要求管理作业的，本项考核视为不合格。</w:t>
      </w:r>
    </w:p>
    <w:p w14:paraId="777D47C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4.月综合考核处罚与奖励标准</w:t>
      </w:r>
    </w:p>
    <w:p w14:paraId="5C2D9C5A">
      <w:pPr>
        <w:spacing w:line="520" w:lineRule="exact"/>
        <w:ind w:firstLine="420" w:firstLineChars="200"/>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在月综合考核中，每个考核点考核结果不合格的扣500元/点。因上次考核不合格点自动转为下次考核点后再次不合格的扣1000元/点，相同考核点连续三次考核不合格的，从第三次开始扣2000元/点。将每月各单项考核内容进行综合汇总，合格率在80%以上的，当月综合考核为合格，不奖不罚；合格率在95%以上的，当月综合考核为优秀，奖励5000元。</w:t>
      </w:r>
    </w:p>
    <w:p w14:paraId="2E8D407E">
      <w:pPr>
        <w:spacing w:line="480" w:lineRule="exact"/>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（三）定员定岗考核</w:t>
      </w:r>
    </w:p>
    <w:p w14:paraId="56B563E9">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主要先检查中标人每月上报的人员名册表与责任路段表中人员是否一致，人数是否符合环境集团核定最低人数；其次检查路面实际在岗清扫人员是否与责任路段表相一致。</w:t>
      </w:r>
    </w:p>
    <w:p w14:paraId="41A7A81E">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要求配足一线管理人员的，每缺一人扣每人每天1000元；根据责任网格，检查过程中一线作业人员未在岗的，每缺一人扣600元；在岗作业人员信息与责任网格上不一致的，扣300元/人。未配足作业人员的，每缺一人扣每人每天600元；同一责任路段内连续上、下午或连续2天（次）都未发现有人清扫的，按缺1人计；同一责任路段内连续上、下午或连续2天发现作业人员有离岗、迟到、早退等情况，且未在20分钟内回到岗位现场的，按缺1人计；路段作业人员有迟到、早退情况的，扣500元/人次；擅自离岗10分钟内回到岗位现场的，扣500元/人次，否则按缺1人计。</w:t>
      </w:r>
    </w:p>
    <w:p w14:paraId="7C48515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（四）日常巡查考核</w:t>
      </w:r>
    </w:p>
    <w:p w14:paraId="5E0DD15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1.清扫保洁工作</w:t>
      </w:r>
    </w:p>
    <w:p w14:paraId="14237D1D">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（1）清扫保洁路段内有明显暴露垃圾及袋装垃圾且在15分钟内未清除的。</w:t>
      </w:r>
    </w:p>
    <w:p w14:paraId="45413EE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（2）规定范围内道路路面、人行道、绿地带内废弃物（果皮、纸屑、塑膜、烟蒂等）数量超出质量要求的，且在规定时间内未清除的。</w:t>
      </w:r>
    </w:p>
    <w:p w14:paraId="43C9258D">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（3）清扫保洁路面（包括人行道）有明显土石杂草、积水积泥的。 </w:t>
      </w:r>
    </w:p>
    <w:p w14:paraId="42F79BD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（4）与街道社区、集团分公司等其他单位道路交接处未多扫进2米，在视距内有明显垃圾的且未在规定时间内清除的。</w:t>
      </w:r>
    </w:p>
    <w:p w14:paraId="23DBE2E2">
      <w:pPr>
        <w:spacing w:line="520" w:lineRule="exact"/>
        <w:ind w:firstLine="420" w:firstLineChars="200"/>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第1—4条合计单月内出现10次以内扣100元/次，11—15次扣200元/次，16—20次上扣500元/次，21次及以上扣1000元/次。</w:t>
      </w:r>
    </w:p>
    <w:p w14:paraId="723B7C3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（5）道路范围内的护栏、隔离栏（墩）等应及时清洗，有污渍或积尘较厚未及时清洗的，每发现100米以内扣100元、101—500米扣200元，501米以上扣500元。</w:t>
      </w:r>
    </w:p>
    <w:p w14:paraId="68E0C3CD">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规定范围内“牛皮癣”数量超出质量要求的，且在20分钟内未清除的；喷印“牛皮癣”处理后与底色不相近而产生新“牛皮癣”的。单月内出现5次以内每发现一次扣100元，6—10次200元/次，11—15次扣500元/次，16次及以上扣1000元/次。</w:t>
      </w:r>
    </w:p>
    <w:p w14:paraId="6904625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果皮箱应保持干净整洁，做到每天擦洗。果皮箱表面有明显积尘、污迹、“牛皮癣”的；果皮箱丢失或损坏不及时查明原因汇报的；果皮箱内的垃圾未及时清理造成果皮箱溢出垃圾，且在25分钟内未清理的。单月内出现5次以内每发现一次扣100元，6—10次200元/次，11—15次扣500元/次，16次及以上扣1000元/次。</w:t>
      </w:r>
    </w:p>
    <w:p w14:paraId="7C9DAEDA">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（8）人工清扫保洁路段没有普扫的或在规定时间内未完成普扫的，每发现100米以内扣200元、101—500米扣500元，501米以上扣1000元；花扫和漏扫的每发现一处扣100元，花扫或漏扫多处的按实际处数累计处罚。</w:t>
      </w:r>
    </w:p>
    <w:p w14:paraId="3383393F">
      <w:pPr>
        <w:spacing w:line="520" w:lineRule="exact"/>
        <w:ind w:firstLine="420" w:firstLineChars="200"/>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9）作业时将清扫的垃圾（灰尘）扫入、停留在窨井上或将清扫的垃圾倒入马路边、河道（沟渠）内、绿地带等内；焚烧垃圾的。单月内发现第1次扣1000元，第2次扣2000元，第3次扣3000元，3次以上扣单月承包款的2%。</w:t>
      </w:r>
    </w:p>
    <w:p w14:paraId="5DDD71D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清扫人员不穿规定的工作服作业的或工作服不整齐的，每发现一人次扣100元；翻越道路护栏的，每发现一人次扣100元。单月内出现5次以内每发现一次扣100元，6—10次扣200元/次，11—15次扣500元/次，16次及以上扣1000元/次。</w:t>
      </w:r>
    </w:p>
    <w:p w14:paraId="14595C6A">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清扫人员在工作时间段内确需到垃圾转运站倾倒垃圾的，在考核前及时上报工作群，未上报或发现弄虚作假的，每发现一次扣100元。小型垃圾收集车到垃圾转运站倾倒垃圾时，不服从管理的，每发现一次扣100元。</w:t>
      </w:r>
    </w:p>
    <w:p w14:paraId="48DF3923">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（12）小型垃圾收集车未做到密闭运输的，每发现一次扣200元。</w:t>
      </w:r>
    </w:p>
    <w:p w14:paraId="11B41AA4">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（13）在承包范围内发现路段保洁力度不够，造成路面清扫质量不合格的，道路路面（人行道）残留粉尘重量超过质量要求的规定的，每发现一处扣200元。</w:t>
      </w:r>
    </w:p>
    <w:p w14:paraId="63546F8F">
      <w:pPr>
        <w:spacing w:line="520" w:lineRule="exact"/>
        <w:ind w:firstLine="420" w:firstLineChars="200"/>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14）中标人作业人员在上班期间有睡觉、喝酒、看书、看报、看电视、带小孩、穿拖鞋、赤膊、闲聊以及与环卫工作无关的事情的；有车上载人、车外沿挂物、车容不洁等不文明或有损环卫形象的行为，每发现一人次扣100元。</w:t>
      </w:r>
    </w:p>
    <w:p w14:paraId="5EC2225D">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（15）清扫人员有迟到、早退情况的（迟到早退在1小时以内的）。单月内出现10人次以内每发现一人次扣100元，11—20人次扣200元/人次，21—30人次扣500元/人次，31人次及以上扣1000元/人次。</w:t>
      </w:r>
    </w:p>
    <w:p w14:paraId="500341B7">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（16）承包区块内道路上有无主的建筑垃圾、装潢垃圾及渣土，且在24小时内未清理的，单月内出现5次以内每发现一次扣200元，6—10次扣500元/次，11次以上扣1000元/次。</w:t>
      </w:r>
    </w:p>
    <w:p w14:paraId="0D720225">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（17）承包区块内道路在规定时间段内未完成洒水或有漏洒、开单边喷头洒水的，里程在10公里以内每次扣1000元，超过10公里的每次扣3000元；不开喷头行驶（空跑）的，每发现一次扣3000元。</w:t>
      </w:r>
    </w:p>
    <w:p w14:paraId="1AA92E47">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单车单次未洒水作业的（GPS无轨迹），每次扣5000元。</w:t>
      </w:r>
    </w:p>
    <w:p w14:paraId="1A6AD1D7">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在创建或上级要求增加洒水次数时，需无条件执行。未按上级要求增加洒水作业次数的，每车每次扣2000元。</w:t>
      </w:r>
    </w:p>
    <w:p w14:paraId="74D53C1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（18）洒水车作业过程中，不按规定使用音乐提示器的（每天首次洒水除外），每次扣500元。</w:t>
      </w:r>
    </w:p>
    <w:p w14:paraId="341CDEB2">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（19）洒水车在城区洒水时平均时速超过20公里/小时的，每发现一次，扣500元；因不文明作业，将水溅到行人的，经查实每次扣500元。</w:t>
      </w:r>
    </w:p>
    <w:p w14:paraId="0C01DE25">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（20）承包区块内护栏在规定时间段内未完成清洗或有漏洗、单边清洗的，里程在10公里以内每次扣1000元，超过10公里的每次扣3000元。</w:t>
      </w:r>
    </w:p>
    <w:p w14:paraId="66AE56FE">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单车一周内未作业的（GPS无轨迹），每次扣5000元。</w:t>
      </w:r>
    </w:p>
    <w:p w14:paraId="7133C21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在创建或上级要求增加护栏清洗次数时，需无条件执行。未按上级要求增加护栏清洗作业次数的，每车每次扣2000元。</w:t>
      </w:r>
    </w:p>
    <w:p w14:paraId="75F8030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（21）扫路车、洗扫车作业时速超过10公里/小时的；护栏清洗车作业时速超过5公里/小时的，每次扣200元。</w:t>
      </w:r>
    </w:p>
    <w:p w14:paraId="51DB32AA">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（22）扫路车、洗扫车不在规定时间内完成作业，每次扣500元。</w:t>
      </w:r>
    </w:p>
    <w:p w14:paraId="5A6B7222">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（23）洒水车、扫路车、洗扫车、护栏清洗车作业过程中有车窗抛物的，每次扣500元。</w:t>
      </w:r>
    </w:p>
    <w:p w14:paraId="40041DB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（24）扫路车、洗扫车作业过程中有漏扫的，里程在10公里以内的，扣1000元/次；超过10公里的，每次扣3000元。洗扫车在一周时间内未对承包范围内全部道路实行一次以上洗扫作业的，每次扣3000元。</w:t>
      </w:r>
    </w:p>
    <w:p w14:paraId="7EEEAC51">
      <w:pPr>
        <w:spacing w:line="520" w:lineRule="exact"/>
        <w:ind w:firstLine="420" w:firstLineChars="200"/>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单车单次未清扫作业的（GPS无轨迹），每次扣5000元。</w:t>
      </w:r>
    </w:p>
    <w:p w14:paraId="209FB6D9">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（25）扫路车、洗扫车在作业过程中，未开启除尘装置的，每次扣500元；作业时未开启警示标志灯的，每次扣500元；只开单边扫把作业的，每次扣500元。</w:t>
      </w:r>
    </w:p>
    <w:p w14:paraId="298972FA">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（26）扫路车、洗扫车污水排入路边窨井的，每次扣500元。</w:t>
      </w:r>
    </w:p>
    <w:p w14:paraId="5DC7254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（27）未按规定配足环卫三轮车及用机动三轮车或其他车辆代替环卫三轮车作业的，每人（辆）每天扣500元。</w:t>
      </w:r>
    </w:p>
    <w:p w14:paraId="79ABA81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（28）环卫工作服不整，有缺失、破损等，每人每天扣100元。</w:t>
      </w:r>
    </w:p>
    <w:p w14:paraId="1D82D5E5">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作业车辆应做到标识规范，保持设备设施及外观完好，保持车容车貌整洁干净，车身无污物、灰垢，无积尘，无明显油渍、污渍、泥沙粘附；车牌清晰，无遮挡、无污物、无泥沙覆盖。未按规定的，每发现一次扣500元。</w:t>
      </w:r>
    </w:p>
    <w:p w14:paraId="40CAF39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（30）对于已知故障的GPS及可视监控系统，需在上报故障日后2天内完成维修或更换，如未及时维修或更换的，每车、人每次扣1000元。</w:t>
      </w:r>
    </w:p>
    <w:p w14:paraId="68DC5FF3">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（31）安装在机动作业车辆上的GPS及可视监控系统出现故障的，在正常作业时间，单车每月出现3次以上，核查无轨迹或无视频记录的，每车每次扣1000元，并按未作业相应条款进行处理。</w:t>
      </w:r>
    </w:p>
    <w:p w14:paraId="3155E9B3">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（32）配备在清扫保洁作业人员身上的内装GSP定位的工牌出现故障的，在正常作业时间，每人每月出现3次以上，核查无轨迹的，每人每天扣200元。</w:t>
      </w:r>
    </w:p>
    <w:p w14:paraId="4DA7E94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（33）对于存在GPS定位轨迹，但轨迹异常的清扫人员信息，如在正常作业时间无轨迹或轨迹在作业范围外，视为人员不在岗，考核处理按照本办法第五条第（三）款“定员定岗考核”执行。</w:t>
      </w:r>
    </w:p>
    <w:p w14:paraId="63D630D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（34）中标人未按市环境集团环卫智慧平台监督管理规定有关要求参与监管的，按市环境集团环卫智慧平台监督管理规定相应条款进行处理（环卫智慧平台监督管理规定另行出台）。</w:t>
      </w:r>
    </w:p>
    <w:p w14:paraId="78BBC8A7">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（35）以上考核不合格点在告知中标人整改后24小时内未整改到位的，参照对应标准双倍处罚；在48小时内未整改到位的参照对应标准三倍处罚。</w:t>
      </w:r>
    </w:p>
    <w:p w14:paraId="0E267E4A">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2.公厕管理作业</w:t>
      </w:r>
    </w:p>
    <w:p w14:paraId="1B79A295">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（1）公厕卫生管理做不到“六无七净一少”的，每发现一处扣人民币100元。</w:t>
      </w:r>
    </w:p>
    <w:p w14:paraId="302E265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（2）公厕内、外墙有“牛皮癣”或乱刻乱画，每发现一处扣人民币100元。</w:t>
      </w:r>
    </w:p>
    <w:p w14:paraId="559A82EE">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（3）公厕内、外（公厕四周空地外延5米范围）有杂物、杂草、垃圾乱堆放的、废弃物不清理的，每发现一处扣人民币100元。</w:t>
      </w:r>
    </w:p>
    <w:p w14:paraId="14F06964">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（4）小便槽（斗）有水锈、尿垢，垃圾沟眼、管道不畅通的，每发现一处扣人民币100元。</w:t>
      </w:r>
    </w:p>
    <w:p w14:paraId="51E7812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（5）公厕通道内私自铺设地毯的，每发现一处扣人民币100元。 </w:t>
      </w:r>
    </w:p>
    <w:p w14:paraId="52FC3035">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（6）公厕内外图形符号标志不按规定设置的，每发现一处扣人民币100元。</w:t>
      </w:r>
    </w:p>
    <w:p w14:paraId="175FE76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（7）公厕管理房脏乱，有积灰、污迹、蛛网或蝇迹的，每发现一处扣人民币100元；管理房物品和保洁工具乱放的，每发现一处扣人民币100元。</w:t>
      </w:r>
    </w:p>
    <w:p w14:paraId="3E189FD6">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（8）未定期做好消毒和除“四害”工作，苍蝇等“四害”较多、臭味明显的，每次扣人民币100元；违规使用消毒、“除四害”药品，伤及人畜的，每次视情节严重扣人民币1000元。</w:t>
      </w:r>
    </w:p>
    <w:p w14:paraId="3E2E6CF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（9）公厕管理房留宿无关人员的，每发现一次扣人民币500元；管理房租借他人使用的，要求限期整改，且发现当次扣人民币2000元。</w:t>
      </w:r>
    </w:p>
    <w:p w14:paraId="5E67B9D4">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（10）在公厕或管理房内从事非法活动或其他不符合制度要求的活动的，每发现一次扣2000元；涉嫌非法活动的，移交相关部门处理，并保留进一步追究的权利。</w:t>
      </w:r>
    </w:p>
    <w:p w14:paraId="2272D9B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（11）未经同意让他人洗浴、洗衣、打水，使用大功率电器，乱接电线，偷电等行为的，每发现一次扣人民币500元。</w:t>
      </w:r>
    </w:p>
    <w:p w14:paraId="772FC95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（12）公厕发现长流水、长明灯的，每发现一次扣人民币200元。</w:t>
      </w:r>
    </w:p>
    <w:p w14:paraId="19F63B3D">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（13）发现电路、电器设备、供水管道等有故障，中标人不找具有相关专业资质的修理工修理，而是保洁员私自维修作业的，每发现一次扣人民币500元。</w:t>
      </w:r>
    </w:p>
    <w:p w14:paraId="799FBD4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（14）五星级公厕空调使用不符合质量要求规定的，每发现一次扣人民币500元。</w:t>
      </w:r>
    </w:p>
    <w:p w14:paraId="4028A8C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（15）公厕保洁员没有亮证服务，清洗作业时没有放置“清洗作业”标志，非清洗作业期间没有放置“小心地滑”标志的，每次项扣人民币100元。</w:t>
      </w:r>
    </w:p>
    <w:p w14:paraId="170DD50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（16）公厕保洁员未着工作服，服装脏乱，保洁时未带皮手套或口罩，未挂监督牌，每次项扣人民币100元。</w:t>
      </w:r>
    </w:p>
    <w:p w14:paraId="35943435">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（17）公厕保洁员上班时间看电视、使用电脑，擅自离岗、干私活等，每次项扣人民币100元。</w:t>
      </w:r>
    </w:p>
    <w:p w14:paraId="09E10369">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（18）公厕保洁员服务态度恶劣，语言、行为不文明，造成不良影响的或接到投诉的，经查实每项扣人民币500元。</w:t>
      </w:r>
    </w:p>
    <w:p w14:paraId="5184BCE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（19）残疾人坑位上锁的，每发现一次扣人民币200元。残疾间挪作他用或堆放私人物品的，每发现一次扣200元。</w:t>
      </w:r>
    </w:p>
    <w:p w14:paraId="0A000AF4">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（20）提供手纸时，强迫如厕人购买的，以次充好（少张）的，要求限期整改，且发现当次每次项扣人民币200元。</w:t>
      </w:r>
    </w:p>
    <w:p w14:paraId="02C6CBC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（21）公厕保洁员在公厕四周种植农作物的，每发现一次扣500元。</w:t>
      </w:r>
    </w:p>
    <w:p w14:paraId="05CE7903">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（22）公厕台账记录不规范（超前）、不齐全、弄虚作假的，每发现一次扣200元；有未记录的，每发现一次扣500元。</w:t>
      </w:r>
    </w:p>
    <w:p w14:paraId="72E8AAC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（23）公厕内设施有损坏或者有故障未按时修理完成的，每天扣除人民币100元，直至修理恢复为止。</w:t>
      </w:r>
    </w:p>
    <w:p w14:paraId="5E03172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（24）未按照规范配置消防设备及消防器材的，每天扣除人民币200元，直至配置为止。</w:t>
      </w:r>
    </w:p>
    <w:p w14:paraId="107C2C35">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（25）中标人未及时将化粪池满等情况告知市环境集团且由此造成不良后果的，每次扣人民币500元。</w:t>
      </w:r>
    </w:p>
    <w:p w14:paraId="536D0DE6">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3.社区垃圾分类“两定四分”管理作业</w:t>
      </w:r>
    </w:p>
    <w:p w14:paraId="48EEA837">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（1）监管员迟到、早退，每次扣款100元；在上班时间内做与工作无关事情的，每次扣200元；擅自离岗或不在岗的，每次扣500元。</w:t>
      </w:r>
    </w:p>
    <w:p w14:paraId="54052316">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（2）未指导督促市民垃圾分类投放，每次扣款100元。</w:t>
      </w:r>
    </w:p>
    <w:p w14:paraId="019EADFF">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（3）点位周边环境卫生差，宣传栏脏，垃圾桶未及时清洗，每次扣款100元。</w:t>
      </w:r>
    </w:p>
    <w:p w14:paraId="77B8495F">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（4）未在规定时间内允许市民投放的；投放时间段现场秩序混乱的，每次扣款200元。</w:t>
      </w:r>
    </w:p>
    <w:p w14:paraId="33773DD6">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（5）点位相关设备故障，未及时上报维修，每次扣款200元。</w:t>
      </w:r>
    </w:p>
    <w:p w14:paraId="5E26A283">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（6）未配合驾驶员做好垃圾收集工作的，每次扣款200元。</w:t>
      </w:r>
    </w:p>
    <w:p w14:paraId="1FDA204F">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（7）点位周边有乱停车占道情况而未及时联系解决的，每次扣款200元。</w:t>
      </w:r>
    </w:p>
    <w:p w14:paraId="55BC395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（8）存在违反其他“两定四分”管理规范的，视情节严重扣款200—1000元。</w:t>
      </w:r>
    </w:p>
    <w:p w14:paraId="1E98F8D6">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（五）其他奖惩标准</w:t>
      </w:r>
    </w:p>
    <w:p w14:paraId="03636FC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1.市执法局、各相关镇街及各部委对环境集团清扫保洁作业承包范围内道路考核出现扣分时，视作受到上级单位督办或批评，对中标人按照</w:t>
      </w:r>
      <w:r>
        <w:rPr>
          <w:rFonts w:hint="eastAsia" w:ascii="宋体" w:hAnsi="宋体" w:eastAsia="宋体" w:cs="宋体"/>
          <w:color w:val="auto"/>
          <w:sz w:val="21"/>
          <w:szCs w:val="21"/>
          <w:highlight w:val="none"/>
          <w:lang w:val="en-US" w:eastAsia="zh-CN"/>
        </w:rPr>
        <w:t>市执法局</w:t>
      </w:r>
      <w:r>
        <w:rPr>
          <w:rFonts w:hint="eastAsia" w:ascii="宋体" w:hAnsi="宋体" w:eastAsia="宋体" w:cs="宋体"/>
          <w:color w:val="auto"/>
          <w:sz w:val="21"/>
          <w:szCs w:val="21"/>
          <w:highlight w:val="none"/>
        </w:rPr>
        <w:t>扣款金额的1.5倍处罚。</w:t>
      </w:r>
    </w:p>
    <w:p w14:paraId="0B30C039">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2.市执法局对环境集团清扫保洁作业承包范围内道路同一个点每月出现4次以上考核扣分时，从第4次开始，每次还需扣当月合同承包款金额的2%。</w:t>
      </w:r>
    </w:p>
    <w:p w14:paraId="344575B5">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3.中标人未做到全面整改，未做到以点带面，每发现一次扣1000元。</w:t>
      </w:r>
    </w:p>
    <w:p w14:paraId="0D437C5E">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卫生差或不文明行为被投诉的（96150或其他渠道），经查实每次酌情扣1000-2000元；被新闻单位公开曝光或受到上级单位(领导)督办或批评的，经查实每次酌情扣3000-5000元。同时根据本办法相关条款对投诉、曝光及督办的事项进行处罚。</w:t>
      </w:r>
    </w:p>
    <w:p w14:paraId="29A7471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5.环境集团召开各类会议，要求中标人参会的人员缺席且会前不请假的，每次扣500元；迟到10分钟以上的每次扣200元。</w:t>
      </w:r>
    </w:p>
    <w:p w14:paraId="6F258BC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6.首次考核不合格的，从整改通知日起至整改完成时间段内，每日扣2000元；在签订合同后30日内未完成整改的，市环境集团可以终止与中标人签订的承包合同。</w:t>
      </w:r>
    </w:p>
    <w:p w14:paraId="1CECA1C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7.中标人不按时报送人员名册表、人员变动登记表和责任路段表等资料，每超出一天每项扣500元。</w:t>
      </w:r>
    </w:p>
    <w:p w14:paraId="372B56C7">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8.洒水车、扫路车、洗扫车、护栏清洗车、环卫三轮车等未按要求喷印名称或喷印不符合要求的，每车每天扣1000元。</w:t>
      </w:r>
    </w:p>
    <w:p w14:paraId="49AC48FE">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中标人扫路车、洗扫车因故不能正常作业而未按规定上报的，每天扣1000元；未安排替代车辆或人员的，每天扣2000元。已安排车辆或人员，但清扫保洁质量达不到要求的，按照本办法日常考核中的相关规定进行处罚。</w:t>
      </w:r>
    </w:p>
    <w:p w14:paraId="35C8242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10.安排替代车辆必须安装GPS且有可查视功能；替代人员必须配备工牌（内装GPS定位），或者上报替代人员花名册及责任路段表；否则每车（每人）每天扣1000元。</w:t>
      </w:r>
    </w:p>
    <w:p w14:paraId="3C2E90FF">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11.扫路车、洗扫车垃圾未按照规定处置的，每发现一次，扣2000元；因违规处置扫路车、洗扫车垃圾被举报、有关部门通报或新闻媒体报导的，每次扣4000元。</w:t>
      </w:r>
    </w:p>
    <w:p w14:paraId="053E6EBA">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12.中标人将二班制路段私自改为一班制作业的，每路段每天扣2000元，直至纠正为止。</w:t>
      </w:r>
    </w:p>
    <w:p w14:paraId="3ADF69C7">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13.未经市环境集团同意，将人工清扫路段改为扫路车作业的，每路段每天扣1000元，直至纠正为止。</w:t>
      </w:r>
    </w:p>
    <w:p w14:paraId="535BEDB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14.各类作业车辆不按要求加装GPS及可视监控系统的，每台核定车辆每天扣3000元；人员未按要求配备工牌（加装GPS）的，每人每天扣500元，直至纠正为止。</w:t>
      </w:r>
    </w:p>
    <w:p w14:paraId="469C537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15.每月未进行内部考核的，每次扣1000元。</w:t>
      </w:r>
    </w:p>
    <w:p w14:paraId="70C4F416">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16.扫路车垃圾处置场所不符合规定的，每次扣1000元，直至纠正为止。</w:t>
      </w:r>
    </w:p>
    <w:p w14:paraId="6F8518BD">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17.内部管理要求不健全的，每项（次）每天扣1000元，直至纠正为止。</w:t>
      </w:r>
    </w:p>
    <w:p w14:paraId="7E2E03DF">
      <w:pPr>
        <w:spacing w:line="520" w:lineRule="exact"/>
        <w:ind w:firstLine="420" w:firstLineChars="200"/>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18.未每月召开安全生产会，并做好相关的会议记录的，每次扣1000元。</w:t>
      </w:r>
    </w:p>
    <w:p w14:paraId="37DA229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19.洒水车、扫路车、洗扫车、小型收集车等机械化设备工作时，存在闯红灯、违章停车等安全隐患行为的，每次扣1000元。护栏清洗、道路冲洗时，未采取必要的安全措施的，每次扣1000元。</w:t>
      </w:r>
    </w:p>
    <w:p w14:paraId="2B9A06DF">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20.无合理具体的保洁作业方案、人员配置方案及创建等全市性检查活动、恶劣天气应急方案的，每项（次）每天扣1000元，直至纠正为止。</w:t>
      </w:r>
    </w:p>
    <w:p w14:paraId="72045F18">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21.中标人应积极做好疫情防控相关工作，对工作人员做好预防知识宣传和健康安全教育，增强工作人员的防范意识和能力，要求疫情防控</w:t>
      </w:r>
      <w:r>
        <w:rPr>
          <w:rFonts w:hint="eastAsia" w:ascii="宋体" w:hAnsi="宋体" w:eastAsia="宋体" w:cs="宋体"/>
          <w:color w:val="auto"/>
          <w:kern w:val="0"/>
          <w:sz w:val="21"/>
          <w:szCs w:val="21"/>
          <w:highlight w:val="none"/>
          <w:lang w:bidi="ar"/>
        </w:rPr>
        <w:t>期间做好个人防护，工作期间</w:t>
      </w:r>
      <w:r>
        <w:rPr>
          <w:rFonts w:hint="eastAsia" w:ascii="宋体" w:hAnsi="宋体" w:eastAsia="宋体" w:cs="宋体"/>
          <w:color w:val="auto"/>
          <w:sz w:val="21"/>
          <w:szCs w:val="21"/>
          <w:highlight w:val="none"/>
        </w:rPr>
        <w:t>全程佩戴口罩、手套等防护用品</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rPr>
        <w:t>未按要求做好个人防护的，每发现一次扣200元。疫情防控期间，做好每日体温监测工作，并向市环境集团做好报备。未做到每日报备的，每少一天扣500元。每日对</w:t>
      </w:r>
      <w:r>
        <w:rPr>
          <w:rFonts w:hint="eastAsia" w:ascii="宋体" w:hAnsi="宋体" w:eastAsia="宋体" w:cs="宋体"/>
          <w:color w:val="auto"/>
          <w:kern w:val="0"/>
          <w:sz w:val="21"/>
          <w:szCs w:val="21"/>
          <w:highlight w:val="none"/>
          <w:lang w:bidi="ar"/>
        </w:rPr>
        <w:t>公厕内外进行5次全面消毒</w:t>
      </w:r>
      <w:r>
        <w:rPr>
          <w:rFonts w:hint="eastAsia" w:ascii="宋体" w:hAnsi="宋体" w:eastAsia="宋体" w:cs="宋体"/>
          <w:color w:val="auto"/>
          <w:sz w:val="21"/>
          <w:szCs w:val="21"/>
          <w:highlight w:val="none"/>
        </w:rPr>
        <w:t>（开放前、关闭前、中途3次），并做好消杀登记。未按要求好全面消毒的，每次扣500元。</w:t>
      </w:r>
    </w:p>
    <w:p w14:paraId="1B1ED612">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22.洒水车、扫路车、洗扫车、小型收集车等配置不符合合同规定的，每车每天扣2000元，直至纠正为止。</w:t>
      </w:r>
    </w:p>
    <w:p w14:paraId="79C6E9DA">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23.未经集团同意私自外接水、电，利用公厕水电或场所进行营业性活动的，每发现一次扣2000元。</w:t>
      </w:r>
    </w:p>
    <w:p w14:paraId="2FAAA4C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24.未及时完成工作任务或未按合同履行相关义务的，每次项扣1000元。</w:t>
      </w:r>
    </w:p>
    <w:p w14:paraId="36FA12D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25.中标人举报环境集团考核人员不作为、乱作为及廉洁自律方面的问题的，经查实每次酌情奖励1000-3000元。</w:t>
      </w:r>
    </w:p>
    <w:p w14:paraId="3E751043">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26.中标人举报本项目其他中标公司履约过程中有违反招标文件和合同要求的事项的，经查实每次酌情奖励1000—2000元。</w:t>
      </w:r>
    </w:p>
    <w:p w14:paraId="0F58141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27.中标人在实际工作及各类创建考核中有重大贡献的，经环境集团认定后每次酌情奖励1000-2000元。</w:t>
      </w:r>
    </w:p>
    <w:p w14:paraId="4FEDBCAF">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28.中标人环卫作业方法经环境集团总部确认为创新或先进工作案例，或环境集团指定中标公司为工作示范点开展工作现场会等，每次酌情奖励1000-3000元。</w:t>
      </w:r>
    </w:p>
    <w:p w14:paraId="284F3C35">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29.受上级嘉奖表彰的予以在考核中进行奖励，义乌市本级的每次奖励1000元，金华市级的每次奖励2000元，省级的每次奖励4000元，国家级的每次奖励5000元。</w:t>
      </w:r>
    </w:p>
    <w:p w14:paraId="454DE9F9">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（六）由市环境集团下发整改通知书限期整改而未按要求完成整改任务的，参照对应标准双倍处罚。同一事项奖励按最高金额兑付，不重复计算。</w:t>
      </w:r>
    </w:p>
    <w:p w14:paraId="75467B2D">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六、有下列情形的，市环境集团可以终止与中标人签订的承包合同，同时上报监管部门进行处理。</w:t>
      </w:r>
    </w:p>
    <w:p w14:paraId="3A9A4D27">
      <w:pPr>
        <w:spacing w:line="52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（一）首次考核成绩不合格的，在签订合同后30日内未整改到位的。</w:t>
      </w:r>
    </w:p>
    <w:p w14:paraId="63B700F0">
      <w:pPr>
        <w:spacing w:line="52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（二）连续两次月综合考核成绩不合格，或者一年度内月综合考核成绩累计三次以上不合格的。</w:t>
      </w:r>
    </w:p>
    <w:p w14:paraId="215A18F5">
      <w:pPr>
        <w:spacing w:line="52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（三）履约期内，中标人作业区域内经上级部门考核，出现考核成绩为黄旗或不合格三次以上的。</w:t>
      </w:r>
    </w:p>
    <w:p w14:paraId="2FCF9795">
      <w:pPr>
        <w:spacing w:line="52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（四）中标人机械设备因故不能正常作业且未安排相应机械设备或核定抵换人员替班的，时间累计超过10天以上的。</w:t>
      </w:r>
    </w:p>
    <w:p w14:paraId="18AF5BBD">
      <w:pPr>
        <w:spacing w:line="52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（五）市执法局、相关镇街等以书面形式对保洁质量提出三次以上不满意意见的。</w:t>
      </w:r>
    </w:p>
    <w:p w14:paraId="18C18EE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七、其他说明事项</w:t>
      </w:r>
    </w:p>
    <w:p w14:paraId="538D6123">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（一）市环境集团需认真做好督查考核记录，并要求所有参加考核人员确认签名，中标人拒签不影响本办法的执行。</w:t>
      </w:r>
    </w:p>
    <w:p w14:paraId="2A885D5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日常督查中发现问题应及时告知中标人，需现场填写督查回执的应通知中标人到场，并交中标人管理人员签名，如果找不到中标人管理人员或中标人管理人员拒绝签字的，现场取证后（拍摄图像等）告知中标人负责人，由中标人负责人签名，拒绝签字的可留置送达，一经留置送达不影响回执效力，并做好督查记录。</w:t>
      </w:r>
    </w:p>
    <w:p w14:paraId="7FEE8C2A">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（三）三班制清扫保洁质量及考核标准参照二班制标准执行。</w:t>
      </w:r>
    </w:p>
    <w:p w14:paraId="73B6834D">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（四）各类资料上报的时间认定以电子稿的上传时间为第一认定时间。</w:t>
      </w:r>
    </w:p>
    <w:p w14:paraId="414B04FE">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（五）“一年度”指自合同履行当日开始计算12个月，下一年度为上一年度结束之日开始计算12个月。</w:t>
      </w:r>
    </w:p>
    <w:p w14:paraId="5EC98FB7">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（六）本办法所指复印件必须书写“复印件与原件相符”字样，所有书面资料须加盖单位公章。</w:t>
      </w:r>
    </w:p>
    <w:p w14:paraId="747FAA39">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（七）以上奖、罚金额以“人民币”结算。</w:t>
      </w:r>
    </w:p>
    <w:p w14:paraId="41A0E8C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（八）本办法所指“以上”、“以下”、“以内”、“少于”等均含本数。</w:t>
      </w:r>
    </w:p>
    <w:p w14:paraId="488AD9B0">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（九）当月的奖罚金额在次月结算承包款时兑现。</w:t>
      </w:r>
    </w:p>
    <w:p w14:paraId="3A8845CA">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（十）如上级部门提高环卫行业作业标准或要求加强考核标准，或有进一步提高作业标准的改进措施，环境集团可按修改提高本办法相关考核标准，中标人需无条件执行。</w:t>
      </w:r>
    </w:p>
    <w:p w14:paraId="08A03E3B">
      <w:pPr>
        <w:spacing w:line="480" w:lineRule="exact"/>
        <w:ind w:firstLine="420" w:firstLineChars="200"/>
        <w:rPr>
          <w:rFonts w:hint="eastAsia" w:ascii="宋体" w:hAnsi="宋体" w:eastAsia="宋体" w:cs="宋体"/>
          <w:color w:val="auto"/>
          <w:sz w:val="21"/>
          <w:szCs w:val="21"/>
          <w:highlight w:val="none"/>
        </w:rPr>
      </w:pPr>
    </w:p>
    <w:p w14:paraId="2614E86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附件：3-1人员名册表</w:t>
      </w:r>
    </w:p>
    <w:p w14:paraId="23B0134F">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3-2人员变动登记表</w:t>
      </w:r>
    </w:p>
    <w:p w14:paraId="7E69A35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3-3责任路段表</w:t>
      </w:r>
      <w:bookmarkStart w:id="82" w:name="_Toc406163567"/>
      <w:bookmarkEnd w:id="82"/>
    </w:p>
    <w:p w14:paraId="567D741C">
      <w:pPr>
        <w:pStyle w:val="36"/>
        <w:ind w:firstLine="0" w:firstLineChars="0"/>
        <w:rPr>
          <w:rFonts w:hint="eastAsia" w:ascii="宋体" w:hAnsi="宋体" w:eastAsia="宋体" w:cs="宋体"/>
          <w:b/>
          <w:bCs/>
          <w:color w:val="auto"/>
          <w:sz w:val="21"/>
          <w:szCs w:val="21"/>
          <w:highlight w:val="none"/>
        </w:rPr>
      </w:pPr>
    </w:p>
    <w:p w14:paraId="75A69772">
      <w:pPr>
        <w:widowControl/>
        <w:jc w:val="left"/>
        <w:rPr>
          <w:rFonts w:hint="eastAsia" w:ascii="宋体" w:hAnsi="宋体" w:eastAsia="宋体" w:cs="宋体"/>
          <w:color w:val="auto"/>
          <w:sz w:val="21"/>
          <w:szCs w:val="21"/>
          <w:highlight w:val="none"/>
        </w:rPr>
        <w:sectPr>
          <w:footerReference r:id="rId10" w:type="default"/>
          <w:pgSz w:w="11906" w:h="16838"/>
          <w:pgMar w:top="1531" w:right="1361" w:bottom="1531" w:left="1588" w:header="851" w:footer="992" w:gutter="0"/>
          <w:pgNumType w:fmt="decimal"/>
          <w:cols w:space="720" w:num="1"/>
          <w:docGrid w:type="lines" w:linePitch="312" w:charSpace="0"/>
        </w:sectPr>
      </w:pPr>
    </w:p>
    <w:p w14:paraId="0DA011D8">
      <w:pPr>
        <w:pStyle w:val="18"/>
        <w:adjustRightInd w:val="0"/>
        <w:snapToGrid w:val="0"/>
        <w:spacing w:line="400" w:lineRule="exact"/>
        <w:rPr>
          <w:rFonts w:ascii="新宋体" w:hAnsi="新宋体" w:eastAsia="新宋体"/>
          <w:color w:val="auto"/>
          <w:sz w:val="24"/>
          <w:highlight w:val="none"/>
        </w:rPr>
      </w:pPr>
      <w:r>
        <w:rPr>
          <w:rFonts w:hint="eastAsia" w:ascii="新宋体" w:hAnsi="新宋体" w:eastAsia="新宋体"/>
          <w:color w:val="auto"/>
          <w:sz w:val="24"/>
          <w:highlight w:val="none"/>
        </w:rPr>
        <w:t>附表3-1</w:t>
      </w:r>
    </w:p>
    <w:tbl>
      <w:tblPr>
        <w:tblStyle w:val="37"/>
        <w:tblW w:w="882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1"/>
        <w:gridCol w:w="561"/>
        <w:gridCol w:w="345"/>
        <w:gridCol w:w="485"/>
        <w:gridCol w:w="600"/>
        <w:gridCol w:w="599"/>
        <w:gridCol w:w="557"/>
        <w:gridCol w:w="1279"/>
        <w:gridCol w:w="711"/>
        <w:gridCol w:w="864"/>
        <w:gridCol w:w="933"/>
        <w:gridCol w:w="1033"/>
        <w:gridCol w:w="562"/>
      </w:tblGrid>
      <w:tr w14:paraId="3E3E32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8" w:hRule="atLeast"/>
        </w:trPr>
        <w:tc>
          <w:tcPr>
            <w:tcW w:w="8820" w:type="dxa"/>
            <w:gridSpan w:val="13"/>
            <w:noWrap/>
            <w:vAlign w:val="center"/>
          </w:tcPr>
          <w:p w14:paraId="3062585E">
            <w:pPr>
              <w:widowControl/>
              <w:jc w:val="center"/>
              <w:rPr>
                <w:rFonts w:ascii="新宋体" w:hAnsi="新宋体" w:eastAsia="新宋体" w:cs="宋体"/>
                <w:b/>
                <w:bCs/>
                <w:color w:val="auto"/>
                <w:kern w:val="0"/>
                <w:sz w:val="40"/>
                <w:szCs w:val="40"/>
                <w:highlight w:val="none"/>
              </w:rPr>
            </w:pPr>
            <w:r>
              <w:rPr>
                <w:rFonts w:hint="eastAsia" w:ascii="新宋体" w:hAnsi="新宋体" w:eastAsia="新宋体" w:cs="宋体"/>
                <w:b/>
                <w:bCs/>
                <w:color w:val="auto"/>
                <w:kern w:val="0"/>
                <w:sz w:val="40"/>
                <w:szCs w:val="40"/>
                <w:highlight w:val="none"/>
              </w:rPr>
              <w:t>公司人员名册表</w:t>
            </w:r>
          </w:p>
        </w:tc>
      </w:tr>
      <w:tr w14:paraId="26BEC7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3" w:hRule="atLeast"/>
        </w:trPr>
        <w:tc>
          <w:tcPr>
            <w:tcW w:w="2282" w:type="dxa"/>
            <w:gridSpan w:val="5"/>
            <w:noWrap/>
            <w:vAlign w:val="center"/>
          </w:tcPr>
          <w:p w14:paraId="6F135142">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填报单位（盖章）：</w:t>
            </w:r>
          </w:p>
        </w:tc>
        <w:tc>
          <w:tcPr>
            <w:tcW w:w="599" w:type="dxa"/>
            <w:noWrap/>
            <w:vAlign w:val="center"/>
          </w:tcPr>
          <w:p w14:paraId="7CD1B61A">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1836" w:type="dxa"/>
            <w:gridSpan w:val="2"/>
            <w:noWrap/>
            <w:vAlign w:val="center"/>
          </w:tcPr>
          <w:p w14:paraId="70ED045A">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填报人：</w:t>
            </w:r>
          </w:p>
        </w:tc>
        <w:tc>
          <w:tcPr>
            <w:tcW w:w="711" w:type="dxa"/>
            <w:noWrap/>
            <w:vAlign w:val="center"/>
          </w:tcPr>
          <w:p w14:paraId="71FF5DCF">
            <w:pPr>
              <w:widowControl/>
              <w:jc w:val="left"/>
              <w:rPr>
                <w:rFonts w:ascii="新宋体" w:hAnsi="新宋体" w:eastAsia="新宋体" w:cs="宋体"/>
                <w:color w:val="auto"/>
                <w:kern w:val="0"/>
                <w:sz w:val="24"/>
                <w:highlight w:val="none"/>
              </w:rPr>
            </w:pPr>
          </w:p>
        </w:tc>
        <w:tc>
          <w:tcPr>
            <w:tcW w:w="1797" w:type="dxa"/>
            <w:gridSpan w:val="2"/>
            <w:noWrap/>
            <w:vAlign w:val="center"/>
          </w:tcPr>
          <w:p w14:paraId="01FFB770">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负责人签名：</w:t>
            </w:r>
          </w:p>
        </w:tc>
        <w:tc>
          <w:tcPr>
            <w:tcW w:w="1033" w:type="dxa"/>
            <w:noWrap/>
            <w:vAlign w:val="center"/>
          </w:tcPr>
          <w:p w14:paraId="709140E4">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填表时间：</w:t>
            </w:r>
          </w:p>
        </w:tc>
        <w:tc>
          <w:tcPr>
            <w:tcW w:w="562" w:type="dxa"/>
            <w:noWrap/>
            <w:vAlign w:val="center"/>
          </w:tcPr>
          <w:p w14:paraId="660FD519">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r>
      <w:tr w14:paraId="17E1B9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5" w:hRule="atLeast"/>
        </w:trPr>
        <w:tc>
          <w:tcPr>
            <w:tcW w:w="291" w:type="dxa"/>
            <w:noWrap/>
            <w:vAlign w:val="center"/>
          </w:tcPr>
          <w:p w14:paraId="13BD3646">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序号</w:t>
            </w:r>
          </w:p>
        </w:tc>
        <w:tc>
          <w:tcPr>
            <w:tcW w:w="561" w:type="dxa"/>
            <w:noWrap/>
            <w:vAlign w:val="center"/>
          </w:tcPr>
          <w:p w14:paraId="4B6AB6DB">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姓名</w:t>
            </w:r>
          </w:p>
        </w:tc>
        <w:tc>
          <w:tcPr>
            <w:tcW w:w="345" w:type="dxa"/>
            <w:noWrap/>
            <w:vAlign w:val="center"/>
          </w:tcPr>
          <w:p w14:paraId="68C35F89">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性别</w:t>
            </w:r>
          </w:p>
        </w:tc>
        <w:tc>
          <w:tcPr>
            <w:tcW w:w="485" w:type="dxa"/>
            <w:noWrap/>
            <w:vAlign w:val="center"/>
          </w:tcPr>
          <w:p w14:paraId="3C76D486">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籍贯</w:t>
            </w:r>
          </w:p>
        </w:tc>
        <w:tc>
          <w:tcPr>
            <w:tcW w:w="600" w:type="dxa"/>
            <w:noWrap/>
            <w:vAlign w:val="center"/>
          </w:tcPr>
          <w:p w14:paraId="1DB71941">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出生</w:t>
            </w:r>
            <w:r>
              <w:rPr>
                <w:rFonts w:hint="eastAsia" w:ascii="新宋体" w:hAnsi="新宋体" w:eastAsia="新宋体" w:cs="宋体"/>
                <w:color w:val="auto"/>
                <w:kern w:val="0"/>
                <w:sz w:val="24"/>
                <w:highlight w:val="none"/>
              </w:rPr>
              <w:br w:type="textWrapping"/>
            </w:r>
            <w:r>
              <w:rPr>
                <w:rFonts w:hint="eastAsia" w:ascii="新宋体" w:hAnsi="新宋体" w:eastAsia="新宋体" w:cs="宋体"/>
                <w:color w:val="auto"/>
                <w:kern w:val="0"/>
                <w:sz w:val="24"/>
                <w:highlight w:val="none"/>
              </w:rPr>
              <w:t>年月</w:t>
            </w:r>
          </w:p>
        </w:tc>
        <w:tc>
          <w:tcPr>
            <w:tcW w:w="599" w:type="dxa"/>
            <w:noWrap/>
            <w:vAlign w:val="center"/>
          </w:tcPr>
          <w:p w14:paraId="78AA2FC0">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工种</w:t>
            </w:r>
          </w:p>
        </w:tc>
        <w:tc>
          <w:tcPr>
            <w:tcW w:w="557" w:type="dxa"/>
            <w:noWrap/>
            <w:vAlign w:val="center"/>
          </w:tcPr>
          <w:p w14:paraId="2EBAF1E7">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岗位</w:t>
            </w:r>
          </w:p>
        </w:tc>
        <w:tc>
          <w:tcPr>
            <w:tcW w:w="1279" w:type="dxa"/>
            <w:noWrap/>
            <w:vAlign w:val="center"/>
          </w:tcPr>
          <w:p w14:paraId="77344664">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身份证号码</w:t>
            </w:r>
          </w:p>
        </w:tc>
        <w:tc>
          <w:tcPr>
            <w:tcW w:w="711" w:type="dxa"/>
            <w:noWrap/>
            <w:vAlign w:val="center"/>
          </w:tcPr>
          <w:p w14:paraId="048481BC">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现住址</w:t>
            </w:r>
          </w:p>
        </w:tc>
        <w:tc>
          <w:tcPr>
            <w:tcW w:w="864" w:type="dxa"/>
            <w:noWrap/>
            <w:vAlign w:val="center"/>
          </w:tcPr>
          <w:p w14:paraId="485B372F">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联系方式</w:t>
            </w:r>
          </w:p>
        </w:tc>
        <w:tc>
          <w:tcPr>
            <w:tcW w:w="933" w:type="dxa"/>
            <w:noWrap/>
            <w:vAlign w:val="center"/>
          </w:tcPr>
          <w:p w14:paraId="086A02D7">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社保参</w:t>
            </w:r>
            <w:r>
              <w:rPr>
                <w:rFonts w:hint="eastAsia" w:ascii="新宋体" w:hAnsi="新宋体" w:eastAsia="新宋体" w:cs="宋体"/>
                <w:color w:val="auto"/>
                <w:kern w:val="0"/>
                <w:sz w:val="24"/>
                <w:highlight w:val="none"/>
              </w:rPr>
              <w:br w:type="textWrapping"/>
            </w:r>
            <w:r>
              <w:rPr>
                <w:rFonts w:hint="eastAsia" w:ascii="新宋体" w:hAnsi="新宋体" w:eastAsia="新宋体" w:cs="宋体"/>
                <w:color w:val="auto"/>
                <w:kern w:val="0"/>
                <w:sz w:val="24"/>
                <w:highlight w:val="none"/>
              </w:rPr>
              <w:t>保时间</w:t>
            </w:r>
          </w:p>
        </w:tc>
        <w:tc>
          <w:tcPr>
            <w:tcW w:w="1033" w:type="dxa"/>
            <w:noWrap/>
            <w:vAlign w:val="center"/>
          </w:tcPr>
          <w:p w14:paraId="0BF34F49">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劳动合同（协议）起止时间</w:t>
            </w:r>
          </w:p>
        </w:tc>
        <w:tc>
          <w:tcPr>
            <w:tcW w:w="562" w:type="dxa"/>
            <w:noWrap/>
            <w:vAlign w:val="center"/>
          </w:tcPr>
          <w:p w14:paraId="6C65A1E5">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备注</w:t>
            </w:r>
          </w:p>
        </w:tc>
      </w:tr>
      <w:tr w14:paraId="07C98D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6" w:hRule="atLeast"/>
        </w:trPr>
        <w:tc>
          <w:tcPr>
            <w:tcW w:w="291" w:type="dxa"/>
            <w:noWrap/>
            <w:vAlign w:val="center"/>
          </w:tcPr>
          <w:p w14:paraId="4208338C">
            <w:pPr>
              <w:widowControl/>
              <w:jc w:val="center"/>
              <w:rPr>
                <w:rFonts w:ascii="新宋体" w:hAnsi="新宋体" w:eastAsia="新宋体"/>
                <w:color w:val="auto"/>
                <w:kern w:val="0"/>
                <w:sz w:val="24"/>
                <w:highlight w:val="none"/>
              </w:rPr>
            </w:pPr>
            <w:r>
              <w:rPr>
                <w:rFonts w:ascii="新宋体" w:hAnsi="新宋体" w:eastAsia="新宋体"/>
                <w:color w:val="auto"/>
                <w:kern w:val="0"/>
                <w:sz w:val="24"/>
                <w:highlight w:val="none"/>
              </w:rPr>
              <w:t>　</w:t>
            </w:r>
          </w:p>
        </w:tc>
        <w:tc>
          <w:tcPr>
            <w:tcW w:w="561" w:type="dxa"/>
            <w:noWrap/>
            <w:vAlign w:val="center"/>
          </w:tcPr>
          <w:p w14:paraId="45705129">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345" w:type="dxa"/>
            <w:noWrap/>
            <w:vAlign w:val="center"/>
          </w:tcPr>
          <w:p w14:paraId="6EAA5C31">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485" w:type="dxa"/>
            <w:noWrap/>
            <w:vAlign w:val="center"/>
          </w:tcPr>
          <w:p w14:paraId="27B0CE43">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600" w:type="dxa"/>
            <w:noWrap/>
            <w:vAlign w:val="center"/>
          </w:tcPr>
          <w:p w14:paraId="257C82F1">
            <w:pPr>
              <w:widowControl/>
              <w:jc w:val="left"/>
              <w:rPr>
                <w:rFonts w:ascii="新宋体" w:hAnsi="新宋体" w:eastAsia="新宋体"/>
                <w:color w:val="auto"/>
                <w:kern w:val="0"/>
                <w:sz w:val="24"/>
                <w:highlight w:val="none"/>
              </w:rPr>
            </w:pPr>
            <w:r>
              <w:rPr>
                <w:rFonts w:ascii="新宋体" w:hAnsi="新宋体" w:eastAsia="新宋体"/>
                <w:color w:val="auto"/>
                <w:kern w:val="0"/>
                <w:sz w:val="24"/>
                <w:highlight w:val="none"/>
              </w:rPr>
              <w:t>　</w:t>
            </w:r>
          </w:p>
        </w:tc>
        <w:tc>
          <w:tcPr>
            <w:tcW w:w="599" w:type="dxa"/>
            <w:noWrap/>
            <w:vAlign w:val="center"/>
          </w:tcPr>
          <w:p w14:paraId="4C61DFE3">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557" w:type="dxa"/>
            <w:noWrap/>
            <w:vAlign w:val="center"/>
          </w:tcPr>
          <w:p w14:paraId="14E6A315">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1279" w:type="dxa"/>
            <w:noWrap/>
            <w:vAlign w:val="center"/>
          </w:tcPr>
          <w:p w14:paraId="4B59A4FA">
            <w:pPr>
              <w:widowControl/>
              <w:jc w:val="left"/>
              <w:rPr>
                <w:rFonts w:ascii="新宋体" w:hAnsi="新宋体" w:eastAsia="新宋体"/>
                <w:color w:val="auto"/>
                <w:kern w:val="0"/>
                <w:sz w:val="24"/>
                <w:highlight w:val="none"/>
              </w:rPr>
            </w:pPr>
            <w:r>
              <w:rPr>
                <w:rFonts w:ascii="新宋体" w:hAnsi="新宋体" w:eastAsia="新宋体"/>
                <w:color w:val="auto"/>
                <w:kern w:val="0"/>
                <w:sz w:val="24"/>
                <w:highlight w:val="none"/>
              </w:rPr>
              <w:t>　</w:t>
            </w:r>
          </w:p>
        </w:tc>
        <w:tc>
          <w:tcPr>
            <w:tcW w:w="711" w:type="dxa"/>
            <w:noWrap/>
            <w:vAlign w:val="center"/>
          </w:tcPr>
          <w:p w14:paraId="533FDE31">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864" w:type="dxa"/>
            <w:noWrap/>
            <w:vAlign w:val="bottom"/>
          </w:tcPr>
          <w:p w14:paraId="1258A31D">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933" w:type="dxa"/>
            <w:noWrap/>
            <w:vAlign w:val="center"/>
          </w:tcPr>
          <w:p w14:paraId="79563223">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1033" w:type="dxa"/>
            <w:noWrap/>
            <w:vAlign w:val="bottom"/>
          </w:tcPr>
          <w:p w14:paraId="3D35FCE0">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562" w:type="dxa"/>
            <w:noWrap/>
            <w:vAlign w:val="bottom"/>
          </w:tcPr>
          <w:p w14:paraId="677B2136">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r>
      <w:tr w14:paraId="3996A6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6" w:hRule="atLeast"/>
        </w:trPr>
        <w:tc>
          <w:tcPr>
            <w:tcW w:w="291" w:type="dxa"/>
            <w:noWrap/>
            <w:vAlign w:val="center"/>
          </w:tcPr>
          <w:p w14:paraId="17669195">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561" w:type="dxa"/>
            <w:noWrap/>
            <w:vAlign w:val="center"/>
          </w:tcPr>
          <w:p w14:paraId="051FDC67">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345" w:type="dxa"/>
            <w:noWrap/>
            <w:vAlign w:val="center"/>
          </w:tcPr>
          <w:p w14:paraId="7111D500">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485" w:type="dxa"/>
            <w:noWrap/>
            <w:vAlign w:val="center"/>
          </w:tcPr>
          <w:p w14:paraId="6B0C37BB">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600" w:type="dxa"/>
            <w:noWrap/>
            <w:vAlign w:val="bottom"/>
          </w:tcPr>
          <w:p w14:paraId="796FB42D">
            <w:pPr>
              <w:widowControl/>
              <w:jc w:val="left"/>
              <w:rPr>
                <w:rFonts w:ascii="新宋体" w:hAnsi="新宋体" w:eastAsia="新宋体"/>
                <w:color w:val="auto"/>
                <w:kern w:val="0"/>
                <w:sz w:val="24"/>
                <w:highlight w:val="none"/>
              </w:rPr>
            </w:pPr>
            <w:r>
              <w:rPr>
                <w:rFonts w:ascii="新宋体" w:hAnsi="新宋体" w:eastAsia="新宋体"/>
                <w:color w:val="auto"/>
                <w:kern w:val="0"/>
                <w:sz w:val="24"/>
                <w:highlight w:val="none"/>
              </w:rPr>
              <w:t>　</w:t>
            </w:r>
          </w:p>
        </w:tc>
        <w:tc>
          <w:tcPr>
            <w:tcW w:w="599" w:type="dxa"/>
            <w:noWrap/>
            <w:vAlign w:val="center"/>
          </w:tcPr>
          <w:p w14:paraId="10F6C18D">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557" w:type="dxa"/>
            <w:noWrap/>
            <w:vAlign w:val="center"/>
          </w:tcPr>
          <w:p w14:paraId="65675F60">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1279" w:type="dxa"/>
            <w:noWrap/>
            <w:vAlign w:val="bottom"/>
          </w:tcPr>
          <w:p w14:paraId="1204033B">
            <w:pPr>
              <w:widowControl/>
              <w:jc w:val="left"/>
              <w:rPr>
                <w:rFonts w:ascii="新宋体" w:hAnsi="新宋体" w:eastAsia="新宋体"/>
                <w:color w:val="auto"/>
                <w:kern w:val="0"/>
                <w:sz w:val="24"/>
                <w:highlight w:val="none"/>
              </w:rPr>
            </w:pPr>
            <w:r>
              <w:rPr>
                <w:rFonts w:ascii="新宋体" w:hAnsi="新宋体" w:eastAsia="新宋体"/>
                <w:color w:val="auto"/>
                <w:kern w:val="0"/>
                <w:sz w:val="24"/>
                <w:highlight w:val="none"/>
              </w:rPr>
              <w:t>　</w:t>
            </w:r>
          </w:p>
        </w:tc>
        <w:tc>
          <w:tcPr>
            <w:tcW w:w="711" w:type="dxa"/>
            <w:noWrap/>
            <w:vAlign w:val="center"/>
          </w:tcPr>
          <w:p w14:paraId="15D2F6DE">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864" w:type="dxa"/>
            <w:noWrap/>
            <w:vAlign w:val="bottom"/>
          </w:tcPr>
          <w:p w14:paraId="33542EE6">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933" w:type="dxa"/>
            <w:noWrap/>
            <w:vAlign w:val="center"/>
          </w:tcPr>
          <w:p w14:paraId="17645E63">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1033" w:type="dxa"/>
            <w:noWrap/>
            <w:vAlign w:val="bottom"/>
          </w:tcPr>
          <w:p w14:paraId="46F4EE7A">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562" w:type="dxa"/>
            <w:noWrap/>
            <w:vAlign w:val="bottom"/>
          </w:tcPr>
          <w:p w14:paraId="2F662B71">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r>
      <w:tr w14:paraId="1ED5D5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6" w:hRule="atLeast"/>
        </w:trPr>
        <w:tc>
          <w:tcPr>
            <w:tcW w:w="291" w:type="dxa"/>
            <w:noWrap/>
            <w:vAlign w:val="center"/>
          </w:tcPr>
          <w:p w14:paraId="5C162F15">
            <w:pPr>
              <w:widowControl/>
              <w:jc w:val="center"/>
              <w:rPr>
                <w:rFonts w:ascii="新宋体" w:hAnsi="新宋体" w:eastAsia="新宋体"/>
                <w:color w:val="auto"/>
                <w:kern w:val="0"/>
                <w:sz w:val="24"/>
                <w:highlight w:val="none"/>
              </w:rPr>
            </w:pPr>
            <w:r>
              <w:rPr>
                <w:rFonts w:ascii="新宋体" w:hAnsi="新宋体" w:eastAsia="新宋体"/>
                <w:color w:val="auto"/>
                <w:kern w:val="0"/>
                <w:sz w:val="24"/>
                <w:highlight w:val="none"/>
              </w:rPr>
              <w:t>　</w:t>
            </w:r>
          </w:p>
        </w:tc>
        <w:tc>
          <w:tcPr>
            <w:tcW w:w="561" w:type="dxa"/>
            <w:noWrap/>
            <w:vAlign w:val="center"/>
          </w:tcPr>
          <w:p w14:paraId="1CAE2C63">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345" w:type="dxa"/>
            <w:noWrap/>
            <w:vAlign w:val="center"/>
          </w:tcPr>
          <w:p w14:paraId="21B449B5">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485" w:type="dxa"/>
            <w:noWrap/>
            <w:vAlign w:val="center"/>
          </w:tcPr>
          <w:p w14:paraId="6540559B">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600" w:type="dxa"/>
            <w:noWrap/>
            <w:vAlign w:val="center"/>
          </w:tcPr>
          <w:p w14:paraId="2F5D9D67">
            <w:pPr>
              <w:widowControl/>
              <w:jc w:val="left"/>
              <w:rPr>
                <w:rFonts w:ascii="新宋体" w:hAnsi="新宋体" w:eastAsia="新宋体"/>
                <w:color w:val="auto"/>
                <w:kern w:val="0"/>
                <w:sz w:val="24"/>
                <w:highlight w:val="none"/>
              </w:rPr>
            </w:pPr>
            <w:r>
              <w:rPr>
                <w:rFonts w:ascii="新宋体" w:hAnsi="新宋体" w:eastAsia="新宋体"/>
                <w:color w:val="auto"/>
                <w:kern w:val="0"/>
                <w:sz w:val="24"/>
                <w:highlight w:val="none"/>
              </w:rPr>
              <w:t>　</w:t>
            </w:r>
          </w:p>
        </w:tc>
        <w:tc>
          <w:tcPr>
            <w:tcW w:w="599" w:type="dxa"/>
            <w:noWrap/>
            <w:vAlign w:val="center"/>
          </w:tcPr>
          <w:p w14:paraId="7F9904D2">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557" w:type="dxa"/>
            <w:noWrap/>
            <w:vAlign w:val="center"/>
          </w:tcPr>
          <w:p w14:paraId="20DC5275">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1279" w:type="dxa"/>
            <w:noWrap/>
            <w:vAlign w:val="center"/>
          </w:tcPr>
          <w:p w14:paraId="455B9A19">
            <w:pPr>
              <w:widowControl/>
              <w:jc w:val="left"/>
              <w:rPr>
                <w:rFonts w:ascii="新宋体" w:hAnsi="新宋体" w:eastAsia="新宋体"/>
                <w:color w:val="auto"/>
                <w:kern w:val="0"/>
                <w:sz w:val="24"/>
                <w:highlight w:val="none"/>
              </w:rPr>
            </w:pPr>
            <w:r>
              <w:rPr>
                <w:rFonts w:ascii="新宋体" w:hAnsi="新宋体" w:eastAsia="新宋体"/>
                <w:color w:val="auto"/>
                <w:kern w:val="0"/>
                <w:sz w:val="24"/>
                <w:highlight w:val="none"/>
              </w:rPr>
              <w:t>　</w:t>
            </w:r>
          </w:p>
        </w:tc>
        <w:tc>
          <w:tcPr>
            <w:tcW w:w="711" w:type="dxa"/>
            <w:noWrap/>
            <w:vAlign w:val="center"/>
          </w:tcPr>
          <w:p w14:paraId="7F0BA34F">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864" w:type="dxa"/>
            <w:noWrap/>
            <w:vAlign w:val="bottom"/>
          </w:tcPr>
          <w:p w14:paraId="36AA3304">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933" w:type="dxa"/>
            <w:noWrap/>
            <w:vAlign w:val="center"/>
          </w:tcPr>
          <w:p w14:paraId="08D7A556">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1033" w:type="dxa"/>
            <w:noWrap/>
            <w:vAlign w:val="bottom"/>
          </w:tcPr>
          <w:p w14:paraId="739ACAF4">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562" w:type="dxa"/>
            <w:noWrap/>
            <w:vAlign w:val="bottom"/>
          </w:tcPr>
          <w:p w14:paraId="1B20020B">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r>
      <w:tr w14:paraId="649DF7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6" w:hRule="atLeast"/>
        </w:trPr>
        <w:tc>
          <w:tcPr>
            <w:tcW w:w="291" w:type="dxa"/>
            <w:noWrap/>
            <w:vAlign w:val="center"/>
          </w:tcPr>
          <w:p w14:paraId="3CD1A5EB">
            <w:pPr>
              <w:widowControl/>
              <w:jc w:val="center"/>
              <w:rPr>
                <w:rFonts w:ascii="新宋体" w:hAnsi="新宋体" w:eastAsia="新宋体"/>
                <w:color w:val="auto"/>
                <w:kern w:val="0"/>
                <w:sz w:val="24"/>
                <w:highlight w:val="none"/>
              </w:rPr>
            </w:pPr>
            <w:r>
              <w:rPr>
                <w:rFonts w:ascii="新宋体" w:hAnsi="新宋体" w:eastAsia="新宋体"/>
                <w:color w:val="auto"/>
                <w:kern w:val="0"/>
                <w:sz w:val="24"/>
                <w:highlight w:val="none"/>
              </w:rPr>
              <w:t>　</w:t>
            </w:r>
          </w:p>
        </w:tc>
        <w:tc>
          <w:tcPr>
            <w:tcW w:w="561" w:type="dxa"/>
            <w:noWrap/>
            <w:vAlign w:val="center"/>
          </w:tcPr>
          <w:p w14:paraId="6DECE818">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345" w:type="dxa"/>
            <w:noWrap/>
            <w:vAlign w:val="center"/>
          </w:tcPr>
          <w:p w14:paraId="5EE098F2">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485" w:type="dxa"/>
            <w:noWrap/>
            <w:vAlign w:val="center"/>
          </w:tcPr>
          <w:p w14:paraId="6FB6C2B2">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600" w:type="dxa"/>
            <w:noWrap/>
            <w:vAlign w:val="center"/>
          </w:tcPr>
          <w:p w14:paraId="638F3CC0">
            <w:pPr>
              <w:widowControl/>
              <w:jc w:val="left"/>
              <w:rPr>
                <w:rFonts w:ascii="新宋体" w:hAnsi="新宋体" w:eastAsia="新宋体"/>
                <w:color w:val="auto"/>
                <w:kern w:val="0"/>
                <w:sz w:val="24"/>
                <w:highlight w:val="none"/>
              </w:rPr>
            </w:pPr>
            <w:r>
              <w:rPr>
                <w:rFonts w:ascii="新宋体" w:hAnsi="新宋体" w:eastAsia="新宋体"/>
                <w:color w:val="auto"/>
                <w:kern w:val="0"/>
                <w:sz w:val="24"/>
                <w:highlight w:val="none"/>
              </w:rPr>
              <w:t>　</w:t>
            </w:r>
          </w:p>
        </w:tc>
        <w:tc>
          <w:tcPr>
            <w:tcW w:w="599" w:type="dxa"/>
            <w:noWrap/>
            <w:vAlign w:val="center"/>
          </w:tcPr>
          <w:p w14:paraId="7960D8BF">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557" w:type="dxa"/>
            <w:noWrap/>
            <w:vAlign w:val="center"/>
          </w:tcPr>
          <w:p w14:paraId="358A3AF3">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1279" w:type="dxa"/>
            <w:noWrap/>
            <w:vAlign w:val="center"/>
          </w:tcPr>
          <w:p w14:paraId="1B9C6F99">
            <w:pPr>
              <w:widowControl/>
              <w:jc w:val="left"/>
              <w:rPr>
                <w:rFonts w:ascii="新宋体" w:hAnsi="新宋体" w:eastAsia="新宋体"/>
                <w:color w:val="auto"/>
                <w:kern w:val="0"/>
                <w:sz w:val="24"/>
                <w:highlight w:val="none"/>
              </w:rPr>
            </w:pPr>
            <w:r>
              <w:rPr>
                <w:rFonts w:ascii="新宋体" w:hAnsi="新宋体" w:eastAsia="新宋体"/>
                <w:color w:val="auto"/>
                <w:kern w:val="0"/>
                <w:sz w:val="24"/>
                <w:highlight w:val="none"/>
              </w:rPr>
              <w:t>　</w:t>
            </w:r>
          </w:p>
        </w:tc>
        <w:tc>
          <w:tcPr>
            <w:tcW w:w="711" w:type="dxa"/>
            <w:noWrap/>
            <w:vAlign w:val="center"/>
          </w:tcPr>
          <w:p w14:paraId="07316A47">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864" w:type="dxa"/>
            <w:noWrap/>
            <w:vAlign w:val="bottom"/>
          </w:tcPr>
          <w:p w14:paraId="2E7F9DD5">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933" w:type="dxa"/>
            <w:noWrap/>
            <w:vAlign w:val="center"/>
          </w:tcPr>
          <w:p w14:paraId="1EAF20FE">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1033" w:type="dxa"/>
            <w:noWrap/>
            <w:vAlign w:val="bottom"/>
          </w:tcPr>
          <w:p w14:paraId="1E6A9224">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562" w:type="dxa"/>
            <w:noWrap/>
            <w:vAlign w:val="bottom"/>
          </w:tcPr>
          <w:p w14:paraId="4D4E2BDB">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r>
      <w:tr w14:paraId="159C4E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6" w:hRule="atLeast"/>
        </w:trPr>
        <w:tc>
          <w:tcPr>
            <w:tcW w:w="291" w:type="dxa"/>
            <w:noWrap/>
            <w:vAlign w:val="center"/>
          </w:tcPr>
          <w:p w14:paraId="591F08B9">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561" w:type="dxa"/>
            <w:noWrap/>
            <w:vAlign w:val="center"/>
          </w:tcPr>
          <w:p w14:paraId="449CCFE9">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345" w:type="dxa"/>
            <w:noWrap/>
            <w:vAlign w:val="center"/>
          </w:tcPr>
          <w:p w14:paraId="21971114">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485" w:type="dxa"/>
            <w:noWrap/>
            <w:vAlign w:val="center"/>
          </w:tcPr>
          <w:p w14:paraId="64C93F10">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600" w:type="dxa"/>
            <w:noWrap/>
            <w:vAlign w:val="center"/>
          </w:tcPr>
          <w:p w14:paraId="01CA112E">
            <w:pPr>
              <w:widowControl/>
              <w:jc w:val="left"/>
              <w:rPr>
                <w:rFonts w:ascii="新宋体" w:hAnsi="新宋体" w:eastAsia="新宋体"/>
                <w:color w:val="auto"/>
                <w:kern w:val="0"/>
                <w:sz w:val="24"/>
                <w:highlight w:val="none"/>
              </w:rPr>
            </w:pPr>
            <w:r>
              <w:rPr>
                <w:rFonts w:ascii="新宋体" w:hAnsi="新宋体" w:eastAsia="新宋体"/>
                <w:color w:val="auto"/>
                <w:kern w:val="0"/>
                <w:sz w:val="24"/>
                <w:highlight w:val="none"/>
              </w:rPr>
              <w:t>　</w:t>
            </w:r>
          </w:p>
        </w:tc>
        <w:tc>
          <w:tcPr>
            <w:tcW w:w="599" w:type="dxa"/>
            <w:noWrap/>
            <w:vAlign w:val="center"/>
          </w:tcPr>
          <w:p w14:paraId="4EC933C8">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557" w:type="dxa"/>
            <w:noWrap/>
            <w:vAlign w:val="center"/>
          </w:tcPr>
          <w:p w14:paraId="7FCB419B">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1279" w:type="dxa"/>
            <w:noWrap/>
            <w:vAlign w:val="center"/>
          </w:tcPr>
          <w:p w14:paraId="6A8828A5">
            <w:pPr>
              <w:widowControl/>
              <w:jc w:val="left"/>
              <w:rPr>
                <w:rFonts w:ascii="新宋体" w:hAnsi="新宋体" w:eastAsia="新宋体"/>
                <w:color w:val="auto"/>
                <w:kern w:val="0"/>
                <w:sz w:val="24"/>
                <w:highlight w:val="none"/>
              </w:rPr>
            </w:pPr>
            <w:r>
              <w:rPr>
                <w:rFonts w:ascii="新宋体" w:hAnsi="新宋体" w:eastAsia="新宋体"/>
                <w:color w:val="auto"/>
                <w:kern w:val="0"/>
                <w:sz w:val="24"/>
                <w:highlight w:val="none"/>
              </w:rPr>
              <w:t>　</w:t>
            </w:r>
          </w:p>
        </w:tc>
        <w:tc>
          <w:tcPr>
            <w:tcW w:w="711" w:type="dxa"/>
            <w:noWrap/>
            <w:vAlign w:val="center"/>
          </w:tcPr>
          <w:p w14:paraId="0DE40EE3">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864" w:type="dxa"/>
            <w:noWrap/>
            <w:vAlign w:val="bottom"/>
          </w:tcPr>
          <w:p w14:paraId="68B6F727">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933" w:type="dxa"/>
            <w:noWrap/>
            <w:vAlign w:val="center"/>
          </w:tcPr>
          <w:p w14:paraId="121272CA">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1033" w:type="dxa"/>
            <w:noWrap/>
            <w:vAlign w:val="bottom"/>
          </w:tcPr>
          <w:p w14:paraId="2A8392A5">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562" w:type="dxa"/>
            <w:noWrap/>
            <w:vAlign w:val="bottom"/>
          </w:tcPr>
          <w:p w14:paraId="6F25B9C5">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r>
      <w:tr w14:paraId="770A88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6" w:hRule="atLeast"/>
        </w:trPr>
        <w:tc>
          <w:tcPr>
            <w:tcW w:w="291" w:type="dxa"/>
            <w:noWrap/>
            <w:vAlign w:val="center"/>
          </w:tcPr>
          <w:p w14:paraId="21D59836">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561" w:type="dxa"/>
            <w:noWrap/>
            <w:vAlign w:val="center"/>
          </w:tcPr>
          <w:p w14:paraId="4F0B752A">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345" w:type="dxa"/>
            <w:noWrap/>
            <w:vAlign w:val="center"/>
          </w:tcPr>
          <w:p w14:paraId="22250CA4">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485" w:type="dxa"/>
            <w:noWrap/>
            <w:vAlign w:val="center"/>
          </w:tcPr>
          <w:p w14:paraId="3284CC3E">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600" w:type="dxa"/>
            <w:noWrap/>
            <w:vAlign w:val="center"/>
          </w:tcPr>
          <w:p w14:paraId="6E14F735">
            <w:pPr>
              <w:widowControl/>
              <w:jc w:val="left"/>
              <w:rPr>
                <w:rFonts w:ascii="新宋体" w:hAnsi="新宋体" w:eastAsia="新宋体"/>
                <w:color w:val="auto"/>
                <w:kern w:val="0"/>
                <w:sz w:val="24"/>
                <w:highlight w:val="none"/>
              </w:rPr>
            </w:pPr>
            <w:r>
              <w:rPr>
                <w:rFonts w:ascii="新宋体" w:hAnsi="新宋体" w:eastAsia="新宋体"/>
                <w:color w:val="auto"/>
                <w:kern w:val="0"/>
                <w:sz w:val="24"/>
                <w:highlight w:val="none"/>
              </w:rPr>
              <w:t>　</w:t>
            </w:r>
          </w:p>
        </w:tc>
        <w:tc>
          <w:tcPr>
            <w:tcW w:w="599" w:type="dxa"/>
            <w:noWrap/>
            <w:vAlign w:val="center"/>
          </w:tcPr>
          <w:p w14:paraId="562E2B97">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557" w:type="dxa"/>
            <w:noWrap/>
            <w:vAlign w:val="center"/>
          </w:tcPr>
          <w:p w14:paraId="1A42E3E6">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1279" w:type="dxa"/>
            <w:noWrap/>
            <w:vAlign w:val="center"/>
          </w:tcPr>
          <w:p w14:paraId="767310C4">
            <w:pPr>
              <w:widowControl/>
              <w:jc w:val="left"/>
              <w:rPr>
                <w:rFonts w:ascii="新宋体" w:hAnsi="新宋体" w:eastAsia="新宋体"/>
                <w:color w:val="auto"/>
                <w:kern w:val="0"/>
                <w:sz w:val="24"/>
                <w:highlight w:val="none"/>
              </w:rPr>
            </w:pPr>
            <w:r>
              <w:rPr>
                <w:rFonts w:ascii="新宋体" w:hAnsi="新宋体" w:eastAsia="新宋体"/>
                <w:color w:val="auto"/>
                <w:kern w:val="0"/>
                <w:sz w:val="24"/>
                <w:highlight w:val="none"/>
              </w:rPr>
              <w:t>　</w:t>
            </w:r>
          </w:p>
        </w:tc>
        <w:tc>
          <w:tcPr>
            <w:tcW w:w="711" w:type="dxa"/>
            <w:noWrap/>
            <w:vAlign w:val="center"/>
          </w:tcPr>
          <w:p w14:paraId="47C8FE24">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864" w:type="dxa"/>
            <w:noWrap/>
            <w:vAlign w:val="bottom"/>
          </w:tcPr>
          <w:p w14:paraId="27C6CC7B">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933" w:type="dxa"/>
            <w:noWrap/>
            <w:vAlign w:val="center"/>
          </w:tcPr>
          <w:p w14:paraId="167E4D47">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1033" w:type="dxa"/>
            <w:noWrap/>
            <w:vAlign w:val="bottom"/>
          </w:tcPr>
          <w:p w14:paraId="701023BE">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562" w:type="dxa"/>
            <w:noWrap/>
            <w:vAlign w:val="bottom"/>
          </w:tcPr>
          <w:p w14:paraId="54D6D7E4">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r>
      <w:tr w14:paraId="2D1DDC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6" w:hRule="atLeast"/>
        </w:trPr>
        <w:tc>
          <w:tcPr>
            <w:tcW w:w="291" w:type="dxa"/>
            <w:noWrap/>
            <w:vAlign w:val="center"/>
          </w:tcPr>
          <w:p w14:paraId="00E8CD9C">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561" w:type="dxa"/>
            <w:noWrap/>
            <w:vAlign w:val="bottom"/>
          </w:tcPr>
          <w:p w14:paraId="1B0F3268">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345" w:type="dxa"/>
            <w:noWrap/>
            <w:vAlign w:val="bottom"/>
          </w:tcPr>
          <w:p w14:paraId="236DD9AD">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485" w:type="dxa"/>
            <w:noWrap/>
            <w:vAlign w:val="bottom"/>
          </w:tcPr>
          <w:p w14:paraId="0DDBC043">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600" w:type="dxa"/>
            <w:noWrap/>
            <w:vAlign w:val="bottom"/>
          </w:tcPr>
          <w:p w14:paraId="2E33C503">
            <w:pPr>
              <w:widowControl/>
              <w:jc w:val="left"/>
              <w:rPr>
                <w:rFonts w:ascii="新宋体" w:hAnsi="新宋体" w:eastAsia="新宋体"/>
                <w:color w:val="auto"/>
                <w:kern w:val="0"/>
                <w:sz w:val="24"/>
                <w:highlight w:val="none"/>
              </w:rPr>
            </w:pPr>
            <w:r>
              <w:rPr>
                <w:rFonts w:ascii="新宋体" w:hAnsi="新宋体" w:eastAsia="新宋体"/>
                <w:color w:val="auto"/>
                <w:kern w:val="0"/>
                <w:sz w:val="24"/>
                <w:highlight w:val="none"/>
              </w:rPr>
              <w:t>　</w:t>
            </w:r>
          </w:p>
        </w:tc>
        <w:tc>
          <w:tcPr>
            <w:tcW w:w="599" w:type="dxa"/>
            <w:noWrap/>
            <w:vAlign w:val="bottom"/>
          </w:tcPr>
          <w:p w14:paraId="38E8DB3B">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557" w:type="dxa"/>
            <w:noWrap/>
            <w:vAlign w:val="bottom"/>
          </w:tcPr>
          <w:p w14:paraId="6958E60F">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1279" w:type="dxa"/>
            <w:noWrap/>
            <w:vAlign w:val="bottom"/>
          </w:tcPr>
          <w:p w14:paraId="1737FBC0">
            <w:pPr>
              <w:widowControl/>
              <w:jc w:val="left"/>
              <w:rPr>
                <w:rFonts w:ascii="新宋体" w:hAnsi="新宋体" w:eastAsia="新宋体"/>
                <w:color w:val="auto"/>
                <w:kern w:val="0"/>
                <w:sz w:val="24"/>
                <w:highlight w:val="none"/>
              </w:rPr>
            </w:pPr>
            <w:r>
              <w:rPr>
                <w:rFonts w:ascii="新宋体" w:hAnsi="新宋体" w:eastAsia="新宋体"/>
                <w:color w:val="auto"/>
                <w:kern w:val="0"/>
                <w:sz w:val="24"/>
                <w:highlight w:val="none"/>
              </w:rPr>
              <w:t>　</w:t>
            </w:r>
          </w:p>
        </w:tc>
        <w:tc>
          <w:tcPr>
            <w:tcW w:w="711" w:type="dxa"/>
            <w:noWrap/>
            <w:vAlign w:val="bottom"/>
          </w:tcPr>
          <w:p w14:paraId="60CF82FB">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864" w:type="dxa"/>
            <w:noWrap/>
            <w:vAlign w:val="bottom"/>
          </w:tcPr>
          <w:p w14:paraId="52668FA6">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933" w:type="dxa"/>
            <w:noWrap/>
            <w:vAlign w:val="center"/>
          </w:tcPr>
          <w:p w14:paraId="68919426">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1033" w:type="dxa"/>
            <w:noWrap/>
            <w:vAlign w:val="bottom"/>
          </w:tcPr>
          <w:p w14:paraId="2BEE168B">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562" w:type="dxa"/>
            <w:noWrap/>
            <w:vAlign w:val="bottom"/>
          </w:tcPr>
          <w:p w14:paraId="1D78DC4F">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r>
      <w:tr w14:paraId="4AE75B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6" w:hRule="atLeast"/>
        </w:trPr>
        <w:tc>
          <w:tcPr>
            <w:tcW w:w="291" w:type="dxa"/>
            <w:noWrap/>
            <w:vAlign w:val="center"/>
          </w:tcPr>
          <w:p w14:paraId="36C92B9C">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561" w:type="dxa"/>
            <w:noWrap/>
            <w:vAlign w:val="bottom"/>
          </w:tcPr>
          <w:p w14:paraId="23D911A5">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345" w:type="dxa"/>
            <w:noWrap/>
            <w:vAlign w:val="bottom"/>
          </w:tcPr>
          <w:p w14:paraId="28A96EEB">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485" w:type="dxa"/>
            <w:noWrap/>
            <w:vAlign w:val="bottom"/>
          </w:tcPr>
          <w:p w14:paraId="3387F207">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600" w:type="dxa"/>
            <w:noWrap/>
            <w:vAlign w:val="bottom"/>
          </w:tcPr>
          <w:p w14:paraId="61F34966">
            <w:pPr>
              <w:widowControl/>
              <w:jc w:val="left"/>
              <w:rPr>
                <w:rFonts w:ascii="新宋体" w:hAnsi="新宋体" w:eastAsia="新宋体"/>
                <w:color w:val="auto"/>
                <w:kern w:val="0"/>
                <w:sz w:val="24"/>
                <w:highlight w:val="none"/>
              </w:rPr>
            </w:pPr>
            <w:r>
              <w:rPr>
                <w:rFonts w:ascii="新宋体" w:hAnsi="新宋体" w:eastAsia="新宋体"/>
                <w:color w:val="auto"/>
                <w:kern w:val="0"/>
                <w:sz w:val="24"/>
                <w:highlight w:val="none"/>
              </w:rPr>
              <w:t>　</w:t>
            </w:r>
          </w:p>
        </w:tc>
        <w:tc>
          <w:tcPr>
            <w:tcW w:w="599" w:type="dxa"/>
            <w:noWrap/>
            <w:vAlign w:val="bottom"/>
          </w:tcPr>
          <w:p w14:paraId="1DE656DE">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557" w:type="dxa"/>
            <w:noWrap/>
            <w:vAlign w:val="bottom"/>
          </w:tcPr>
          <w:p w14:paraId="255094F7">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1279" w:type="dxa"/>
            <w:noWrap/>
            <w:vAlign w:val="bottom"/>
          </w:tcPr>
          <w:p w14:paraId="61041258">
            <w:pPr>
              <w:widowControl/>
              <w:jc w:val="left"/>
              <w:rPr>
                <w:rFonts w:ascii="新宋体" w:hAnsi="新宋体" w:eastAsia="新宋体"/>
                <w:color w:val="auto"/>
                <w:kern w:val="0"/>
                <w:sz w:val="24"/>
                <w:highlight w:val="none"/>
              </w:rPr>
            </w:pPr>
            <w:r>
              <w:rPr>
                <w:rFonts w:ascii="新宋体" w:hAnsi="新宋体" w:eastAsia="新宋体"/>
                <w:color w:val="auto"/>
                <w:kern w:val="0"/>
                <w:sz w:val="24"/>
                <w:highlight w:val="none"/>
              </w:rPr>
              <w:t>　</w:t>
            </w:r>
          </w:p>
        </w:tc>
        <w:tc>
          <w:tcPr>
            <w:tcW w:w="711" w:type="dxa"/>
            <w:noWrap/>
            <w:vAlign w:val="bottom"/>
          </w:tcPr>
          <w:p w14:paraId="550E5AAA">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864" w:type="dxa"/>
            <w:noWrap/>
            <w:vAlign w:val="bottom"/>
          </w:tcPr>
          <w:p w14:paraId="6A765CBB">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933" w:type="dxa"/>
            <w:noWrap/>
            <w:vAlign w:val="center"/>
          </w:tcPr>
          <w:p w14:paraId="5D070BD2">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1033" w:type="dxa"/>
            <w:noWrap/>
            <w:vAlign w:val="bottom"/>
          </w:tcPr>
          <w:p w14:paraId="11EA36B7">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c>
          <w:tcPr>
            <w:tcW w:w="562" w:type="dxa"/>
            <w:noWrap/>
            <w:vAlign w:val="bottom"/>
          </w:tcPr>
          <w:p w14:paraId="5520EF9E">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w:t>
            </w:r>
          </w:p>
        </w:tc>
      </w:tr>
      <w:tr w14:paraId="5CB929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6" w:hRule="atLeast"/>
        </w:trPr>
        <w:tc>
          <w:tcPr>
            <w:tcW w:w="4717" w:type="dxa"/>
            <w:gridSpan w:val="8"/>
            <w:noWrap/>
            <w:vAlign w:val="center"/>
          </w:tcPr>
          <w:p w14:paraId="30949B41">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xml:space="preserve">   注：“联系方式”栏管理人员必须填写</w:t>
            </w:r>
          </w:p>
        </w:tc>
        <w:tc>
          <w:tcPr>
            <w:tcW w:w="711" w:type="dxa"/>
            <w:noWrap/>
            <w:vAlign w:val="center"/>
          </w:tcPr>
          <w:p w14:paraId="36537281">
            <w:pPr>
              <w:widowControl/>
              <w:jc w:val="left"/>
              <w:rPr>
                <w:rFonts w:ascii="新宋体" w:hAnsi="新宋体" w:eastAsia="新宋体" w:cs="宋体"/>
                <w:color w:val="auto"/>
                <w:kern w:val="0"/>
                <w:sz w:val="24"/>
                <w:highlight w:val="none"/>
              </w:rPr>
            </w:pPr>
          </w:p>
        </w:tc>
        <w:tc>
          <w:tcPr>
            <w:tcW w:w="864" w:type="dxa"/>
            <w:noWrap/>
            <w:vAlign w:val="bottom"/>
          </w:tcPr>
          <w:p w14:paraId="56923A46">
            <w:pPr>
              <w:widowControl/>
              <w:jc w:val="left"/>
              <w:rPr>
                <w:rFonts w:ascii="新宋体" w:hAnsi="新宋体" w:eastAsia="新宋体" w:cs="宋体"/>
                <w:color w:val="auto"/>
                <w:kern w:val="0"/>
                <w:sz w:val="24"/>
                <w:highlight w:val="none"/>
              </w:rPr>
            </w:pPr>
          </w:p>
        </w:tc>
        <w:tc>
          <w:tcPr>
            <w:tcW w:w="933" w:type="dxa"/>
            <w:noWrap/>
            <w:vAlign w:val="center"/>
          </w:tcPr>
          <w:p w14:paraId="133613E2">
            <w:pPr>
              <w:widowControl/>
              <w:jc w:val="center"/>
              <w:rPr>
                <w:rFonts w:ascii="新宋体" w:hAnsi="新宋体" w:eastAsia="新宋体" w:cs="宋体"/>
                <w:color w:val="auto"/>
                <w:kern w:val="0"/>
                <w:sz w:val="24"/>
                <w:highlight w:val="none"/>
              </w:rPr>
            </w:pPr>
          </w:p>
        </w:tc>
        <w:tc>
          <w:tcPr>
            <w:tcW w:w="1033" w:type="dxa"/>
            <w:noWrap/>
            <w:vAlign w:val="bottom"/>
          </w:tcPr>
          <w:p w14:paraId="351C751C">
            <w:pPr>
              <w:widowControl/>
              <w:jc w:val="left"/>
              <w:rPr>
                <w:rFonts w:ascii="新宋体" w:hAnsi="新宋体" w:eastAsia="新宋体" w:cs="宋体"/>
                <w:color w:val="auto"/>
                <w:kern w:val="0"/>
                <w:sz w:val="24"/>
                <w:highlight w:val="none"/>
              </w:rPr>
            </w:pPr>
          </w:p>
        </w:tc>
        <w:tc>
          <w:tcPr>
            <w:tcW w:w="562" w:type="dxa"/>
            <w:noWrap/>
            <w:vAlign w:val="bottom"/>
          </w:tcPr>
          <w:p w14:paraId="7E093EA9">
            <w:pPr>
              <w:widowControl/>
              <w:jc w:val="left"/>
              <w:rPr>
                <w:rFonts w:ascii="新宋体" w:hAnsi="新宋体" w:eastAsia="新宋体" w:cs="宋体"/>
                <w:color w:val="auto"/>
                <w:kern w:val="0"/>
                <w:sz w:val="24"/>
                <w:highlight w:val="none"/>
              </w:rPr>
            </w:pPr>
          </w:p>
        </w:tc>
      </w:tr>
    </w:tbl>
    <w:p w14:paraId="0AA12CAF">
      <w:pPr>
        <w:pStyle w:val="18"/>
        <w:adjustRightInd w:val="0"/>
        <w:snapToGrid w:val="0"/>
        <w:spacing w:line="400" w:lineRule="exact"/>
        <w:ind w:left="2100"/>
        <w:rPr>
          <w:rFonts w:ascii="新宋体" w:hAnsi="新宋体" w:eastAsia="新宋体"/>
          <w:color w:val="auto"/>
          <w:sz w:val="24"/>
          <w:highlight w:val="none"/>
        </w:rPr>
      </w:pPr>
    </w:p>
    <w:p w14:paraId="34890B2D">
      <w:pPr>
        <w:pStyle w:val="18"/>
        <w:adjustRightInd w:val="0"/>
        <w:snapToGrid w:val="0"/>
        <w:spacing w:line="400" w:lineRule="exact"/>
        <w:rPr>
          <w:rFonts w:ascii="新宋体" w:hAnsi="新宋体" w:eastAsia="新宋体"/>
          <w:color w:val="auto"/>
          <w:sz w:val="24"/>
          <w:highlight w:val="none"/>
        </w:rPr>
      </w:pPr>
    </w:p>
    <w:p w14:paraId="4D0C3884">
      <w:pPr>
        <w:pStyle w:val="18"/>
        <w:adjustRightInd w:val="0"/>
        <w:snapToGrid w:val="0"/>
        <w:spacing w:line="400" w:lineRule="exact"/>
        <w:rPr>
          <w:rFonts w:ascii="新宋体" w:hAnsi="新宋体" w:eastAsia="新宋体"/>
          <w:color w:val="auto"/>
          <w:sz w:val="24"/>
          <w:highlight w:val="none"/>
        </w:rPr>
      </w:pPr>
    </w:p>
    <w:p w14:paraId="4EE5EDEE">
      <w:pPr>
        <w:pStyle w:val="18"/>
        <w:adjustRightInd w:val="0"/>
        <w:snapToGrid w:val="0"/>
        <w:spacing w:line="400" w:lineRule="exact"/>
        <w:rPr>
          <w:rFonts w:hint="eastAsia" w:ascii="新宋体" w:hAnsi="新宋体" w:eastAsia="新宋体"/>
          <w:color w:val="auto"/>
          <w:sz w:val="24"/>
          <w:highlight w:val="none"/>
        </w:rPr>
      </w:pPr>
    </w:p>
    <w:p w14:paraId="43454406">
      <w:pPr>
        <w:pStyle w:val="18"/>
        <w:adjustRightInd w:val="0"/>
        <w:snapToGrid w:val="0"/>
        <w:spacing w:line="400" w:lineRule="exact"/>
        <w:rPr>
          <w:rFonts w:hint="eastAsia" w:ascii="新宋体" w:hAnsi="新宋体" w:eastAsia="新宋体"/>
          <w:color w:val="auto"/>
          <w:sz w:val="24"/>
          <w:highlight w:val="none"/>
        </w:rPr>
      </w:pPr>
    </w:p>
    <w:p w14:paraId="7302A0E9">
      <w:pPr>
        <w:pStyle w:val="18"/>
        <w:adjustRightInd w:val="0"/>
        <w:snapToGrid w:val="0"/>
        <w:spacing w:line="400" w:lineRule="exact"/>
        <w:rPr>
          <w:rFonts w:hint="eastAsia" w:ascii="新宋体" w:hAnsi="新宋体" w:eastAsia="新宋体"/>
          <w:color w:val="auto"/>
          <w:sz w:val="24"/>
          <w:highlight w:val="none"/>
        </w:rPr>
      </w:pPr>
    </w:p>
    <w:p w14:paraId="6A52EB22">
      <w:pPr>
        <w:pStyle w:val="18"/>
        <w:adjustRightInd w:val="0"/>
        <w:snapToGrid w:val="0"/>
        <w:spacing w:line="400" w:lineRule="exact"/>
        <w:rPr>
          <w:rFonts w:hint="eastAsia" w:ascii="新宋体" w:hAnsi="新宋体" w:eastAsia="新宋体"/>
          <w:color w:val="auto"/>
          <w:sz w:val="24"/>
          <w:highlight w:val="none"/>
        </w:rPr>
      </w:pPr>
    </w:p>
    <w:p w14:paraId="003A039E">
      <w:pPr>
        <w:pStyle w:val="18"/>
        <w:adjustRightInd w:val="0"/>
        <w:snapToGrid w:val="0"/>
        <w:spacing w:line="400" w:lineRule="exact"/>
        <w:rPr>
          <w:rFonts w:hint="eastAsia" w:ascii="新宋体" w:hAnsi="新宋体" w:eastAsia="新宋体"/>
          <w:color w:val="auto"/>
          <w:sz w:val="24"/>
          <w:highlight w:val="none"/>
        </w:rPr>
      </w:pPr>
    </w:p>
    <w:p w14:paraId="15859DCE">
      <w:pPr>
        <w:rPr>
          <w:rFonts w:hint="eastAsia" w:ascii="新宋体" w:hAnsi="新宋体" w:eastAsia="新宋体"/>
          <w:color w:val="auto"/>
          <w:sz w:val="24"/>
          <w:highlight w:val="none"/>
        </w:rPr>
      </w:pPr>
    </w:p>
    <w:p w14:paraId="79653198">
      <w:pPr>
        <w:pStyle w:val="2"/>
        <w:rPr>
          <w:rFonts w:hint="eastAsia" w:ascii="新宋体" w:hAnsi="新宋体" w:eastAsia="新宋体"/>
          <w:color w:val="auto"/>
          <w:sz w:val="24"/>
          <w:highlight w:val="none"/>
        </w:rPr>
      </w:pPr>
    </w:p>
    <w:p w14:paraId="16FCC4AD">
      <w:pPr>
        <w:rPr>
          <w:rFonts w:hint="eastAsia" w:ascii="新宋体" w:hAnsi="新宋体" w:eastAsia="新宋体"/>
          <w:color w:val="auto"/>
          <w:sz w:val="24"/>
          <w:highlight w:val="none"/>
        </w:rPr>
      </w:pPr>
    </w:p>
    <w:p w14:paraId="6BD8702B">
      <w:pPr>
        <w:pStyle w:val="2"/>
        <w:rPr>
          <w:rFonts w:hint="eastAsia" w:ascii="新宋体" w:hAnsi="新宋体" w:eastAsia="新宋体"/>
          <w:color w:val="auto"/>
          <w:sz w:val="24"/>
          <w:highlight w:val="none"/>
        </w:rPr>
      </w:pPr>
    </w:p>
    <w:p w14:paraId="7C467955">
      <w:pPr>
        <w:rPr>
          <w:rFonts w:hint="eastAsia" w:ascii="新宋体" w:hAnsi="新宋体" w:eastAsia="新宋体"/>
          <w:color w:val="auto"/>
          <w:sz w:val="24"/>
          <w:highlight w:val="none"/>
        </w:rPr>
      </w:pPr>
    </w:p>
    <w:p w14:paraId="2E4B230B">
      <w:pPr>
        <w:pStyle w:val="2"/>
        <w:rPr>
          <w:rFonts w:hint="eastAsia"/>
        </w:rPr>
      </w:pPr>
    </w:p>
    <w:p w14:paraId="28212105">
      <w:pPr>
        <w:pStyle w:val="18"/>
        <w:adjustRightInd w:val="0"/>
        <w:snapToGrid w:val="0"/>
        <w:spacing w:line="400" w:lineRule="exact"/>
        <w:rPr>
          <w:rFonts w:hint="eastAsia" w:ascii="新宋体" w:hAnsi="新宋体" w:eastAsia="新宋体"/>
          <w:color w:val="auto"/>
          <w:sz w:val="24"/>
          <w:highlight w:val="none"/>
        </w:rPr>
      </w:pPr>
    </w:p>
    <w:p w14:paraId="120757AE">
      <w:pPr>
        <w:pStyle w:val="18"/>
        <w:adjustRightInd w:val="0"/>
        <w:snapToGrid w:val="0"/>
        <w:spacing w:line="400" w:lineRule="exact"/>
        <w:rPr>
          <w:rFonts w:ascii="新宋体" w:hAnsi="新宋体" w:eastAsia="新宋体"/>
          <w:color w:val="auto"/>
          <w:sz w:val="24"/>
          <w:highlight w:val="none"/>
        </w:rPr>
      </w:pPr>
      <w:r>
        <w:rPr>
          <w:rFonts w:hint="eastAsia" w:ascii="新宋体" w:hAnsi="新宋体" w:eastAsia="新宋体"/>
          <w:color w:val="auto"/>
          <w:sz w:val="24"/>
          <w:highlight w:val="none"/>
        </w:rPr>
        <w:t>附表3-2</w:t>
      </w:r>
    </w:p>
    <w:tbl>
      <w:tblPr>
        <w:tblStyle w:val="37"/>
        <w:tblpPr w:leftFromText="180" w:rightFromText="180" w:vertAnchor="text" w:horzAnchor="page" w:tblpX="307" w:tblpY="1231"/>
        <w:tblOverlap w:val="never"/>
        <w:tblW w:w="1104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51"/>
        <w:gridCol w:w="691"/>
        <w:gridCol w:w="362"/>
        <w:gridCol w:w="585"/>
        <w:gridCol w:w="585"/>
        <w:gridCol w:w="632"/>
        <w:gridCol w:w="906"/>
        <w:gridCol w:w="839"/>
        <w:gridCol w:w="1111"/>
        <w:gridCol w:w="1207"/>
        <w:gridCol w:w="839"/>
        <w:gridCol w:w="1842"/>
        <w:gridCol w:w="1090"/>
      </w:tblGrid>
      <w:tr w14:paraId="19B742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11040" w:type="dxa"/>
            <w:gridSpan w:val="13"/>
            <w:noWrap/>
            <w:vAlign w:val="bottom"/>
          </w:tcPr>
          <w:p w14:paraId="64C8A681">
            <w:pPr>
              <w:widowControl/>
              <w:jc w:val="center"/>
              <w:rPr>
                <w:rFonts w:ascii="新宋体" w:hAnsi="新宋体" w:eastAsia="新宋体" w:cs="宋体"/>
                <w:b/>
                <w:bCs/>
                <w:color w:val="auto"/>
                <w:kern w:val="0"/>
                <w:sz w:val="40"/>
                <w:szCs w:val="40"/>
                <w:highlight w:val="none"/>
                <w:u w:val="single"/>
              </w:rPr>
            </w:pPr>
            <w:r>
              <w:rPr>
                <w:rFonts w:hint="eastAsia" w:ascii="新宋体" w:hAnsi="新宋体" w:eastAsia="新宋体" w:cs="宋体"/>
                <w:b/>
                <w:bCs/>
                <w:color w:val="auto"/>
                <w:kern w:val="0"/>
                <w:sz w:val="40"/>
                <w:szCs w:val="40"/>
                <w:highlight w:val="none"/>
              </w:rPr>
              <w:t>公司人员变动登记表</w:t>
            </w:r>
          </w:p>
        </w:tc>
      </w:tr>
      <w:tr w14:paraId="5D1AD7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4" w:hRule="atLeast"/>
        </w:trPr>
        <w:tc>
          <w:tcPr>
            <w:tcW w:w="11040" w:type="dxa"/>
            <w:gridSpan w:val="13"/>
            <w:noWrap/>
            <w:vAlign w:val="bottom"/>
          </w:tcPr>
          <w:p w14:paraId="00F4D035">
            <w:pPr>
              <w:widowControl/>
              <w:jc w:val="center"/>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 xml:space="preserve">  年    月   日----     年     月  日</w:t>
            </w:r>
          </w:p>
        </w:tc>
      </w:tr>
      <w:tr w14:paraId="514443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4" w:hRule="atLeast"/>
        </w:trPr>
        <w:tc>
          <w:tcPr>
            <w:tcW w:w="4112" w:type="dxa"/>
            <w:gridSpan w:val="7"/>
            <w:noWrap/>
            <w:vAlign w:val="bottom"/>
          </w:tcPr>
          <w:p w14:paraId="171126C4">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填报单位（盖章）：</w:t>
            </w:r>
          </w:p>
        </w:tc>
        <w:tc>
          <w:tcPr>
            <w:tcW w:w="3157" w:type="dxa"/>
            <w:gridSpan w:val="3"/>
            <w:noWrap/>
            <w:vAlign w:val="bottom"/>
          </w:tcPr>
          <w:p w14:paraId="3FB5F451">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填报人：</w:t>
            </w:r>
          </w:p>
        </w:tc>
        <w:tc>
          <w:tcPr>
            <w:tcW w:w="2681" w:type="dxa"/>
            <w:gridSpan w:val="2"/>
            <w:noWrap/>
            <w:vAlign w:val="bottom"/>
          </w:tcPr>
          <w:p w14:paraId="5E03A8C0">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负责人签名：</w:t>
            </w:r>
          </w:p>
        </w:tc>
        <w:tc>
          <w:tcPr>
            <w:tcW w:w="1090" w:type="dxa"/>
            <w:noWrap/>
            <w:vAlign w:val="bottom"/>
          </w:tcPr>
          <w:p w14:paraId="6FAA5536">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填表时间：</w:t>
            </w:r>
          </w:p>
        </w:tc>
      </w:tr>
      <w:tr w14:paraId="1B8A8B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 w:hRule="atLeast"/>
        </w:trPr>
        <w:tc>
          <w:tcPr>
            <w:tcW w:w="351" w:type="dxa"/>
            <w:noWrap/>
            <w:vAlign w:val="center"/>
          </w:tcPr>
          <w:p w14:paraId="1D9451DD">
            <w:pPr>
              <w:widowControl/>
              <w:jc w:val="center"/>
              <w:rPr>
                <w:rFonts w:ascii="新宋体" w:hAnsi="新宋体" w:eastAsia="新宋体" w:cs="宋体"/>
                <w:b/>
                <w:bCs/>
                <w:color w:val="auto"/>
                <w:kern w:val="0"/>
                <w:sz w:val="24"/>
                <w:highlight w:val="none"/>
              </w:rPr>
            </w:pPr>
            <w:r>
              <w:rPr>
                <w:rFonts w:hint="eastAsia" w:ascii="新宋体" w:hAnsi="新宋体" w:eastAsia="新宋体" w:cs="宋体"/>
                <w:b/>
                <w:bCs/>
                <w:color w:val="auto"/>
                <w:kern w:val="0"/>
                <w:sz w:val="24"/>
                <w:highlight w:val="none"/>
              </w:rPr>
              <w:t>序号</w:t>
            </w:r>
          </w:p>
        </w:tc>
        <w:tc>
          <w:tcPr>
            <w:tcW w:w="691" w:type="dxa"/>
            <w:noWrap/>
            <w:vAlign w:val="center"/>
          </w:tcPr>
          <w:p w14:paraId="1C227E9D">
            <w:pPr>
              <w:widowControl/>
              <w:jc w:val="center"/>
              <w:rPr>
                <w:rFonts w:ascii="新宋体" w:hAnsi="新宋体" w:eastAsia="新宋体" w:cs="宋体"/>
                <w:b/>
                <w:bCs/>
                <w:color w:val="auto"/>
                <w:kern w:val="0"/>
                <w:sz w:val="24"/>
                <w:highlight w:val="none"/>
              </w:rPr>
            </w:pPr>
            <w:r>
              <w:rPr>
                <w:rFonts w:hint="eastAsia" w:ascii="新宋体" w:hAnsi="新宋体" w:eastAsia="新宋体" w:cs="宋体"/>
                <w:b/>
                <w:bCs/>
                <w:color w:val="auto"/>
                <w:kern w:val="0"/>
                <w:sz w:val="24"/>
                <w:highlight w:val="none"/>
              </w:rPr>
              <w:t>姓名</w:t>
            </w:r>
          </w:p>
        </w:tc>
        <w:tc>
          <w:tcPr>
            <w:tcW w:w="362" w:type="dxa"/>
            <w:noWrap/>
            <w:vAlign w:val="center"/>
          </w:tcPr>
          <w:p w14:paraId="5CC528A8">
            <w:pPr>
              <w:widowControl/>
              <w:jc w:val="center"/>
              <w:rPr>
                <w:rFonts w:ascii="新宋体" w:hAnsi="新宋体" w:eastAsia="新宋体" w:cs="宋体"/>
                <w:b/>
                <w:bCs/>
                <w:color w:val="auto"/>
                <w:kern w:val="0"/>
                <w:sz w:val="24"/>
                <w:highlight w:val="none"/>
              </w:rPr>
            </w:pPr>
            <w:r>
              <w:rPr>
                <w:rFonts w:hint="eastAsia" w:ascii="新宋体" w:hAnsi="新宋体" w:eastAsia="新宋体" w:cs="宋体"/>
                <w:b/>
                <w:bCs/>
                <w:color w:val="auto"/>
                <w:kern w:val="0"/>
                <w:sz w:val="24"/>
                <w:highlight w:val="none"/>
              </w:rPr>
              <w:t>性别</w:t>
            </w:r>
          </w:p>
        </w:tc>
        <w:tc>
          <w:tcPr>
            <w:tcW w:w="585" w:type="dxa"/>
            <w:noWrap/>
            <w:vAlign w:val="center"/>
          </w:tcPr>
          <w:p w14:paraId="0DB8D9C8">
            <w:pPr>
              <w:widowControl/>
              <w:jc w:val="center"/>
              <w:rPr>
                <w:rFonts w:ascii="新宋体" w:hAnsi="新宋体" w:eastAsia="新宋体" w:cs="宋体"/>
                <w:b/>
                <w:bCs/>
                <w:color w:val="auto"/>
                <w:kern w:val="0"/>
                <w:sz w:val="24"/>
                <w:highlight w:val="none"/>
              </w:rPr>
            </w:pPr>
            <w:r>
              <w:rPr>
                <w:rFonts w:hint="eastAsia" w:ascii="新宋体" w:hAnsi="新宋体" w:eastAsia="新宋体" w:cs="宋体"/>
                <w:b/>
                <w:bCs/>
                <w:color w:val="auto"/>
                <w:kern w:val="0"/>
                <w:sz w:val="24"/>
                <w:highlight w:val="none"/>
              </w:rPr>
              <w:t>籍贯</w:t>
            </w:r>
          </w:p>
        </w:tc>
        <w:tc>
          <w:tcPr>
            <w:tcW w:w="585" w:type="dxa"/>
            <w:noWrap/>
            <w:vAlign w:val="center"/>
          </w:tcPr>
          <w:p w14:paraId="63844124">
            <w:pPr>
              <w:widowControl/>
              <w:jc w:val="center"/>
              <w:rPr>
                <w:rFonts w:ascii="新宋体" w:hAnsi="新宋体" w:eastAsia="新宋体" w:cs="宋体"/>
                <w:b/>
                <w:bCs/>
                <w:color w:val="auto"/>
                <w:kern w:val="0"/>
                <w:sz w:val="24"/>
                <w:highlight w:val="none"/>
              </w:rPr>
            </w:pPr>
            <w:r>
              <w:rPr>
                <w:rFonts w:hint="eastAsia" w:ascii="新宋体" w:hAnsi="新宋体" w:eastAsia="新宋体" w:cs="宋体"/>
                <w:b/>
                <w:bCs/>
                <w:color w:val="auto"/>
                <w:kern w:val="0"/>
                <w:sz w:val="24"/>
                <w:highlight w:val="none"/>
              </w:rPr>
              <w:t>出生</w:t>
            </w:r>
            <w:r>
              <w:rPr>
                <w:rFonts w:hint="eastAsia" w:ascii="新宋体" w:hAnsi="新宋体" w:eastAsia="新宋体" w:cs="宋体"/>
                <w:b/>
                <w:bCs/>
                <w:color w:val="auto"/>
                <w:kern w:val="0"/>
                <w:sz w:val="24"/>
                <w:highlight w:val="none"/>
              </w:rPr>
              <w:br w:type="textWrapping"/>
            </w:r>
            <w:r>
              <w:rPr>
                <w:rFonts w:hint="eastAsia" w:ascii="新宋体" w:hAnsi="新宋体" w:eastAsia="新宋体" w:cs="宋体"/>
                <w:b/>
                <w:bCs/>
                <w:color w:val="auto"/>
                <w:kern w:val="0"/>
                <w:sz w:val="24"/>
                <w:highlight w:val="none"/>
              </w:rPr>
              <w:t>年月</w:t>
            </w:r>
          </w:p>
        </w:tc>
        <w:tc>
          <w:tcPr>
            <w:tcW w:w="632" w:type="dxa"/>
            <w:noWrap/>
            <w:vAlign w:val="center"/>
          </w:tcPr>
          <w:p w14:paraId="0C214051">
            <w:pPr>
              <w:widowControl/>
              <w:jc w:val="center"/>
              <w:rPr>
                <w:rFonts w:ascii="新宋体" w:hAnsi="新宋体" w:eastAsia="新宋体" w:cs="宋体"/>
                <w:b/>
                <w:bCs/>
                <w:color w:val="auto"/>
                <w:kern w:val="0"/>
                <w:sz w:val="24"/>
                <w:highlight w:val="none"/>
              </w:rPr>
            </w:pPr>
            <w:r>
              <w:rPr>
                <w:rFonts w:hint="eastAsia" w:ascii="新宋体" w:hAnsi="新宋体" w:eastAsia="新宋体" w:cs="宋体"/>
                <w:b/>
                <w:bCs/>
                <w:color w:val="auto"/>
                <w:kern w:val="0"/>
                <w:sz w:val="24"/>
                <w:highlight w:val="none"/>
              </w:rPr>
              <w:t>变动</w:t>
            </w:r>
            <w:r>
              <w:rPr>
                <w:rFonts w:hint="eastAsia" w:ascii="新宋体" w:hAnsi="新宋体" w:eastAsia="新宋体" w:cs="宋体"/>
                <w:b/>
                <w:bCs/>
                <w:color w:val="auto"/>
                <w:kern w:val="0"/>
                <w:sz w:val="24"/>
                <w:highlight w:val="none"/>
              </w:rPr>
              <w:br w:type="textWrapping"/>
            </w:r>
            <w:r>
              <w:rPr>
                <w:rFonts w:hint="eastAsia" w:ascii="新宋体" w:hAnsi="新宋体" w:eastAsia="新宋体" w:cs="宋体"/>
                <w:b/>
                <w:bCs/>
                <w:color w:val="auto"/>
                <w:kern w:val="0"/>
                <w:sz w:val="24"/>
                <w:highlight w:val="none"/>
              </w:rPr>
              <w:t>情况</w:t>
            </w:r>
          </w:p>
        </w:tc>
        <w:tc>
          <w:tcPr>
            <w:tcW w:w="906" w:type="dxa"/>
            <w:noWrap/>
            <w:vAlign w:val="center"/>
          </w:tcPr>
          <w:p w14:paraId="64E8CA32">
            <w:pPr>
              <w:widowControl/>
              <w:jc w:val="center"/>
              <w:rPr>
                <w:rFonts w:ascii="新宋体" w:hAnsi="新宋体" w:eastAsia="新宋体" w:cs="宋体"/>
                <w:b/>
                <w:bCs/>
                <w:color w:val="auto"/>
                <w:kern w:val="0"/>
                <w:sz w:val="24"/>
                <w:highlight w:val="none"/>
              </w:rPr>
            </w:pPr>
            <w:r>
              <w:rPr>
                <w:rFonts w:hint="eastAsia" w:ascii="新宋体" w:hAnsi="新宋体" w:eastAsia="新宋体" w:cs="宋体"/>
                <w:b/>
                <w:bCs/>
                <w:color w:val="auto"/>
                <w:kern w:val="0"/>
                <w:sz w:val="24"/>
                <w:highlight w:val="none"/>
              </w:rPr>
              <w:t>用工（离职）时间</w:t>
            </w:r>
          </w:p>
        </w:tc>
        <w:tc>
          <w:tcPr>
            <w:tcW w:w="839" w:type="dxa"/>
            <w:noWrap/>
            <w:vAlign w:val="center"/>
          </w:tcPr>
          <w:p w14:paraId="3ED9EC6D">
            <w:pPr>
              <w:widowControl/>
              <w:jc w:val="center"/>
              <w:rPr>
                <w:rFonts w:ascii="新宋体" w:hAnsi="新宋体" w:eastAsia="新宋体" w:cs="宋体"/>
                <w:b/>
                <w:bCs/>
                <w:color w:val="auto"/>
                <w:kern w:val="0"/>
                <w:sz w:val="24"/>
                <w:highlight w:val="none"/>
              </w:rPr>
            </w:pPr>
            <w:r>
              <w:rPr>
                <w:rFonts w:hint="eastAsia" w:ascii="新宋体" w:hAnsi="新宋体" w:eastAsia="新宋体" w:cs="宋体"/>
                <w:b/>
                <w:bCs/>
                <w:color w:val="auto"/>
                <w:kern w:val="0"/>
                <w:sz w:val="24"/>
                <w:highlight w:val="none"/>
              </w:rPr>
              <w:t>工种</w:t>
            </w:r>
          </w:p>
        </w:tc>
        <w:tc>
          <w:tcPr>
            <w:tcW w:w="1111" w:type="dxa"/>
            <w:noWrap/>
            <w:vAlign w:val="center"/>
          </w:tcPr>
          <w:p w14:paraId="793097F3">
            <w:pPr>
              <w:widowControl/>
              <w:jc w:val="center"/>
              <w:rPr>
                <w:rFonts w:ascii="新宋体" w:hAnsi="新宋体" w:eastAsia="新宋体" w:cs="宋体"/>
                <w:b/>
                <w:bCs/>
                <w:color w:val="auto"/>
                <w:kern w:val="0"/>
                <w:sz w:val="24"/>
                <w:highlight w:val="none"/>
              </w:rPr>
            </w:pPr>
            <w:r>
              <w:rPr>
                <w:rFonts w:hint="eastAsia" w:ascii="新宋体" w:hAnsi="新宋体" w:eastAsia="新宋体" w:cs="宋体"/>
                <w:b/>
                <w:bCs/>
                <w:color w:val="auto"/>
                <w:kern w:val="0"/>
                <w:sz w:val="24"/>
                <w:highlight w:val="none"/>
              </w:rPr>
              <w:t>劳动合同/协议签订日期</w:t>
            </w:r>
          </w:p>
        </w:tc>
        <w:tc>
          <w:tcPr>
            <w:tcW w:w="1207" w:type="dxa"/>
            <w:noWrap/>
            <w:vAlign w:val="center"/>
          </w:tcPr>
          <w:p w14:paraId="5D66AEDA">
            <w:pPr>
              <w:widowControl/>
              <w:jc w:val="center"/>
              <w:rPr>
                <w:rFonts w:ascii="新宋体" w:hAnsi="新宋体" w:eastAsia="新宋体" w:cs="宋体"/>
                <w:b/>
                <w:bCs/>
                <w:color w:val="auto"/>
                <w:kern w:val="0"/>
                <w:sz w:val="24"/>
                <w:highlight w:val="none"/>
              </w:rPr>
            </w:pPr>
            <w:r>
              <w:rPr>
                <w:rFonts w:hint="eastAsia" w:ascii="新宋体" w:hAnsi="新宋体" w:eastAsia="新宋体" w:cs="宋体"/>
                <w:b/>
                <w:bCs/>
                <w:color w:val="auto"/>
                <w:kern w:val="0"/>
                <w:sz w:val="24"/>
                <w:highlight w:val="none"/>
              </w:rPr>
              <w:t>劳动合同/协议起止日期</w:t>
            </w:r>
          </w:p>
        </w:tc>
        <w:tc>
          <w:tcPr>
            <w:tcW w:w="839" w:type="dxa"/>
            <w:noWrap/>
            <w:vAlign w:val="center"/>
          </w:tcPr>
          <w:p w14:paraId="27F82F20">
            <w:pPr>
              <w:widowControl/>
              <w:jc w:val="center"/>
              <w:rPr>
                <w:rFonts w:ascii="新宋体" w:hAnsi="新宋体" w:eastAsia="新宋体" w:cs="宋体"/>
                <w:b/>
                <w:bCs/>
                <w:color w:val="auto"/>
                <w:kern w:val="0"/>
                <w:sz w:val="24"/>
                <w:highlight w:val="none"/>
              </w:rPr>
            </w:pPr>
            <w:r>
              <w:rPr>
                <w:rFonts w:hint="eastAsia" w:ascii="新宋体" w:hAnsi="新宋体" w:eastAsia="新宋体" w:cs="宋体"/>
                <w:b/>
                <w:bCs/>
                <w:color w:val="auto"/>
                <w:kern w:val="0"/>
                <w:sz w:val="24"/>
                <w:highlight w:val="none"/>
              </w:rPr>
              <w:t>社保参保时间</w:t>
            </w:r>
          </w:p>
        </w:tc>
        <w:tc>
          <w:tcPr>
            <w:tcW w:w="1842" w:type="dxa"/>
            <w:noWrap/>
            <w:vAlign w:val="center"/>
          </w:tcPr>
          <w:p w14:paraId="3F997CF3">
            <w:pPr>
              <w:widowControl/>
              <w:jc w:val="center"/>
              <w:rPr>
                <w:rFonts w:ascii="新宋体" w:hAnsi="新宋体" w:eastAsia="新宋体" w:cs="宋体"/>
                <w:b/>
                <w:bCs/>
                <w:color w:val="auto"/>
                <w:kern w:val="0"/>
                <w:sz w:val="24"/>
                <w:highlight w:val="none"/>
              </w:rPr>
            </w:pPr>
            <w:r>
              <w:rPr>
                <w:rFonts w:hint="eastAsia" w:ascii="新宋体" w:hAnsi="新宋体" w:eastAsia="新宋体" w:cs="宋体"/>
                <w:b/>
                <w:bCs/>
                <w:color w:val="auto"/>
                <w:kern w:val="0"/>
                <w:sz w:val="24"/>
                <w:highlight w:val="none"/>
              </w:rPr>
              <w:t>身份证号码</w:t>
            </w:r>
          </w:p>
        </w:tc>
        <w:tc>
          <w:tcPr>
            <w:tcW w:w="1090" w:type="dxa"/>
            <w:noWrap/>
            <w:vAlign w:val="center"/>
          </w:tcPr>
          <w:p w14:paraId="54D0AD44">
            <w:pPr>
              <w:widowControl/>
              <w:jc w:val="center"/>
              <w:rPr>
                <w:rFonts w:ascii="新宋体" w:hAnsi="新宋体" w:eastAsia="新宋体" w:cs="宋体"/>
                <w:b/>
                <w:bCs/>
                <w:color w:val="auto"/>
                <w:kern w:val="0"/>
                <w:sz w:val="24"/>
                <w:highlight w:val="none"/>
              </w:rPr>
            </w:pPr>
            <w:r>
              <w:rPr>
                <w:rFonts w:hint="eastAsia" w:ascii="新宋体" w:hAnsi="新宋体" w:eastAsia="新宋体" w:cs="宋体"/>
                <w:b/>
                <w:bCs/>
                <w:color w:val="auto"/>
                <w:kern w:val="0"/>
                <w:sz w:val="24"/>
                <w:highlight w:val="none"/>
              </w:rPr>
              <w:t>备注</w:t>
            </w:r>
          </w:p>
        </w:tc>
      </w:tr>
      <w:tr w14:paraId="57E700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8" w:hRule="atLeast"/>
        </w:trPr>
        <w:tc>
          <w:tcPr>
            <w:tcW w:w="351" w:type="dxa"/>
            <w:shd w:val="clear" w:color="auto" w:fill="auto"/>
            <w:noWrap/>
            <w:vAlign w:val="center"/>
          </w:tcPr>
          <w:p w14:paraId="3CC9FEBC">
            <w:pPr>
              <w:widowControl/>
              <w:jc w:val="center"/>
              <w:rPr>
                <w:rFonts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　</w:t>
            </w:r>
          </w:p>
        </w:tc>
        <w:tc>
          <w:tcPr>
            <w:tcW w:w="691" w:type="dxa"/>
            <w:shd w:val="clear" w:color="auto" w:fill="FFFFFF"/>
            <w:noWrap/>
            <w:vAlign w:val="center"/>
          </w:tcPr>
          <w:p w14:paraId="674A5643">
            <w:pPr>
              <w:widowControl/>
              <w:jc w:val="center"/>
              <w:rPr>
                <w:rFonts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　</w:t>
            </w:r>
          </w:p>
        </w:tc>
        <w:tc>
          <w:tcPr>
            <w:tcW w:w="362" w:type="dxa"/>
            <w:noWrap/>
            <w:vAlign w:val="bottom"/>
          </w:tcPr>
          <w:p w14:paraId="01832361">
            <w:pPr>
              <w:widowControl/>
              <w:jc w:val="center"/>
              <w:rPr>
                <w:rFonts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　</w:t>
            </w:r>
          </w:p>
        </w:tc>
        <w:tc>
          <w:tcPr>
            <w:tcW w:w="585" w:type="dxa"/>
            <w:noWrap/>
            <w:vAlign w:val="center"/>
          </w:tcPr>
          <w:p w14:paraId="45BB61F2">
            <w:pPr>
              <w:widowControl/>
              <w:jc w:val="center"/>
              <w:rPr>
                <w:rFonts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　</w:t>
            </w:r>
          </w:p>
        </w:tc>
        <w:tc>
          <w:tcPr>
            <w:tcW w:w="585" w:type="dxa"/>
            <w:noWrap/>
            <w:vAlign w:val="center"/>
          </w:tcPr>
          <w:p w14:paraId="6FB0C1E4">
            <w:pPr>
              <w:widowControl/>
              <w:jc w:val="center"/>
              <w:rPr>
                <w:rFonts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　</w:t>
            </w:r>
          </w:p>
        </w:tc>
        <w:tc>
          <w:tcPr>
            <w:tcW w:w="632" w:type="dxa"/>
            <w:noWrap/>
            <w:vAlign w:val="center"/>
          </w:tcPr>
          <w:p w14:paraId="29B9F512">
            <w:pPr>
              <w:widowControl/>
              <w:jc w:val="center"/>
              <w:rPr>
                <w:rFonts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　</w:t>
            </w:r>
          </w:p>
        </w:tc>
        <w:tc>
          <w:tcPr>
            <w:tcW w:w="906" w:type="dxa"/>
            <w:noWrap/>
            <w:vAlign w:val="center"/>
          </w:tcPr>
          <w:p w14:paraId="56175586">
            <w:pPr>
              <w:widowControl/>
              <w:jc w:val="center"/>
              <w:rPr>
                <w:rFonts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　</w:t>
            </w:r>
          </w:p>
        </w:tc>
        <w:tc>
          <w:tcPr>
            <w:tcW w:w="839" w:type="dxa"/>
            <w:noWrap/>
            <w:vAlign w:val="center"/>
          </w:tcPr>
          <w:p w14:paraId="13494A0F">
            <w:pPr>
              <w:widowControl/>
              <w:jc w:val="center"/>
              <w:rPr>
                <w:rFonts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　</w:t>
            </w:r>
          </w:p>
        </w:tc>
        <w:tc>
          <w:tcPr>
            <w:tcW w:w="1111" w:type="dxa"/>
            <w:noWrap/>
            <w:vAlign w:val="center"/>
          </w:tcPr>
          <w:p w14:paraId="6ED353EA">
            <w:pPr>
              <w:widowControl/>
              <w:jc w:val="center"/>
              <w:rPr>
                <w:rFonts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　</w:t>
            </w:r>
          </w:p>
        </w:tc>
        <w:tc>
          <w:tcPr>
            <w:tcW w:w="1207" w:type="dxa"/>
            <w:noWrap/>
            <w:vAlign w:val="center"/>
          </w:tcPr>
          <w:p w14:paraId="2C109AF2">
            <w:pPr>
              <w:widowControl/>
              <w:jc w:val="center"/>
              <w:rPr>
                <w:rFonts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　</w:t>
            </w:r>
          </w:p>
        </w:tc>
        <w:tc>
          <w:tcPr>
            <w:tcW w:w="839" w:type="dxa"/>
            <w:noWrap/>
            <w:vAlign w:val="center"/>
          </w:tcPr>
          <w:p w14:paraId="3C8F71D7">
            <w:pPr>
              <w:widowControl/>
              <w:jc w:val="center"/>
              <w:rPr>
                <w:rFonts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　</w:t>
            </w:r>
          </w:p>
        </w:tc>
        <w:tc>
          <w:tcPr>
            <w:tcW w:w="1842" w:type="dxa"/>
            <w:noWrap/>
            <w:vAlign w:val="center"/>
          </w:tcPr>
          <w:p w14:paraId="1A45BE8D">
            <w:pPr>
              <w:widowControl/>
              <w:jc w:val="center"/>
              <w:rPr>
                <w:rFonts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　</w:t>
            </w:r>
          </w:p>
        </w:tc>
        <w:tc>
          <w:tcPr>
            <w:tcW w:w="1090" w:type="dxa"/>
            <w:noWrap/>
            <w:vAlign w:val="bottom"/>
          </w:tcPr>
          <w:p w14:paraId="5CEA3AC6">
            <w:pPr>
              <w:widowControl/>
              <w:jc w:val="left"/>
              <w:rPr>
                <w:rFonts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　</w:t>
            </w:r>
          </w:p>
        </w:tc>
      </w:tr>
      <w:tr w14:paraId="04F0B8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4" w:hRule="atLeast"/>
        </w:trPr>
        <w:tc>
          <w:tcPr>
            <w:tcW w:w="351" w:type="dxa"/>
            <w:shd w:val="clear" w:color="auto" w:fill="auto"/>
            <w:noWrap/>
            <w:vAlign w:val="center"/>
          </w:tcPr>
          <w:p w14:paraId="3C5C10A6">
            <w:pPr>
              <w:widowControl/>
              <w:jc w:val="center"/>
              <w:rPr>
                <w:rFonts w:ascii="新宋体" w:hAnsi="新宋体" w:eastAsia="新宋体"/>
                <w:color w:val="auto"/>
                <w:kern w:val="0"/>
                <w:sz w:val="18"/>
                <w:szCs w:val="18"/>
                <w:highlight w:val="none"/>
              </w:rPr>
            </w:pPr>
            <w:r>
              <w:rPr>
                <w:rFonts w:ascii="新宋体" w:hAnsi="新宋体" w:eastAsia="新宋体"/>
                <w:color w:val="auto"/>
                <w:kern w:val="0"/>
                <w:sz w:val="18"/>
                <w:szCs w:val="18"/>
                <w:highlight w:val="none"/>
              </w:rPr>
              <w:t>　</w:t>
            </w:r>
          </w:p>
        </w:tc>
        <w:tc>
          <w:tcPr>
            <w:tcW w:w="691" w:type="dxa"/>
            <w:shd w:val="clear" w:color="auto" w:fill="FFFFFF"/>
            <w:noWrap/>
            <w:vAlign w:val="center"/>
          </w:tcPr>
          <w:p w14:paraId="6FDAC591">
            <w:pPr>
              <w:widowControl/>
              <w:jc w:val="center"/>
              <w:rPr>
                <w:rFonts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　</w:t>
            </w:r>
          </w:p>
        </w:tc>
        <w:tc>
          <w:tcPr>
            <w:tcW w:w="362" w:type="dxa"/>
            <w:noWrap/>
            <w:vAlign w:val="center"/>
          </w:tcPr>
          <w:p w14:paraId="1479B0E0">
            <w:pPr>
              <w:widowControl/>
              <w:jc w:val="center"/>
              <w:rPr>
                <w:rFonts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　</w:t>
            </w:r>
          </w:p>
        </w:tc>
        <w:tc>
          <w:tcPr>
            <w:tcW w:w="585" w:type="dxa"/>
            <w:noWrap/>
            <w:vAlign w:val="center"/>
          </w:tcPr>
          <w:p w14:paraId="294CB52B">
            <w:pPr>
              <w:widowControl/>
              <w:jc w:val="center"/>
              <w:rPr>
                <w:rFonts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　</w:t>
            </w:r>
          </w:p>
        </w:tc>
        <w:tc>
          <w:tcPr>
            <w:tcW w:w="585" w:type="dxa"/>
            <w:noWrap/>
            <w:vAlign w:val="center"/>
          </w:tcPr>
          <w:p w14:paraId="095A990B">
            <w:pPr>
              <w:widowControl/>
              <w:jc w:val="center"/>
              <w:rPr>
                <w:rFonts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　</w:t>
            </w:r>
          </w:p>
        </w:tc>
        <w:tc>
          <w:tcPr>
            <w:tcW w:w="632" w:type="dxa"/>
            <w:noWrap/>
            <w:vAlign w:val="center"/>
          </w:tcPr>
          <w:p w14:paraId="0C53A9D0">
            <w:pPr>
              <w:widowControl/>
              <w:jc w:val="center"/>
              <w:rPr>
                <w:rFonts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　</w:t>
            </w:r>
          </w:p>
        </w:tc>
        <w:tc>
          <w:tcPr>
            <w:tcW w:w="906" w:type="dxa"/>
            <w:noWrap/>
            <w:vAlign w:val="center"/>
          </w:tcPr>
          <w:p w14:paraId="65BC7E23">
            <w:pPr>
              <w:widowControl/>
              <w:jc w:val="center"/>
              <w:rPr>
                <w:rFonts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　</w:t>
            </w:r>
          </w:p>
        </w:tc>
        <w:tc>
          <w:tcPr>
            <w:tcW w:w="839" w:type="dxa"/>
            <w:noWrap/>
            <w:vAlign w:val="center"/>
          </w:tcPr>
          <w:p w14:paraId="5AD7C016">
            <w:pPr>
              <w:widowControl/>
              <w:jc w:val="center"/>
              <w:rPr>
                <w:rFonts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　</w:t>
            </w:r>
          </w:p>
        </w:tc>
        <w:tc>
          <w:tcPr>
            <w:tcW w:w="1111" w:type="dxa"/>
            <w:noWrap/>
            <w:vAlign w:val="center"/>
          </w:tcPr>
          <w:p w14:paraId="5BA92729">
            <w:pPr>
              <w:widowControl/>
              <w:jc w:val="center"/>
              <w:rPr>
                <w:rFonts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　</w:t>
            </w:r>
          </w:p>
        </w:tc>
        <w:tc>
          <w:tcPr>
            <w:tcW w:w="1207" w:type="dxa"/>
            <w:noWrap/>
            <w:vAlign w:val="center"/>
          </w:tcPr>
          <w:p w14:paraId="48447C83">
            <w:pPr>
              <w:widowControl/>
              <w:jc w:val="center"/>
              <w:rPr>
                <w:rFonts w:ascii="新宋体" w:hAnsi="新宋体" w:eastAsia="新宋体"/>
                <w:color w:val="auto"/>
                <w:kern w:val="0"/>
                <w:sz w:val="18"/>
                <w:szCs w:val="18"/>
                <w:highlight w:val="none"/>
              </w:rPr>
            </w:pPr>
            <w:r>
              <w:rPr>
                <w:rFonts w:ascii="新宋体" w:hAnsi="新宋体" w:eastAsia="新宋体"/>
                <w:color w:val="auto"/>
                <w:kern w:val="0"/>
                <w:sz w:val="18"/>
                <w:szCs w:val="18"/>
                <w:highlight w:val="none"/>
              </w:rPr>
              <w:t>　</w:t>
            </w:r>
          </w:p>
        </w:tc>
        <w:tc>
          <w:tcPr>
            <w:tcW w:w="839" w:type="dxa"/>
            <w:noWrap/>
            <w:vAlign w:val="center"/>
          </w:tcPr>
          <w:p w14:paraId="552242B8">
            <w:pPr>
              <w:widowControl/>
              <w:jc w:val="center"/>
              <w:rPr>
                <w:rFonts w:ascii="新宋体" w:hAnsi="新宋体" w:eastAsia="新宋体" w:cs="宋体"/>
                <w:color w:val="auto"/>
                <w:kern w:val="0"/>
                <w:sz w:val="18"/>
                <w:szCs w:val="18"/>
                <w:highlight w:val="none"/>
              </w:rPr>
            </w:pPr>
            <w:r>
              <w:rPr>
                <w:rFonts w:hint="eastAsia" w:ascii="新宋体" w:hAnsi="新宋体" w:eastAsia="新宋体" w:cs="宋体"/>
                <w:color w:val="auto"/>
                <w:kern w:val="0"/>
                <w:sz w:val="18"/>
                <w:szCs w:val="18"/>
                <w:highlight w:val="none"/>
              </w:rPr>
              <w:t>　</w:t>
            </w:r>
          </w:p>
        </w:tc>
        <w:tc>
          <w:tcPr>
            <w:tcW w:w="1842" w:type="dxa"/>
            <w:noWrap/>
            <w:vAlign w:val="center"/>
          </w:tcPr>
          <w:p w14:paraId="783DE1E5">
            <w:pPr>
              <w:widowControl/>
              <w:jc w:val="left"/>
              <w:rPr>
                <w:rFonts w:ascii="新宋体" w:hAnsi="新宋体" w:eastAsia="新宋体"/>
                <w:color w:val="auto"/>
                <w:kern w:val="0"/>
                <w:sz w:val="18"/>
                <w:szCs w:val="18"/>
                <w:highlight w:val="none"/>
              </w:rPr>
            </w:pPr>
            <w:r>
              <w:rPr>
                <w:rFonts w:ascii="新宋体" w:hAnsi="新宋体" w:eastAsia="新宋体"/>
                <w:color w:val="auto"/>
                <w:kern w:val="0"/>
                <w:sz w:val="18"/>
                <w:szCs w:val="18"/>
                <w:highlight w:val="none"/>
              </w:rPr>
              <w:t>　</w:t>
            </w:r>
          </w:p>
        </w:tc>
        <w:tc>
          <w:tcPr>
            <w:tcW w:w="1090" w:type="dxa"/>
            <w:noWrap/>
            <w:vAlign w:val="center"/>
          </w:tcPr>
          <w:p w14:paraId="3D12B0D8">
            <w:pPr>
              <w:widowControl/>
              <w:jc w:val="center"/>
              <w:rPr>
                <w:rFonts w:ascii="新宋体" w:hAnsi="新宋体" w:eastAsia="新宋体" w:cs="宋体"/>
                <w:color w:val="auto"/>
                <w:kern w:val="0"/>
                <w:sz w:val="16"/>
                <w:szCs w:val="16"/>
                <w:highlight w:val="none"/>
              </w:rPr>
            </w:pPr>
            <w:r>
              <w:rPr>
                <w:rFonts w:hint="eastAsia" w:ascii="新宋体" w:hAnsi="新宋体" w:eastAsia="新宋体" w:cs="宋体"/>
                <w:color w:val="auto"/>
                <w:kern w:val="0"/>
                <w:sz w:val="16"/>
                <w:szCs w:val="16"/>
                <w:highlight w:val="none"/>
              </w:rPr>
              <w:t>　</w:t>
            </w:r>
          </w:p>
        </w:tc>
      </w:tr>
      <w:tr w14:paraId="4FD0C4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trPr>
        <w:tc>
          <w:tcPr>
            <w:tcW w:w="351" w:type="dxa"/>
            <w:noWrap/>
            <w:vAlign w:val="center"/>
          </w:tcPr>
          <w:p w14:paraId="2D94A8FE">
            <w:pPr>
              <w:widowControl/>
              <w:jc w:val="center"/>
              <w:rPr>
                <w:rFonts w:ascii="新宋体" w:hAnsi="新宋体" w:eastAsia="新宋体"/>
                <w:color w:val="auto"/>
                <w:kern w:val="0"/>
                <w:sz w:val="18"/>
                <w:szCs w:val="18"/>
                <w:highlight w:val="none"/>
              </w:rPr>
            </w:pPr>
          </w:p>
        </w:tc>
        <w:tc>
          <w:tcPr>
            <w:tcW w:w="691" w:type="dxa"/>
            <w:noWrap/>
            <w:vAlign w:val="center"/>
          </w:tcPr>
          <w:p w14:paraId="6AE6A147">
            <w:pPr>
              <w:widowControl/>
              <w:jc w:val="center"/>
              <w:rPr>
                <w:rFonts w:ascii="新宋体" w:hAnsi="新宋体" w:eastAsia="新宋体"/>
                <w:color w:val="auto"/>
                <w:kern w:val="0"/>
                <w:sz w:val="18"/>
                <w:szCs w:val="18"/>
                <w:highlight w:val="none"/>
              </w:rPr>
            </w:pPr>
          </w:p>
        </w:tc>
        <w:tc>
          <w:tcPr>
            <w:tcW w:w="362" w:type="dxa"/>
            <w:noWrap/>
            <w:vAlign w:val="bottom"/>
          </w:tcPr>
          <w:p w14:paraId="639BE008">
            <w:pPr>
              <w:widowControl/>
              <w:jc w:val="center"/>
              <w:rPr>
                <w:rFonts w:ascii="新宋体" w:hAnsi="新宋体" w:eastAsia="新宋体" w:cs="宋体"/>
                <w:color w:val="auto"/>
                <w:kern w:val="0"/>
                <w:sz w:val="16"/>
                <w:szCs w:val="16"/>
                <w:highlight w:val="none"/>
              </w:rPr>
            </w:pPr>
          </w:p>
        </w:tc>
        <w:tc>
          <w:tcPr>
            <w:tcW w:w="585" w:type="dxa"/>
            <w:noWrap/>
            <w:vAlign w:val="bottom"/>
          </w:tcPr>
          <w:p w14:paraId="2F9552FC">
            <w:pPr>
              <w:widowControl/>
              <w:jc w:val="center"/>
              <w:rPr>
                <w:rFonts w:ascii="新宋体" w:hAnsi="新宋体" w:eastAsia="新宋体" w:cs="宋体"/>
                <w:color w:val="auto"/>
                <w:kern w:val="0"/>
                <w:sz w:val="16"/>
                <w:szCs w:val="16"/>
                <w:highlight w:val="none"/>
              </w:rPr>
            </w:pPr>
          </w:p>
        </w:tc>
        <w:tc>
          <w:tcPr>
            <w:tcW w:w="585" w:type="dxa"/>
            <w:noWrap/>
            <w:vAlign w:val="bottom"/>
          </w:tcPr>
          <w:p w14:paraId="47257A5D">
            <w:pPr>
              <w:widowControl/>
              <w:jc w:val="center"/>
              <w:rPr>
                <w:rFonts w:ascii="新宋体" w:hAnsi="新宋体" w:eastAsia="新宋体" w:cs="宋体"/>
                <w:color w:val="auto"/>
                <w:kern w:val="0"/>
                <w:sz w:val="16"/>
                <w:szCs w:val="16"/>
                <w:highlight w:val="none"/>
              </w:rPr>
            </w:pPr>
          </w:p>
        </w:tc>
        <w:tc>
          <w:tcPr>
            <w:tcW w:w="632" w:type="dxa"/>
            <w:noWrap/>
            <w:vAlign w:val="center"/>
          </w:tcPr>
          <w:p w14:paraId="38082B23">
            <w:pPr>
              <w:widowControl/>
              <w:jc w:val="center"/>
              <w:rPr>
                <w:rFonts w:ascii="新宋体" w:hAnsi="新宋体" w:eastAsia="新宋体" w:cs="宋体"/>
                <w:color w:val="auto"/>
                <w:kern w:val="0"/>
                <w:sz w:val="16"/>
                <w:szCs w:val="16"/>
                <w:highlight w:val="none"/>
              </w:rPr>
            </w:pPr>
          </w:p>
        </w:tc>
        <w:tc>
          <w:tcPr>
            <w:tcW w:w="906" w:type="dxa"/>
            <w:noWrap/>
            <w:vAlign w:val="bottom"/>
          </w:tcPr>
          <w:p w14:paraId="17C5FA7A">
            <w:pPr>
              <w:widowControl/>
              <w:jc w:val="center"/>
              <w:rPr>
                <w:rFonts w:ascii="新宋体" w:hAnsi="新宋体" w:eastAsia="新宋体" w:cs="宋体"/>
                <w:color w:val="auto"/>
                <w:kern w:val="0"/>
                <w:sz w:val="16"/>
                <w:szCs w:val="16"/>
                <w:highlight w:val="none"/>
              </w:rPr>
            </w:pPr>
          </w:p>
        </w:tc>
        <w:tc>
          <w:tcPr>
            <w:tcW w:w="839" w:type="dxa"/>
            <w:noWrap/>
            <w:vAlign w:val="center"/>
          </w:tcPr>
          <w:p w14:paraId="463DE9CA">
            <w:pPr>
              <w:widowControl/>
              <w:jc w:val="center"/>
              <w:rPr>
                <w:rFonts w:ascii="新宋体" w:hAnsi="新宋体" w:eastAsia="新宋体" w:cs="宋体"/>
                <w:color w:val="auto"/>
                <w:kern w:val="0"/>
                <w:sz w:val="16"/>
                <w:szCs w:val="16"/>
                <w:highlight w:val="none"/>
              </w:rPr>
            </w:pPr>
          </w:p>
        </w:tc>
        <w:tc>
          <w:tcPr>
            <w:tcW w:w="1111" w:type="dxa"/>
            <w:noWrap/>
            <w:vAlign w:val="center"/>
          </w:tcPr>
          <w:p w14:paraId="121BA0EF">
            <w:pPr>
              <w:widowControl/>
              <w:jc w:val="center"/>
              <w:rPr>
                <w:rFonts w:ascii="新宋体" w:hAnsi="新宋体" w:eastAsia="新宋体" w:cs="宋体"/>
                <w:color w:val="auto"/>
                <w:kern w:val="0"/>
                <w:sz w:val="16"/>
                <w:szCs w:val="16"/>
                <w:highlight w:val="none"/>
              </w:rPr>
            </w:pPr>
          </w:p>
        </w:tc>
        <w:tc>
          <w:tcPr>
            <w:tcW w:w="1207" w:type="dxa"/>
            <w:noWrap/>
            <w:vAlign w:val="bottom"/>
          </w:tcPr>
          <w:p w14:paraId="43A0EA4D">
            <w:pPr>
              <w:widowControl/>
              <w:jc w:val="left"/>
              <w:rPr>
                <w:rFonts w:ascii="新宋体" w:hAnsi="新宋体" w:eastAsia="新宋体" w:cs="宋体"/>
                <w:color w:val="auto"/>
                <w:kern w:val="0"/>
                <w:sz w:val="16"/>
                <w:szCs w:val="16"/>
                <w:highlight w:val="none"/>
              </w:rPr>
            </w:pPr>
          </w:p>
        </w:tc>
        <w:tc>
          <w:tcPr>
            <w:tcW w:w="839" w:type="dxa"/>
            <w:noWrap/>
            <w:vAlign w:val="center"/>
          </w:tcPr>
          <w:p w14:paraId="43AF4A31">
            <w:pPr>
              <w:widowControl/>
              <w:jc w:val="center"/>
              <w:rPr>
                <w:rFonts w:ascii="新宋体" w:hAnsi="新宋体" w:eastAsia="新宋体" w:cs="宋体"/>
                <w:color w:val="auto"/>
                <w:kern w:val="0"/>
                <w:sz w:val="16"/>
                <w:szCs w:val="16"/>
                <w:highlight w:val="none"/>
              </w:rPr>
            </w:pPr>
          </w:p>
        </w:tc>
        <w:tc>
          <w:tcPr>
            <w:tcW w:w="1842" w:type="dxa"/>
            <w:noWrap/>
            <w:vAlign w:val="center"/>
          </w:tcPr>
          <w:p w14:paraId="177FEA7B">
            <w:pPr>
              <w:widowControl/>
              <w:jc w:val="center"/>
              <w:rPr>
                <w:rFonts w:ascii="新宋体" w:hAnsi="新宋体" w:eastAsia="新宋体"/>
                <w:color w:val="auto"/>
                <w:kern w:val="0"/>
                <w:sz w:val="16"/>
                <w:szCs w:val="16"/>
                <w:highlight w:val="none"/>
              </w:rPr>
            </w:pPr>
          </w:p>
        </w:tc>
        <w:tc>
          <w:tcPr>
            <w:tcW w:w="1090" w:type="dxa"/>
            <w:noWrap/>
            <w:vAlign w:val="center"/>
          </w:tcPr>
          <w:p w14:paraId="1CFA44D6">
            <w:pPr>
              <w:widowControl/>
              <w:jc w:val="center"/>
              <w:rPr>
                <w:rFonts w:ascii="新宋体" w:hAnsi="新宋体" w:eastAsia="新宋体" w:cs="宋体"/>
                <w:color w:val="auto"/>
                <w:kern w:val="0"/>
                <w:sz w:val="16"/>
                <w:szCs w:val="16"/>
                <w:highlight w:val="none"/>
              </w:rPr>
            </w:pPr>
          </w:p>
        </w:tc>
      </w:tr>
      <w:tr w14:paraId="548867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351" w:type="dxa"/>
            <w:noWrap/>
            <w:vAlign w:val="center"/>
          </w:tcPr>
          <w:p w14:paraId="27F39D34">
            <w:pPr>
              <w:widowControl/>
              <w:jc w:val="center"/>
              <w:rPr>
                <w:rFonts w:ascii="新宋体" w:hAnsi="新宋体" w:eastAsia="新宋体"/>
                <w:color w:val="auto"/>
                <w:kern w:val="0"/>
                <w:sz w:val="18"/>
                <w:szCs w:val="18"/>
                <w:highlight w:val="none"/>
              </w:rPr>
            </w:pPr>
          </w:p>
        </w:tc>
        <w:tc>
          <w:tcPr>
            <w:tcW w:w="691" w:type="dxa"/>
            <w:noWrap/>
            <w:vAlign w:val="center"/>
          </w:tcPr>
          <w:p w14:paraId="088B03DD">
            <w:pPr>
              <w:widowControl/>
              <w:jc w:val="center"/>
              <w:rPr>
                <w:rFonts w:ascii="新宋体" w:hAnsi="新宋体" w:eastAsia="新宋体"/>
                <w:color w:val="auto"/>
                <w:kern w:val="0"/>
                <w:sz w:val="18"/>
                <w:szCs w:val="18"/>
                <w:highlight w:val="none"/>
              </w:rPr>
            </w:pPr>
          </w:p>
        </w:tc>
        <w:tc>
          <w:tcPr>
            <w:tcW w:w="362" w:type="dxa"/>
            <w:noWrap/>
            <w:vAlign w:val="bottom"/>
          </w:tcPr>
          <w:p w14:paraId="5CDE14D1">
            <w:pPr>
              <w:widowControl/>
              <w:jc w:val="center"/>
              <w:rPr>
                <w:rFonts w:ascii="新宋体" w:hAnsi="新宋体" w:eastAsia="新宋体" w:cs="宋体"/>
                <w:color w:val="auto"/>
                <w:kern w:val="0"/>
                <w:sz w:val="16"/>
                <w:szCs w:val="16"/>
                <w:highlight w:val="none"/>
              </w:rPr>
            </w:pPr>
          </w:p>
        </w:tc>
        <w:tc>
          <w:tcPr>
            <w:tcW w:w="585" w:type="dxa"/>
            <w:noWrap/>
            <w:vAlign w:val="bottom"/>
          </w:tcPr>
          <w:p w14:paraId="00058CC9">
            <w:pPr>
              <w:widowControl/>
              <w:jc w:val="center"/>
              <w:rPr>
                <w:rFonts w:ascii="新宋体" w:hAnsi="新宋体" w:eastAsia="新宋体" w:cs="宋体"/>
                <w:color w:val="auto"/>
                <w:kern w:val="0"/>
                <w:sz w:val="16"/>
                <w:szCs w:val="16"/>
                <w:highlight w:val="none"/>
              </w:rPr>
            </w:pPr>
          </w:p>
        </w:tc>
        <w:tc>
          <w:tcPr>
            <w:tcW w:w="585" w:type="dxa"/>
            <w:noWrap/>
            <w:vAlign w:val="bottom"/>
          </w:tcPr>
          <w:p w14:paraId="0125975D">
            <w:pPr>
              <w:widowControl/>
              <w:jc w:val="center"/>
              <w:rPr>
                <w:rFonts w:ascii="新宋体" w:hAnsi="新宋体" w:eastAsia="新宋体" w:cs="宋体"/>
                <w:color w:val="auto"/>
                <w:kern w:val="0"/>
                <w:sz w:val="16"/>
                <w:szCs w:val="16"/>
                <w:highlight w:val="none"/>
              </w:rPr>
            </w:pPr>
          </w:p>
        </w:tc>
        <w:tc>
          <w:tcPr>
            <w:tcW w:w="632" w:type="dxa"/>
            <w:noWrap/>
            <w:vAlign w:val="center"/>
          </w:tcPr>
          <w:p w14:paraId="1552C57C">
            <w:pPr>
              <w:widowControl/>
              <w:jc w:val="center"/>
              <w:rPr>
                <w:rFonts w:ascii="新宋体" w:hAnsi="新宋体" w:eastAsia="新宋体" w:cs="宋体"/>
                <w:color w:val="auto"/>
                <w:kern w:val="0"/>
                <w:sz w:val="16"/>
                <w:szCs w:val="16"/>
                <w:highlight w:val="none"/>
              </w:rPr>
            </w:pPr>
          </w:p>
        </w:tc>
        <w:tc>
          <w:tcPr>
            <w:tcW w:w="906" w:type="dxa"/>
            <w:noWrap/>
            <w:vAlign w:val="bottom"/>
          </w:tcPr>
          <w:p w14:paraId="12CBE310">
            <w:pPr>
              <w:widowControl/>
              <w:jc w:val="center"/>
              <w:rPr>
                <w:rFonts w:ascii="新宋体" w:hAnsi="新宋体" w:eastAsia="新宋体" w:cs="宋体"/>
                <w:color w:val="auto"/>
                <w:kern w:val="0"/>
                <w:sz w:val="16"/>
                <w:szCs w:val="16"/>
                <w:highlight w:val="none"/>
              </w:rPr>
            </w:pPr>
          </w:p>
        </w:tc>
        <w:tc>
          <w:tcPr>
            <w:tcW w:w="839" w:type="dxa"/>
            <w:noWrap/>
            <w:vAlign w:val="center"/>
          </w:tcPr>
          <w:p w14:paraId="6CC81E14">
            <w:pPr>
              <w:widowControl/>
              <w:jc w:val="center"/>
              <w:rPr>
                <w:rFonts w:ascii="新宋体" w:hAnsi="新宋体" w:eastAsia="新宋体" w:cs="宋体"/>
                <w:color w:val="auto"/>
                <w:kern w:val="0"/>
                <w:sz w:val="16"/>
                <w:szCs w:val="16"/>
                <w:highlight w:val="none"/>
              </w:rPr>
            </w:pPr>
          </w:p>
        </w:tc>
        <w:tc>
          <w:tcPr>
            <w:tcW w:w="1111" w:type="dxa"/>
            <w:noWrap/>
            <w:vAlign w:val="center"/>
          </w:tcPr>
          <w:p w14:paraId="7A83CAA0">
            <w:pPr>
              <w:widowControl/>
              <w:jc w:val="center"/>
              <w:rPr>
                <w:rFonts w:ascii="新宋体" w:hAnsi="新宋体" w:eastAsia="新宋体" w:cs="宋体"/>
                <w:color w:val="auto"/>
                <w:kern w:val="0"/>
                <w:sz w:val="16"/>
                <w:szCs w:val="16"/>
                <w:highlight w:val="none"/>
              </w:rPr>
            </w:pPr>
          </w:p>
        </w:tc>
        <w:tc>
          <w:tcPr>
            <w:tcW w:w="1207" w:type="dxa"/>
            <w:noWrap/>
            <w:vAlign w:val="bottom"/>
          </w:tcPr>
          <w:p w14:paraId="5C2086EC">
            <w:pPr>
              <w:widowControl/>
              <w:jc w:val="left"/>
              <w:rPr>
                <w:rFonts w:ascii="新宋体" w:hAnsi="新宋体" w:eastAsia="新宋体" w:cs="宋体"/>
                <w:color w:val="auto"/>
                <w:kern w:val="0"/>
                <w:sz w:val="16"/>
                <w:szCs w:val="16"/>
                <w:highlight w:val="none"/>
              </w:rPr>
            </w:pPr>
          </w:p>
        </w:tc>
        <w:tc>
          <w:tcPr>
            <w:tcW w:w="839" w:type="dxa"/>
            <w:noWrap/>
            <w:vAlign w:val="center"/>
          </w:tcPr>
          <w:p w14:paraId="6DA96EB9">
            <w:pPr>
              <w:widowControl/>
              <w:jc w:val="center"/>
              <w:rPr>
                <w:rFonts w:ascii="新宋体" w:hAnsi="新宋体" w:eastAsia="新宋体" w:cs="宋体"/>
                <w:color w:val="auto"/>
                <w:kern w:val="0"/>
                <w:sz w:val="16"/>
                <w:szCs w:val="16"/>
                <w:highlight w:val="none"/>
              </w:rPr>
            </w:pPr>
          </w:p>
        </w:tc>
        <w:tc>
          <w:tcPr>
            <w:tcW w:w="1842" w:type="dxa"/>
            <w:noWrap/>
            <w:vAlign w:val="center"/>
          </w:tcPr>
          <w:p w14:paraId="57856547">
            <w:pPr>
              <w:widowControl/>
              <w:jc w:val="center"/>
              <w:rPr>
                <w:rFonts w:ascii="新宋体" w:hAnsi="新宋体" w:eastAsia="新宋体"/>
                <w:color w:val="auto"/>
                <w:kern w:val="0"/>
                <w:sz w:val="16"/>
                <w:szCs w:val="16"/>
                <w:highlight w:val="none"/>
              </w:rPr>
            </w:pPr>
          </w:p>
        </w:tc>
        <w:tc>
          <w:tcPr>
            <w:tcW w:w="1090" w:type="dxa"/>
            <w:noWrap/>
            <w:vAlign w:val="center"/>
          </w:tcPr>
          <w:p w14:paraId="2AF8918F">
            <w:pPr>
              <w:widowControl/>
              <w:jc w:val="center"/>
              <w:rPr>
                <w:rFonts w:ascii="新宋体" w:hAnsi="新宋体" w:eastAsia="新宋体" w:cs="宋体"/>
                <w:color w:val="auto"/>
                <w:kern w:val="0"/>
                <w:sz w:val="16"/>
                <w:szCs w:val="16"/>
                <w:highlight w:val="none"/>
              </w:rPr>
            </w:pPr>
          </w:p>
        </w:tc>
      </w:tr>
      <w:tr w14:paraId="3C4F10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351" w:type="dxa"/>
            <w:noWrap/>
            <w:vAlign w:val="center"/>
          </w:tcPr>
          <w:p w14:paraId="388CDE92">
            <w:pPr>
              <w:widowControl/>
              <w:jc w:val="center"/>
              <w:rPr>
                <w:rFonts w:ascii="新宋体" w:hAnsi="新宋体" w:eastAsia="新宋体"/>
                <w:color w:val="auto"/>
                <w:kern w:val="0"/>
                <w:sz w:val="18"/>
                <w:szCs w:val="18"/>
                <w:highlight w:val="none"/>
              </w:rPr>
            </w:pPr>
            <w:r>
              <w:rPr>
                <w:rFonts w:ascii="新宋体" w:hAnsi="新宋体" w:eastAsia="新宋体"/>
                <w:color w:val="auto"/>
                <w:kern w:val="0"/>
                <w:sz w:val="18"/>
                <w:szCs w:val="18"/>
                <w:highlight w:val="none"/>
              </w:rPr>
              <w:t>　</w:t>
            </w:r>
          </w:p>
        </w:tc>
        <w:tc>
          <w:tcPr>
            <w:tcW w:w="691" w:type="dxa"/>
            <w:noWrap/>
            <w:vAlign w:val="center"/>
          </w:tcPr>
          <w:p w14:paraId="6991EF55">
            <w:pPr>
              <w:widowControl/>
              <w:jc w:val="center"/>
              <w:rPr>
                <w:rFonts w:ascii="新宋体" w:hAnsi="新宋体" w:eastAsia="新宋体"/>
                <w:color w:val="auto"/>
                <w:kern w:val="0"/>
                <w:sz w:val="18"/>
                <w:szCs w:val="18"/>
                <w:highlight w:val="none"/>
              </w:rPr>
            </w:pPr>
            <w:r>
              <w:rPr>
                <w:rFonts w:ascii="新宋体" w:hAnsi="新宋体" w:eastAsia="新宋体"/>
                <w:color w:val="auto"/>
                <w:kern w:val="0"/>
                <w:sz w:val="18"/>
                <w:szCs w:val="18"/>
                <w:highlight w:val="none"/>
              </w:rPr>
              <w:t>　</w:t>
            </w:r>
          </w:p>
        </w:tc>
        <w:tc>
          <w:tcPr>
            <w:tcW w:w="362" w:type="dxa"/>
            <w:noWrap/>
            <w:vAlign w:val="bottom"/>
          </w:tcPr>
          <w:p w14:paraId="0460F2A3">
            <w:pPr>
              <w:widowControl/>
              <w:jc w:val="center"/>
              <w:rPr>
                <w:rFonts w:ascii="新宋体" w:hAnsi="新宋体" w:eastAsia="新宋体" w:cs="宋体"/>
                <w:color w:val="auto"/>
                <w:kern w:val="0"/>
                <w:sz w:val="16"/>
                <w:szCs w:val="16"/>
                <w:highlight w:val="none"/>
              </w:rPr>
            </w:pPr>
            <w:r>
              <w:rPr>
                <w:rFonts w:hint="eastAsia" w:ascii="新宋体" w:hAnsi="新宋体" w:eastAsia="新宋体" w:cs="宋体"/>
                <w:color w:val="auto"/>
                <w:kern w:val="0"/>
                <w:sz w:val="16"/>
                <w:szCs w:val="16"/>
                <w:highlight w:val="none"/>
              </w:rPr>
              <w:t>　</w:t>
            </w:r>
          </w:p>
        </w:tc>
        <w:tc>
          <w:tcPr>
            <w:tcW w:w="585" w:type="dxa"/>
            <w:noWrap/>
            <w:vAlign w:val="bottom"/>
          </w:tcPr>
          <w:p w14:paraId="2C5E5034">
            <w:pPr>
              <w:widowControl/>
              <w:jc w:val="center"/>
              <w:rPr>
                <w:rFonts w:ascii="新宋体" w:hAnsi="新宋体" w:eastAsia="新宋体" w:cs="宋体"/>
                <w:color w:val="auto"/>
                <w:kern w:val="0"/>
                <w:sz w:val="16"/>
                <w:szCs w:val="16"/>
                <w:highlight w:val="none"/>
              </w:rPr>
            </w:pPr>
            <w:r>
              <w:rPr>
                <w:rFonts w:hint="eastAsia" w:ascii="新宋体" w:hAnsi="新宋体" w:eastAsia="新宋体" w:cs="宋体"/>
                <w:color w:val="auto"/>
                <w:kern w:val="0"/>
                <w:sz w:val="16"/>
                <w:szCs w:val="16"/>
                <w:highlight w:val="none"/>
              </w:rPr>
              <w:t>　</w:t>
            </w:r>
          </w:p>
        </w:tc>
        <w:tc>
          <w:tcPr>
            <w:tcW w:w="585" w:type="dxa"/>
            <w:noWrap/>
            <w:vAlign w:val="bottom"/>
          </w:tcPr>
          <w:p w14:paraId="47F2390C">
            <w:pPr>
              <w:widowControl/>
              <w:jc w:val="center"/>
              <w:rPr>
                <w:rFonts w:ascii="新宋体" w:hAnsi="新宋体" w:eastAsia="新宋体" w:cs="宋体"/>
                <w:color w:val="auto"/>
                <w:kern w:val="0"/>
                <w:sz w:val="16"/>
                <w:szCs w:val="16"/>
                <w:highlight w:val="none"/>
              </w:rPr>
            </w:pPr>
            <w:r>
              <w:rPr>
                <w:rFonts w:hint="eastAsia" w:ascii="新宋体" w:hAnsi="新宋体" w:eastAsia="新宋体" w:cs="宋体"/>
                <w:color w:val="auto"/>
                <w:kern w:val="0"/>
                <w:sz w:val="16"/>
                <w:szCs w:val="16"/>
                <w:highlight w:val="none"/>
              </w:rPr>
              <w:t>　</w:t>
            </w:r>
          </w:p>
        </w:tc>
        <w:tc>
          <w:tcPr>
            <w:tcW w:w="632" w:type="dxa"/>
            <w:noWrap/>
            <w:vAlign w:val="center"/>
          </w:tcPr>
          <w:p w14:paraId="66F5B7B0">
            <w:pPr>
              <w:widowControl/>
              <w:jc w:val="center"/>
              <w:rPr>
                <w:rFonts w:ascii="新宋体" w:hAnsi="新宋体" w:eastAsia="新宋体" w:cs="宋体"/>
                <w:color w:val="auto"/>
                <w:kern w:val="0"/>
                <w:sz w:val="16"/>
                <w:szCs w:val="16"/>
                <w:highlight w:val="none"/>
              </w:rPr>
            </w:pPr>
            <w:r>
              <w:rPr>
                <w:rFonts w:hint="eastAsia" w:ascii="新宋体" w:hAnsi="新宋体" w:eastAsia="新宋体" w:cs="宋体"/>
                <w:color w:val="auto"/>
                <w:kern w:val="0"/>
                <w:sz w:val="16"/>
                <w:szCs w:val="16"/>
                <w:highlight w:val="none"/>
              </w:rPr>
              <w:t>　</w:t>
            </w:r>
          </w:p>
        </w:tc>
        <w:tc>
          <w:tcPr>
            <w:tcW w:w="906" w:type="dxa"/>
            <w:noWrap/>
            <w:vAlign w:val="bottom"/>
          </w:tcPr>
          <w:p w14:paraId="1059A92C">
            <w:pPr>
              <w:widowControl/>
              <w:jc w:val="center"/>
              <w:rPr>
                <w:rFonts w:ascii="新宋体" w:hAnsi="新宋体" w:eastAsia="新宋体" w:cs="宋体"/>
                <w:color w:val="auto"/>
                <w:kern w:val="0"/>
                <w:sz w:val="16"/>
                <w:szCs w:val="16"/>
                <w:highlight w:val="none"/>
              </w:rPr>
            </w:pPr>
            <w:r>
              <w:rPr>
                <w:rFonts w:hint="eastAsia" w:ascii="新宋体" w:hAnsi="新宋体" w:eastAsia="新宋体" w:cs="宋体"/>
                <w:color w:val="auto"/>
                <w:kern w:val="0"/>
                <w:sz w:val="16"/>
                <w:szCs w:val="16"/>
                <w:highlight w:val="none"/>
              </w:rPr>
              <w:t>　</w:t>
            </w:r>
          </w:p>
        </w:tc>
        <w:tc>
          <w:tcPr>
            <w:tcW w:w="839" w:type="dxa"/>
            <w:noWrap/>
            <w:vAlign w:val="center"/>
          </w:tcPr>
          <w:p w14:paraId="486CE0EE">
            <w:pPr>
              <w:widowControl/>
              <w:jc w:val="center"/>
              <w:rPr>
                <w:rFonts w:ascii="新宋体" w:hAnsi="新宋体" w:eastAsia="新宋体" w:cs="宋体"/>
                <w:color w:val="auto"/>
                <w:kern w:val="0"/>
                <w:sz w:val="16"/>
                <w:szCs w:val="16"/>
                <w:highlight w:val="none"/>
              </w:rPr>
            </w:pPr>
            <w:r>
              <w:rPr>
                <w:rFonts w:hint="eastAsia" w:ascii="新宋体" w:hAnsi="新宋体" w:eastAsia="新宋体" w:cs="宋体"/>
                <w:color w:val="auto"/>
                <w:kern w:val="0"/>
                <w:sz w:val="16"/>
                <w:szCs w:val="16"/>
                <w:highlight w:val="none"/>
              </w:rPr>
              <w:t>　</w:t>
            </w:r>
          </w:p>
        </w:tc>
        <w:tc>
          <w:tcPr>
            <w:tcW w:w="1111" w:type="dxa"/>
            <w:noWrap/>
            <w:vAlign w:val="center"/>
          </w:tcPr>
          <w:p w14:paraId="038E1A6E">
            <w:pPr>
              <w:widowControl/>
              <w:jc w:val="center"/>
              <w:rPr>
                <w:rFonts w:ascii="新宋体" w:hAnsi="新宋体" w:eastAsia="新宋体" w:cs="宋体"/>
                <w:color w:val="auto"/>
                <w:kern w:val="0"/>
                <w:sz w:val="16"/>
                <w:szCs w:val="16"/>
                <w:highlight w:val="none"/>
              </w:rPr>
            </w:pPr>
            <w:r>
              <w:rPr>
                <w:rFonts w:hint="eastAsia" w:ascii="新宋体" w:hAnsi="新宋体" w:eastAsia="新宋体" w:cs="宋体"/>
                <w:color w:val="auto"/>
                <w:kern w:val="0"/>
                <w:sz w:val="16"/>
                <w:szCs w:val="16"/>
                <w:highlight w:val="none"/>
              </w:rPr>
              <w:t>　</w:t>
            </w:r>
          </w:p>
        </w:tc>
        <w:tc>
          <w:tcPr>
            <w:tcW w:w="1207" w:type="dxa"/>
            <w:noWrap/>
            <w:vAlign w:val="bottom"/>
          </w:tcPr>
          <w:p w14:paraId="23663274">
            <w:pPr>
              <w:widowControl/>
              <w:jc w:val="left"/>
              <w:rPr>
                <w:rFonts w:ascii="新宋体" w:hAnsi="新宋体" w:eastAsia="新宋体" w:cs="宋体"/>
                <w:color w:val="auto"/>
                <w:kern w:val="0"/>
                <w:sz w:val="16"/>
                <w:szCs w:val="16"/>
                <w:highlight w:val="none"/>
              </w:rPr>
            </w:pPr>
            <w:r>
              <w:rPr>
                <w:rFonts w:hint="eastAsia" w:ascii="新宋体" w:hAnsi="新宋体" w:eastAsia="新宋体" w:cs="宋体"/>
                <w:color w:val="auto"/>
                <w:kern w:val="0"/>
                <w:sz w:val="16"/>
                <w:szCs w:val="16"/>
                <w:highlight w:val="none"/>
              </w:rPr>
              <w:t>　</w:t>
            </w:r>
          </w:p>
        </w:tc>
        <w:tc>
          <w:tcPr>
            <w:tcW w:w="839" w:type="dxa"/>
            <w:noWrap/>
            <w:vAlign w:val="center"/>
          </w:tcPr>
          <w:p w14:paraId="18410EAE">
            <w:pPr>
              <w:widowControl/>
              <w:jc w:val="center"/>
              <w:rPr>
                <w:rFonts w:ascii="新宋体" w:hAnsi="新宋体" w:eastAsia="新宋体" w:cs="宋体"/>
                <w:color w:val="auto"/>
                <w:kern w:val="0"/>
                <w:sz w:val="16"/>
                <w:szCs w:val="16"/>
                <w:highlight w:val="none"/>
              </w:rPr>
            </w:pPr>
            <w:r>
              <w:rPr>
                <w:rFonts w:hint="eastAsia" w:ascii="新宋体" w:hAnsi="新宋体" w:eastAsia="新宋体" w:cs="宋体"/>
                <w:color w:val="auto"/>
                <w:kern w:val="0"/>
                <w:sz w:val="16"/>
                <w:szCs w:val="16"/>
                <w:highlight w:val="none"/>
              </w:rPr>
              <w:t>　</w:t>
            </w:r>
          </w:p>
        </w:tc>
        <w:tc>
          <w:tcPr>
            <w:tcW w:w="1842" w:type="dxa"/>
            <w:noWrap/>
            <w:vAlign w:val="center"/>
          </w:tcPr>
          <w:p w14:paraId="139CD741">
            <w:pPr>
              <w:widowControl/>
              <w:jc w:val="center"/>
              <w:rPr>
                <w:rFonts w:ascii="新宋体" w:hAnsi="新宋体" w:eastAsia="新宋体"/>
                <w:color w:val="auto"/>
                <w:kern w:val="0"/>
                <w:sz w:val="16"/>
                <w:szCs w:val="16"/>
                <w:highlight w:val="none"/>
              </w:rPr>
            </w:pPr>
            <w:r>
              <w:rPr>
                <w:rFonts w:ascii="新宋体" w:hAnsi="新宋体" w:eastAsia="新宋体"/>
                <w:color w:val="auto"/>
                <w:kern w:val="0"/>
                <w:sz w:val="16"/>
                <w:szCs w:val="16"/>
                <w:highlight w:val="none"/>
              </w:rPr>
              <w:t>　</w:t>
            </w:r>
          </w:p>
        </w:tc>
        <w:tc>
          <w:tcPr>
            <w:tcW w:w="1090" w:type="dxa"/>
            <w:noWrap/>
            <w:vAlign w:val="center"/>
          </w:tcPr>
          <w:p w14:paraId="233114B4">
            <w:pPr>
              <w:widowControl/>
              <w:jc w:val="center"/>
              <w:rPr>
                <w:rFonts w:ascii="新宋体" w:hAnsi="新宋体" w:eastAsia="新宋体" w:cs="宋体"/>
                <w:color w:val="auto"/>
                <w:kern w:val="0"/>
                <w:sz w:val="16"/>
                <w:szCs w:val="16"/>
                <w:highlight w:val="none"/>
              </w:rPr>
            </w:pPr>
            <w:r>
              <w:rPr>
                <w:rFonts w:hint="eastAsia" w:ascii="新宋体" w:hAnsi="新宋体" w:eastAsia="新宋体" w:cs="宋体"/>
                <w:color w:val="auto"/>
                <w:kern w:val="0"/>
                <w:sz w:val="16"/>
                <w:szCs w:val="16"/>
                <w:highlight w:val="none"/>
              </w:rPr>
              <w:t>　</w:t>
            </w:r>
          </w:p>
        </w:tc>
      </w:tr>
      <w:tr w14:paraId="5B0F55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trPr>
        <w:tc>
          <w:tcPr>
            <w:tcW w:w="11040" w:type="dxa"/>
            <w:gridSpan w:val="13"/>
            <w:noWrap/>
            <w:vAlign w:val="bottom"/>
          </w:tcPr>
          <w:p w14:paraId="759F0068">
            <w:pPr>
              <w:widowControl/>
              <w:jc w:val="left"/>
              <w:rPr>
                <w:rFonts w:ascii="新宋体" w:hAnsi="新宋体" w:eastAsia="新宋体" w:cs="宋体"/>
                <w:color w:val="auto"/>
                <w:kern w:val="0"/>
                <w:sz w:val="24"/>
                <w:highlight w:val="none"/>
              </w:rPr>
            </w:pPr>
            <w:r>
              <w:rPr>
                <w:rFonts w:hint="eastAsia" w:ascii="新宋体" w:hAnsi="新宋体" w:eastAsia="新宋体" w:cs="宋体"/>
                <w:color w:val="auto"/>
                <w:kern w:val="0"/>
                <w:sz w:val="24"/>
                <w:highlight w:val="none"/>
              </w:rPr>
              <w:t>注：“变动情况”栏填写“新增”或“离职”。</w:t>
            </w:r>
          </w:p>
        </w:tc>
      </w:tr>
    </w:tbl>
    <w:p w14:paraId="242F7381">
      <w:pPr>
        <w:pStyle w:val="18"/>
        <w:adjustRightInd w:val="0"/>
        <w:snapToGrid w:val="0"/>
        <w:spacing w:line="400" w:lineRule="exact"/>
        <w:ind w:left="2100"/>
        <w:rPr>
          <w:rFonts w:ascii="新宋体" w:hAnsi="新宋体" w:eastAsia="新宋体"/>
          <w:color w:val="auto"/>
          <w:sz w:val="24"/>
          <w:highlight w:val="none"/>
        </w:rPr>
      </w:pPr>
    </w:p>
    <w:p w14:paraId="7EFA4B44">
      <w:pPr>
        <w:pStyle w:val="18"/>
        <w:adjustRightInd w:val="0"/>
        <w:snapToGrid w:val="0"/>
        <w:spacing w:line="400" w:lineRule="exact"/>
        <w:rPr>
          <w:rFonts w:ascii="新宋体" w:hAnsi="新宋体" w:eastAsia="新宋体"/>
          <w:color w:val="auto"/>
          <w:sz w:val="24"/>
          <w:highlight w:val="none"/>
        </w:rPr>
      </w:pPr>
    </w:p>
    <w:p w14:paraId="1B9C93E8">
      <w:pPr>
        <w:pStyle w:val="18"/>
        <w:adjustRightInd w:val="0"/>
        <w:snapToGrid w:val="0"/>
        <w:spacing w:line="400" w:lineRule="exact"/>
        <w:rPr>
          <w:rFonts w:ascii="新宋体" w:hAnsi="新宋体" w:eastAsia="新宋体"/>
          <w:color w:val="auto"/>
          <w:sz w:val="24"/>
          <w:highlight w:val="none"/>
        </w:rPr>
      </w:pPr>
    </w:p>
    <w:p w14:paraId="284981F4">
      <w:pPr>
        <w:pStyle w:val="18"/>
        <w:adjustRightInd w:val="0"/>
        <w:snapToGrid w:val="0"/>
        <w:spacing w:line="400" w:lineRule="exact"/>
        <w:rPr>
          <w:rFonts w:ascii="新宋体" w:hAnsi="新宋体" w:eastAsia="新宋体"/>
          <w:color w:val="auto"/>
          <w:sz w:val="24"/>
          <w:highlight w:val="none"/>
        </w:rPr>
      </w:pPr>
    </w:p>
    <w:p w14:paraId="4B0B4E36">
      <w:pPr>
        <w:pStyle w:val="18"/>
        <w:adjustRightInd w:val="0"/>
        <w:snapToGrid w:val="0"/>
        <w:spacing w:line="400" w:lineRule="exact"/>
        <w:rPr>
          <w:rFonts w:ascii="新宋体" w:hAnsi="新宋体" w:eastAsia="新宋体"/>
          <w:color w:val="auto"/>
          <w:sz w:val="24"/>
          <w:highlight w:val="none"/>
        </w:rPr>
      </w:pPr>
    </w:p>
    <w:p w14:paraId="189EE0A9">
      <w:pPr>
        <w:pStyle w:val="18"/>
        <w:adjustRightInd w:val="0"/>
        <w:snapToGrid w:val="0"/>
        <w:spacing w:line="400" w:lineRule="exact"/>
        <w:rPr>
          <w:rFonts w:hint="eastAsia" w:ascii="新宋体" w:hAnsi="新宋体" w:eastAsia="新宋体"/>
          <w:color w:val="auto"/>
          <w:sz w:val="24"/>
          <w:highlight w:val="none"/>
        </w:rPr>
      </w:pPr>
    </w:p>
    <w:p w14:paraId="49A7B3D9">
      <w:pPr>
        <w:pStyle w:val="18"/>
        <w:adjustRightInd w:val="0"/>
        <w:snapToGrid w:val="0"/>
        <w:spacing w:line="400" w:lineRule="exact"/>
        <w:rPr>
          <w:rFonts w:hint="eastAsia" w:ascii="新宋体" w:hAnsi="新宋体" w:eastAsia="新宋体"/>
          <w:color w:val="auto"/>
          <w:sz w:val="24"/>
          <w:highlight w:val="none"/>
        </w:rPr>
      </w:pPr>
    </w:p>
    <w:p w14:paraId="7EAA0DF9">
      <w:pPr>
        <w:pStyle w:val="18"/>
        <w:adjustRightInd w:val="0"/>
        <w:snapToGrid w:val="0"/>
        <w:spacing w:line="400" w:lineRule="exact"/>
        <w:rPr>
          <w:rFonts w:hint="eastAsia" w:ascii="新宋体" w:hAnsi="新宋体" w:eastAsia="新宋体"/>
          <w:color w:val="auto"/>
          <w:sz w:val="24"/>
          <w:highlight w:val="none"/>
        </w:rPr>
      </w:pPr>
    </w:p>
    <w:p w14:paraId="3EE9E0A8">
      <w:pPr>
        <w:pStyle w:val="18"/>
        <w:adjustRightInd w:val="0"/>
        <w:snapToGrid w:val="0"/>
        <w:spacing w:line="400" w:lineRule="exact"/>
        <w:rPr>
          <w:rFonts w:hint="eastAsia" w:ascii="新宋体" w:hAnsi="新宋体" w:eastAsia="新宋体"/>
          <w:color w:val="auto"/>
          <w:sz w:val="24"/>
          <w:highlight w:val="none"/>
        </w:rPr>
      </w:pPr>
    </w:p>
    <w:p w14:paraId="491EE0A6">
      <w:pPr>
        <w:pStyle w:val="18"/>
        <w:adjustRightInd w:val="0"/>
        <w:snapToGrid w:val="0"/>
        <w:spacing w:line="400" w:lineRule="exact"/>
        <w:rPr>
          <w:rFonts w:hint="eastAsia" w:ascii="新宋体" w:hAnsi="新宋体" w:eastAsia="新宋体"/>
          <w:color w:val="auto"/>
          <w:sz w:val="24"/>
          <w:highlight w:val="none"/>
        </w:rPr>
      </w:pPr>
    </w:p>
    <w:p w14:paraId="225B11BE">
      <w:pPr>
        <w:rPr>
          <w:rFonts w:hint="eastAsia" w:ascii="新宋体" w:hAnsi="新宋体" w:eastAsia="新宋体"/>
          <w:color w:val="auto"/>
          <w:sz w:val="24"/>
          <w:highlight w:val="none"/>
        </w:rPr>
      </w:pPr>
    </w:p>
    <w:p w14:paraId="1A08121E">
      <w:pPr>
        <w:pStyle w:val="2"/>
        <w:rPr>
          <w:rFonts w:hint="eastAsia" w:ascii="新宋体" w:hAnsi="新宋体" w:eastAsia="新宋体"/>
          <w:color w:val="auto"/>
          <w:sz w:val="24"/>
          <w:highlight w:val="none"/>
        </w:rPr>
      </w:pPr>
    </w:p>
    <w:p w14:paraId="1264C795">
      <w:pPr>
        <w:rPr>
          <w:rFonts w:hint="eastAsia" w:ascii="新宋体" w:hAnsi="新宋体" w:eastAsia="新宋体"/>
          <w:color w:val="auto"/>
          <w:sz w:val="24"/>
          <w:highlight w:val="none"/>
        </w:rPr>
      </w:pPr>
    </w:p>
    <w:p w14:paraId="234F1F21">
      <w:pPr>
        <w:pStyle w:val="2"/>
        <w:rPr>
          <w:rFonts w:hint="eastAsia" w:ascii="新宋体" w:hAnsi="新宋体" w:eastAsia="新宋体"/>
          <w:color w:val="auto"/>
          <w:sz w:val="24"/>
          <w:highlight w:val="none"/>
        </w:rPr>
      </w:pPr>
    </w:p>
    <w:p w14:paraId="53290EFB">
      <w:pPr>
        <w:rPr>
          <w:rFonts w:hint="eastAsia" w:ascii="新宋体" w:hAnsi="新宋体" w:eastAsia="新宋体"/>
          <w:color w:val="auto"/>
          <w:sz w:val="24"/>
          <w:highlight w:val="none"/>
        </w:rPr>
      </w:pPr>
    </w:p>
    <w:p w14:paraId="73EC1548">
      <w:pPr>
        <w:pStyle w:val="2"/>
        <w:rPr>
          <w:rFonts w:hint="eastAsia"/>
        </w:rPr>
      </w:pPr>
    </w:p>
    <w:p w14:paraId="6DDBCEFE">
      <w:pPr>
        <w:pStyle w:val="18"/>
        <w:adjustRightInd w:val="0"/>
        <w:snapToGrid w:val="0"/>
        <w:spacing w:line="400" w:lineRule="exact"/>
        <w:rPr>
          <w:rFonts w:hint="eastAsia" w:ascii="新宋体" w:hAnsi="新宋体" w:eastAsia="新宋体"/>
          <w:color w:val="auto"/>
          <w:sz w:val="24"/>
          <w:highlight w:val="none"/>
        </w:rPr>
      </w:pPr>
    </w:p>
    <w:p w14:paraId="7D3FB6A8">
      <w:pPr>
        <w:pStyle w:val="18"/>
        <w:adjustRightInd w:val="0"/>
        <w:snapToGrid w:val="0"/>
        <w:spacing w:line="400" w:lineRule="exact"/>
        <w:rPr>
          <w:rFonts w:ascii="新宋体" w:hAnsi="新宋体" w:eastAsia="新宋体"/>
          <w:color w:val="auto"/>
          <w:sz w:val="24"/>
          <w:highlight w:val="none"/>
        </w:rPr>
      </w:pPr>
      <w:r>
        <w:rPr>
          <w:rFonts w:hint="eastAsia" w:ascii="新宋体" w:hAnsi="新宋体" w:eastAsia="新宋体"/>
          <w:color w:val="auto"/>
          <w:sz w:val="24"/>
          <w:highlight w:val="none"/>
        </w:rPr>
        <w:t>附表3-3</w:t>
      </w:r>
    </w:p>
    <w:tbl>
      <w:tblPr>
        <w:tblStyle w:val="37"/>
        <w:tblpPr w:leftFromText="180" w:rightFromText="180" w:vertAnchor="text" w:horzAnchor="page" w:tblpX="715" w:tblpY="922"/>
        <w:tblOverlap w:val="never"/>
        <w:tblW w:w="1116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8"/>
        <w:gridCol w:w="942"/>
        <w:gridCol w:w="460"/>
        <w:gridCol w:w="682"/>
        <w:gridCol w:w="840"/>
        <w:gridCol w:w="840"/>
        <w:gridCol w:w="2526"/>
        <w:gridCol w:w="1684"/>
        <w:gridCol w:w="853"/>
        <w:gridCol w:w="608"/>
        <w:gridCol w:w="1027"/>
      </w:tblGrid>
      <w:tr w14:paraId="67A15E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3" w:hRule="atLeast"/>
        </w:trPr>
        <w:tc>
          <w:tcPr>
            <w:tcW w:w="11160" w:type="dxa"/>
            <w:gridSpan w:val="11"/>
            <w:vMerge w:val="restart"/>
            <w:noWrap/>
            <w:vAlign w:val="center"/>
          </w:tcPr>
          <w:p w14:paraId="797EF8CA">
            <w:pPr>
              <w:widowControl/>
              <w:jc w:val="center"/>
              <w:rPr>
                <w:rFonts w:ascii="新宋体" w:hAnsi="新宋体" w:eastAsia="新宋体" w:cs="宋体"/>
                <w:b/>
                <w:bCs/>
                <w:color w:val="auto"/>
                <w:kern w:val="0"/>
                <w:sz w:val="40"/>
                <w:szCs w:val="40"/>
                <w:highlight w:val="none"/>
              </w:rPr>
            </w:pPr>
            <w:r>
              <w:rPr>
                <w:rFonts w:hint="eastAsia" w:ascii="新宋体" w:hAnsi="新宋体" w:eastAsia="新宋体" w:cs="宋体"/>
                <w:color w:val="auto"/>
                <w:kern w:val="0"/>
                <w:sz w:val="40"/>
                <w:szCs w:val="40"/>
                <w:highlight w:val="none"/>
              </w:rPr>
              <w:t>公司责任路段表</w:t>
            </w:r>
          </w:p>
        </w:tc>
      </w:tr>
      <w:tr w14:paraId="367B72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3" w:hRule="atLeast"/>
        </w:trPr>
        <w:tc>
          <w:tcPr>
            <w:tcW w:w="11160" w:type="dxa"/>
            <w:gridSpan w:val="11"/>
            <w:vMerge w:val="continue"/>
            <w:noWrap/>
            <w:vAlign w:val="center"/>
          </w:tcPr>
          <w:p w14:paraId="1E9F5855">
            <w:pPr>
              <w:widowControl/>
              <w:jc w:val="left"/>
              <w:rPr>
                <w:rFonts w:ascii="新宋体" w:hAnsi="新宋体" w:eastAsia="新宋体" w:cs="宋体"/>
                <w:b/>
                <w:bCs/>
                <w:color w:val="auto"/>
                <w:kern w:val="0"/>
                <w:sz w:val="40"/>
                <w:szCs w:val="40"/>
                <w:highlight w:val="none"/>
              </w:rPr>
            </w:pPr>
          </w:p>
        </w:tc>
      </w:tr>
      <w:tr w14:paraId="692682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7" w:hRule="atLeast"/>
        </w:trPr>
        <w:tc>
          <w:tcPr>
            <w:tcW w:w="698" w:type="dxa"/>
            <w:noWrap/>
            <w:vAlign w:val="center"/>
          </w:tcPr>
          <w:p w14:paraId="76664CC5">
            <w:pPr>
              <w:widowControl/>
              <w:jc w:val="center"/>
              <w:rPr>
                <w:rFonts w:ascii="新宋体" w:hAnsi="新宋体" w:eastAsia="新宋体" w:cs="Arial"/>
                <w:color w:val="auto"/>
                <w:kern w:val="0"/>
                <w:sz w:val="24"/>
                <w:highlight w:val="none"/>
              </w:rPr>
            </w:pPr>
            <w:r>
              <w:rPr>
                <w:rFonts w:ascii="新宋体" w:hAnsi="新宋体" w:eastAsia="新宋体" w:cs="Arial"/>
                <w:color w:val="auto"/>
                <w:kern w:val="0"/>
                <w:sz w:val="24"/>
                <w:highlight w:val="none"/>
              </w:rPr>
              <w:t>单位</w:t>
            </w:r>
          </w:p>
        </w:tc>
        <w:tc>
          <w:tcPr>
            <w:tcW w:w="942" w:type="dxa"/>
            <w:noWrap/>
            <w:vAlign w:val="center"/>
          </w:tcPr>
          <w:p w14:paraId="41130857">
            <w:pPr>
              <w:widowControl/>
              <w:jc w:val="center"/>
              <w:rPr>
                <w:rFonts w:ascii="新宋体" w:hAnsi="新宋体" w:eastAsia="新宋体" w:cs="Arial"/>
                <w:color w:val="auto"/>
                <w:kern w:val="0"/>
                <w:sz w:val="24"/>
                <w:highlight w:val="none"/>
              </w:rPr>
            </w:pPr>
            <w:r>
              <w:rPr>
                <w:rFonts w:ascii="新宋体" w:hAnsi="新宋体" w:eastAsia="新宋体" w:cs="Arial"/>
                <w:color w:val="auto"/>
                <w:kern w:val="0"/>
                <w:sz w:val="24"/>
                <w:highlight w:val="none"/>
              </w:rPr>
              <w:t>面</w:t>
            </w:r>
          </w:p>
        </w:tc>
        <w:tc>
          <w:tcPr>
            <w:tcW w:w="7885" w:type="dxa"/>
            <w:gridSpan w:val="7"/>
            <w:noWrap/>
            <w:vAlign w:val="center"/>
          </w:tcPr>
          <w:p w14:paraId="7AF6611D">
            <w:pPr>
              <w:widowControl/>
              <w:jc w:val="center"/>
              <w:rPr>
                <w:rFonts w:ascii="新宋体" w:hAnsi="新宋体" w:eastAsia="新宋体" w:cs="Arial"/>
                <w:color w:val="auto"/>
                <w:kern w:val="0"/>
                <w:sz w:val="24"/>
                <w:highlight w:val="none"/>
              </w:rPr>
            </w:pPr>
            <w:r>
              <w:rPr>
                <w:rFonts w:ascii="新宋体" w:hAnsi="新宋体" w:eastAsia="新宋体" w:cs="Arial"/>
                <w:color w:val="auto"/>
                <w:kern w:val="0"/>
                <w:sz w:val="24"/>
                <w:highlight w:val="none"/>
              </w:rPr>
              <w:t>格</w:t>
            </w:r>
          </w:p>
        </w:tc>
        <w:tc>
          <w:tcPr>
            <w:tcW w:w="608" w:type="dxa"/>
            <w:noWrap/>
            <w:vAlign w:val="center"/>
          </w:tcPr>
          <w:p w14:paraId="28784F6A">
            <w:pPr>
              <w:widowControl/>
              <w:jc w:val="center"/>
              <w:rPr>
                <w:rFonts w:ascii="新宋体" w:hAnsi="新宋体" w:eastAsia="新宋体" w:cs="Arial"/>
                <w:color w:val="auto"/>
                <w:kern w:val="0"/>
                <w:sz w:val="24"/>
                <w:highlight w:val="none"/>
              </w:rPr>
            </w:pPr>
            <w:r>
              <w:rPr>
                <w:rFonts w:ascii="新宋体" w:hAnsi="新宋体" w:eastAsia="新宋体" w:cs="Arial"/>
                <w:color w:val="auto"/>
                <w:kern w:val="0"/>
                <w:sz w:val="24"/>
                <w:highlight w:val="none"/>
              </w:rPr>
              <w:t>台班</w:t>
            </w:r>
          </w:p>
        </w:tc>
        <w:tc>
          <w:tcPr>
            <w:tcW w:w="1027" w:type="dxa"/>
            <w:noWrap/>
            <w:vAlign w:val="center"/>
          </w:tcPr>
          <w:p w14:paraId="0B94B967">
            <w:pPr>
              <w:widowControl/>
              <w:rPr>
                <w:rFonts w:ascii="新宋体" w:hAnsi="新宋体" w:eastAsia="新宋体" w:cs="Arial"/>
                <w:color w:val="auto"/>
                <w:kern w:val="0"/>
                <w:sz w:val="24"/>
                <w:highlight w:val="none"/>
              </w:rPr>
            </w:pPr>
            <w:r>
              <w:rPr>
                <w:rFonts w:ascii="新宋体" w:hAnsi="新宋体" w:eastAsia="新宋体" w:cs="Arial"/>
                <w:color w:val="auto"/>
                <w:kern w:val="0"/>
                <w:sz w:val="24"/>
                <w:highlight w:val="none"/>
              </w:rPr>
              <w:t>道路等级</w:t>
            </w:r>
          </w:p>
        </w:tc>
      </w:tr>
      <w:tr w14:paraId="50E43C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8" w:hRule="atLeast"/>
        </w:trPr>
        <w:tc>
          <w:tcPr>
            <w:tcW w:w="698" w:type="dxa"/>
            <w:vMerge w:val="restart"/>
            <w:noWrap/>
            <w:vAlign w:val="center"/>
          </w:tcPr>
          <w:p w14:paraId="68BB3D31">
            <w:pPr>
              <w:widowControl/>
              <w:jc w:val="center"/>
              <w:rPr>
                <w:rFonts w:ascii="新宋体" w:hAnsi="新宋体" w:eastAsia="新宋体" w:cs="Arial"/>
                <w:color w:val="auto"/>
                <w:kern w:val="0"/>
                <w:sz w:val="24"/>
                <w:highlight w:val="none"/>
              </w:rPr>
            </w:pPr>
          </w:p>
        </w:tc>
        <w:tc>
          <w:tcPr>
            <w:tcW w:w="942" w:type="dxa"/>
            <w:vMerge w:val="restart"/>
            <w:noWrap/>
            <w:vAlign w:val="center"/>
          </w:tcPr>
          <w:p w14:paraId="608D02D8">
            <w:pPr>
              <w:widowControl/>
              <w:jc w:val="center"/>
              <w:rPr>
                <w:rFonts w:ascii="新宋体" w:hAnsi="新宋体" w:eastAsia="新宋体" w:cs="Arial"/>
                <w:color w:val="auto"/>
                <w:kern w:val="0"/>
                <w:sz w:val="24"/>
                <w:highlight w:val="none"/>
              </w:rPr>
            </w:pPr>
          </w:p>
        </w:tc>
        <w:tc>
          <w:tcPr>
            <w:tcW w:w="460" w:type="dxa"/>
            <w:noWrap/>
            <w:vAlign w:val="center"/>
          </w:tcPr>
          <w:p w14:paraId="723AE9A9">
            <w:pPr>
              <w:widowControl/>
              <w:jc w:val="center"/>
              <w:rPr>
                <w:rFonts w:ascii="新宋体" w:hAnsi="新宋体" w:eastAsia="新宋体" w:cs="Arial"/>
                <w:color w:val="auto"/>
                <w:kern w:val="0"/>
                <w:sz w:val="24"/>
                <w:highlight w:val="none"/>
              </w:rPr>
            </w:pPr>
            <w:r>
              <w:rPr>
                <w:rFonts w:ascii="新宋体" w:hAnsi="新宋体" w:eastAsia="新宋体" w:cs="Arial"/>
                <w:color w:val="auto"/>
                <w:kern w:val="0"/>
                <w:sz w:val="24"/>
                <w:highlight w:val="none"/>
              </w:rPr>
              <w:t>管理员</w:t>
            </w:r>
          </w:p>
        </w:tc>
        <w:tc>
          <w:tcPr>
            <w:tcW w:w="682" w:type="dxa"/>
            <w:noWrap/>
            <w:vAlign w:val="center"/>
          </w:tcPr>
          <w:p w14:paraId="6AB6F674">
            <w:pPr>
              <w:widowControl/>
              <w:jc w:val="center"/>
              <w:rPr>
                <w:rFonts w:ascii="新宋体" w:hAnsi="新宋体" w:eastAsia="新宋体" w:cs="Arial"/>
                <w:color w:val="auto"/>
                <w:kern w:val="0"/>
                <w:sz w:val="24"/>
                <w:highlight w:val="none"/>
              </w:rPr>
            </w:pPr>
            <w:r>
              <w:rPr>
                <w:rFonts w:ascii="新宋体" w:hAnsi="新宋体" w:eastAsia="新宋体" w:cs="Arial"/>
                <w:color w:val="auto"/>
                <w:kern w:val="0"/>
                <w:sz w:val="24"/>
                <w:highlight w:val="none"/>
              </w:rPr>
              <w:t>组长</w:t>
            </w:r>
          </w:p>
        </w:tc>
        <w:tc>
          <w:tcPr>
            <w:tcW w:w="840" w:type="dxa"/>
            <w:noWrap/>
            <w:vAlign w:val="center"/>
          </w:tcPr>
          <w:p w14:paraId="24E328F8">
            <w:pPr>
              <w:widowControl/>
              <w:jc w:val="center"/>
              <w:rPr>
                <w:rFonts w:ascii="新宋体" w:hAnsi="新宋体" w:eastAsia="新宋体" w:cs="Arial"/>
                <w:color w:val="auto"/>
                <w:kern w:val="0"/>
                <w:sz w:val="24"/>
                <w:highlight w:val="none"/>
              </w:rPr>
            </w:pPr>
            <w:r>
              <w:rPr>
                <w:rFonts w:ascii="新宋体" w:hAnsi="新宋体" w:eastAsia="新宋体" w:cs="Arial"/>
                <w:color w:val="auto"/>
                <w:kern w:val="0"/>
                <w:sz w:val="24"/>
                <w:highlight w:val="none"/>
              </w:rPr>
              <w:t>编号</w:t>
            </w:r>
          </w:p>
        </w:tc>
        <w:tc>
          <w:tcPr>
            <w:tcW w:w="840" w:type="dxa"/>
            <w:noWrap/>
            <w:vAlign w:val="center"/>
          </w:tcPr>
          <w:p w14:paraId="269642D6">
            <w:pPr>
              <w:widowControl/>
              <w:jc w:val="center"/>
              <w:rPr>
                <w:rFonts w:ascii="新宋体" w:hAnsi="新宋体" w:eastAsia="新宋体" w:cs="Arial"/>
                <w:color w:val="auto"/>
                <w:kern w:val="0"/>
                <w:sz w:val="24"/>
                <w:highlight w:val="none"/>
              </w:rPr>
            </w:pPr>
            <w:r>
              <w:rPr>
                <w:rFonts w:ascii="新宋体" w:hAnsi="新宋体" w:eastAsia="新宋体" w:cs="Arial"/>
                <w:color w:val="auto"/>
                <w:kern w:val="0"/>
                <w:sz w:val="24"/>
                <w:highlight w:val="none"/>
              </w:rPr>
              <w:t>路名</w:t>
            </w:r>
          </w:p>
        </w:tc>
        <w:tc>
          <w:tcPr>
            <w:tcW w:w="2526" w:type="dxa"/>
            <w:noWrap/>
            <w:vAlign w:val="center"/>
          </w:tcPr>
          <w:p w14:paraId="2F9A475D">
            <w:pPr>
              <w:widowControl/>
              <w:jc w:val="center"/>
              <w:rPr>
                <w:rFonts w:ascii="新宋体" w:hAnsi="新宋体" w:eastAsia="新宋体" w:cs="Arial"/>
                <w:color w:val="auto"/>
                <w:kern w:val="0"/>
                <w:sz w:val="24"/>
                <w:highlight w:val="none"/>
              </w:rPr>
            </w:pPr>
            <w:r>
              <w:rPr>
                <w:rFonts w:ascii="新宋体" w:hAnsi="新宋体" w:eastAsia="新宋体" w:cs="Arial"/>
                <w:color w:val="auto"/>
                <w:kern w:val="0"/>
                <w:sz w:val="24"/>
                <w:highlight w:val="none"/>
              </w:rPr>
              <w:t>起始</w:t>
            </w:r>
          </w:p>
        </w:tc>
        <w:tc>
          <w:tcPr>
            <w:tcW w:w="1684" w:type="dxa"/>
            <w:noWrap/>
            <w:vAlign w:val="center"/>
          </w:tcPr>
          <w:p w14:paraId="5675B644">
            <w:pPr>
              <w:widowControl/>
              <w:jc w:val="center"/>
              <w:rPr>
                <w:rFonts w:ascii="新宋体" w:hAnsi="新宋体" w:eastAsia="新宋体" w:cs="Arial"/>
                <w:color w:val="auto"/>
                <w:kern w:val="0"/>
                <w:sz w:val="24"/>
                <w:highlight w:val="none"/>
              </w:rPr>
            </w:pPr>
            <w:r>
              <w:rPr>
                <w:rFonts w:ascii="新宋体" w:hAnsi="新宋体" w:eastAsia="新宋体" w:cs="Arial"/>
                <w:color w:val="auto"/>
                <w:kern w:val="0"/>
                <w:sz w:val="24"/>
                <w:highlight w:val="none"/>
              </w:rPr>
              <w:t>人员（）</w:t>
            </w:r>
          </w:p>
        </w:tc>
        <w:tc>
          <w:tcPr>
            <w:tcW w:w="853" w:type="dxa"/>
            <w:noWrap/>
            <w:vAlign w:val="center"/>
          </w:tcPr>
          <w:p w14:paraId="11C2445E">
            <w:pPr>
              <w:widowControl/>
              <w:jc w:val="center"/>
              <w:rPr>
                <w:rFonts w:ascii="新宋体" w:hAnsi="新宋体" w:eastAsia="新宋体" w:cs="Arial"/>
                <w:color w:val="auto"/>
                <w:kern w:val="0"/>
                <w:sz w:val="24"/>
                <w:highlight w:val="none"/>
              </w:rPr>
            </w:pPr>
            <w:r>
              <w:rPr>
                <w:rFonts w:ascii="新宋体" w:hAnsi="新宋体" w:eastAsia="新宋体" w:cs="Arial"/>
                <w:color w:val="auto"/>
                <w:kern w:val="0"/>
                <w:sz w:val="24"/>
                <w:highlight w:val="none"/>
              </w:rPr>
              <w:t>缺人数</w:t>
            </w:r>
          </w:p>
        </w:tc>
        <w:tc>
          <w:tcPr>
            <w:tcW w:w="608" w:type="dxa"/>
            <w:noWrap/>
            <w:vAlign w:val="center"/>
          </w:tcPr>
          <w:p w14:paraId="28F24F2B">
            <w:pPr>
              <w:widowControl/>
              <w:jc w:val="center"/>
              <w:rPr>
                <w:rFonts w:ascii="新宋体" w:hAnsi="新宋体" w:eastAsia="新宋体" w:cs="Arial"/>
                <w:color w:val="auto"/>
                <w:kern w:val="0"/>
                <w:sz w:val="24"/>
                <w:highlight w:val="none"/>
              </w:rPr>
            </w:pPr>
          </w:p>
        </w:tc>
        <w:tc>
          <w:tcPr>
            <w:tcW w:w="1027" w:type="dxa"/>
            <w:noWrap/>
            <w:vAlign w:val="center"/>
          </w:tcPr>
          <w:p w14:paraId="13FA4ADD">
            <w:pPr>
              <w:widowControl/>
              <w:jc w:val="center"/>
              <w:rPr>
                <w:rFonts w:ascii="新宋体" w:hAnsi="新宋体" w:eastAsia="新宋体" w:cs="Arial"/>
                <w:color w:val="auto"/>
                <w:kern w:val="0"/>
                <w:sz w:val="24"/>
                <w:highlight w:val="none"/>
              </w:rPr>
            </w:pPr>
          </w:p>
        </w:tc>
      </w:tr>
      <w:tr w14:paraId="55C0C4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 w:hRule="atLeast"/>
        </w:trPr>
        <w:tc>
          <w:tcPr>
            <w:tcW w:w="698" w:type="dxa"/>
            <w:vMerge w:val="continue"/>
            <w:noWrap/>
            <w:vAlign w:val="center"/>
          </w:tcPr>
          <w:p w14:paraId="5BA87922">
            <w:pPr>
              <w:widowControl/>
              <w:jc w:val="left"/>
              <w:rPr>
                <w:rFonts w:ascii="新宋体" w:hAnsi="新宋体" w:eastAsia="新宋体" w:cs="Arial"/>
                <w:color w:val="auto"/>
                <w:kern w:val="0"/>
                <w:sz w:val="20"/>
                <w:highlight w:val="none"/>
              </w:rPr>
            </w:pPr>
          </w:p>
        </w:tc>
        <w:tc>
          <w:tcPr>
            <w:tcW w:w="942" w:type="dxa"/>
            <w:vMerge w:val="continue"/>
            <w:noWrap/>
            <w:vAlign w:val="center"/>
          </w:tcPr>
          <w:p w14:paraId="5908498C">
            <w:pPr>
              <w:widowControl/>
              <w:jc w:val="left"/>
              <w:rPr>
                <w:rFonts w:ascii="新宋体" w:hAnsi="新宋体" w:eastAsia="新宋体" w:cs="Arial"/>
                <w:color w:val="auto"/>
                <w:kern w:val="0"/>
                <w:sz w:val="20"/>
                <w:highlight w:val="none"/>
              </w:rPr>
            </w:pPr>
          </w:p>
        </w:tc>
        <w:tc>
          <w:tcPr>
            <w:tcW w:w="460" w:type="dxa"/>
            <w:vMerge w:val="restart"/>
            <w:noWrap/>
            <w:vAlign w:val="center"/>
          </w:tcPr>
          <w:p w14:paraId="1DE06F29">
            <w:pPr>
              <w:widowControl/>
              <w:jc w:val="left"/>
              <w:rPr>
                <w:rFonts w:ascii="新宋体" w:hAnsi="新宋体" w:eastAsia="新宋体" w:cs="Arial"/>
                <w:color w:val="auto"/>
                <w:kern w:val="0"/>
                <w:sz w:val="20"/>
                <w:highlight w:val="none"/>
              </w:rPr>
            </w:pPr>
          </w:p>
        </w:tc>
        <w:tc>
          <w:tcPr>
            <w:tcW w:w="682" w:type="dxa"/>
            <w:noWrap/>
            <w:vAlign w:val="center"/>
          </w:tcPr>
          <w:p w14:paraId="4C22A649">
            <w:pPr>
              <w:widowControl/>
              <w:jc w:val="left"/>
              <w:rPr>
                <w:rFonts w:ascii="新宋体" w:hAnsi="新宋体" w:eastAsia="新宋体" w:cs="Arial"/>
                <w:color w:val="auto"/>
                <w:kern w:val="0"/>
                <w:sz w:val="20"/>
                <w:highlight w:val="none"/>
              </w:rPr>
            </w:pPr>
          </w:p>
        </w:tc>
        <w:tc>
          <w:tcPr>
            <w:tcW w:w="840" w:type="dxa"/>
            <w:noWrap/>
            <w:vAlign w:val="bottom"/>
          </w:tcPr>
          <w:p w14:paraId="285E508D">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840" w:type="dxa"/>
            <w:noWrap/>
            <w:vAlign w:val="bottom"/>
          </w:tcPr>
          <w:p w14:paraId="4CD70902">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2526" w:type="dxa"/>
            <w:noWrap/>
            <w:vAlign w:val="center"/>
          </w:tcPr>
          <w:p w14:paraId="61B7E0E2">
            <w:pPr>
              <w:widowControl/>
              <w:jc w:val="center"/>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1684" w:type="dxa"/>
            <w:noWrap/>
            <w:vAlign w:val="center"/>
          </w:tcPr>
          <w:p w14:paraId="5A5E0CDA">
            <w:pPr>
              <w:widowControl/>
              <w:jc w:val="center"/>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853" w:type="dxa"/>
            <w:noWrap/>
            <w:vAlign w:val="bottom"/>
          </w:tcPr>
          <w:p w14:paraId="65ED1287">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608" w:type="dxa"/>
            <w:noWrap/>
            <w:vAlign w:val="bottom"/>
          </w:tcPr>
          <w:p w14:paraId="1C075B66">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1027" w:type="dxa"/>
            <w:noWrap/>
            <w:vAlign w:val="bottom"/>
          </w:tcPr>
          <w:p w14:paraId="3C778B3A">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r>
      <w:tr w14:paraId="1234CE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 w:hRule="atLeast"/>
        </w:trPr>
        <w:tc>
          <w:tcPr>
            <w:tcW w:w="698" w:type="dxa"/>
            <w:vMerge w:val="continue"/>
            <w:noWrap/>
            <w:vAlign w:val="center"/>
          </w:tcPr>
          <w:p w14:paraId="083674E1">
            <w:pPr>
              <w:widowControl/>
              <w:jc w:val="left"/>
              <w:rPr>
                <w:rFonts w:ascii="新宋体" w:hAnsi="新宋体" w:eastAsia="新宋体" w:cs="Arial"/>
                <w:color w:val="auto"/>
                <w:kern w:val="0"/>
                <w:sz w:val="20"/>
                <w:highlight w:val="none"/>
              </w:rPr>
            </w:pPr>
          </w:p>
        </w:tc>
        <w:tc>
          <w:tcPr>
            <w:tcW w:w="942" w:type="dxa"/>
            <w:vMerge w:val="continue"/>
            <w:noWrap/>
            <w:vAlign w:val="center"/>
          </w:tcPr>
          <w:p w14:paraId="2CB61587">
            <w:pPr>
              <w:widowControl/>
              <w:jc w:val="left"/>
              <w:rPr>
                <w:rFonts w:ascii="新宋体" w:hAnsi="新宋体" w:eastAsia="新宋体" w:cs="Arial"/>
                <w:color w:val="auto"/>
                <w:kern w:val="0"/>
                <w:sz w:val="20"/>
                <w:highlight w:val="none"/>
              </w:rPr>
            </w:pPr>
          </w:p>
        </w:tc>
        <w:tc>
          <w:tcPr>
            <w:tcW w:w="460" w:type="dxa"/>
            <w:vMerge w:val="continue"/>
            <w:noWrap/>
            <w:vAlign w:val="center"/>
          </w:tcPr>
          <w:p w14:paraId="1E99851C">
            <w:pPr>
              <w:widowControl/>
              <w:jc w:val="left"/>
              <w:rPr>
                <w:rFonts w:ascii="新宋体" w:hAnsi="新宋体" w:eastAsia="新宋体" w:cs="Arial"/>
                <w:color w:val="auto"/>
                <w:kern w:val="0"/>
                <w:sz w:val="20"/>
                <w:highlight w:val="none"/>
              </w:rPr>
            </w:pPr>
          </w:p>
        </w:tc>
        <w:tc>
          <w:tcPr>
            <w:tcW w:w="682" w:type="dxa"/>
            <w:noWrap/>
            <w:vAlign w:val="center"/>
          </w:tcPr>
          <w:p w14:paraId="55BAF2B7">
            <w:pPr>
              <w:widowControl/>
              <w:jc w:val="left"/>
              <w:rPr>
                <w:rFonts w:ascii="新宋体" w:hAnsi="新宋体" w:eastAsia="新宋体" w:cs="Arial"/>
                <w:color w:val="auto"/>
                <w:kern w:val="0"/>
                <w:sz w:val="20"/>
                <w:highlight w:val="none"/>
              </w:rPr>
            </w:pPr>
          </w:p>
        </w:tc>
        <w:tc>
          <w:tcPr>
            <w:tcW w:w="840" w:type="dxa"/>
            <w:noWrap/>
            <w:vAlign w:val="bottom"/>
          </w:tcPr>
          <w:p w14:paraId="6FDB763D">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840" w:type="dxa"/>
            <w:noWrap/>
            <w:vAlign w:val="bottom"/>
          </w:tcPr>
          <w:p w14:paraId="24B7308C">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2526" w:type="dxa"/>
            <w:noWrap/>
            <w:vAlign w:val="center"/>
          </w:tcPr>
          <w:p w14:paraId="7E701D42">
            <w:pPr>
              <w:widowControl/>
              <w:jc w:val="center"/>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1684" w:type="dxa"/>
            <w:noWrap/>
            <w:vAlign w:val="center"/>
          </w:tcPr>
          <w:p w14:paraId="06776C52">
            <w:pPr>
              <w:widowControl/>
              <w:jc w:val="center"/>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853" w:type="dxa"/>
            <w:noWrap/>
            <w:vAlign w:val="bottom"/>
          </w:tcPr>
          <w:p w14:paraId="5D12D092">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608" w:type="dxa"/>
            <w:noWrap/>
            <w:vAlign w:val="bottom"/>
          </w:tcPr>
          <w:p w14:paraId="24EAF0D4">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1027" w:type="dxa"/>
            <w:noWrap/>
            <w:vAlign w:val="bottom"/>
          </w:tcPr>
          <w:p w14:paraId="6830824C">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r>
      <w:tr w14:paraId="21B186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 w:hRule="atLeast"/>
        </w:trPr>
        <w:tc>
          <w:tcPr>
            <w:tcW w:w="698" w:type="dxa"/>
            <w:vMerge w:val="continue"/>
            <w:noWrap/>
            <w:vAlign w:val="center"/>
          </w:tcPr>
          <w:p w14:paraId="23372E34">
            <w:pPr>
              <w:widowControl/>
              <w:jc w:val="left"/>
              <w:rPr>
                <w:rFonts w:ascii="新宋体" w:hAnsi="新宋体" w:eastAsia="新宋体" w:cs="Arial"/>
                <w:color w:val="auto"/>
                <w:kern w:val="0"/>
                <w:sz w:val="20"/>
                <w:highlight w:val="none"/>
              </w:rPr>
            </w:pPr>
          </w:p>
        </w:tc>
        <w:tc>
          <w:tcPr>
            <w:tcW w:w="942" w:type="dxa"/>
            <w:vMerge w:val="continue"/>
            <w:noWrap/>
            <w:vAlign w:val="center"/>
          </w:tcPr>
          <w:p w14:paraId="0E4F2A90">
            <w:pPr>
              <w:widowControl/>
              <w:jc w:val="left"/>
              <w:rPr>
                <w:rFonts w:ascii="新宋体" w:hAnsi="新宋体" w:eastAsia="新宋体" w:cs="Arial"/>
                <w:color w:val="auto"/>
                <w:kern w:val="0"/>
                <w:sz w:val="20"/>
                <w:highlight w:val="none"/>
              </w:rPr>
            </w:pPr>
          </w:p>
        </w:tc>
        <w:tc>
          <w:tcPr>
            <w:tcW w:w="460" w:type="dxa"/>
            <w:vMerge w:val="continue"/>
            <w:noWrap/>
            <w:vAlign w:val="center"/>
          </w:tcPr>
          <w:p w14:paraId="07E1771F">
            <w:pPr>
              <w:widowControl/>
              <w:jc w:val="left"/>
              <w:rPr>
                <w:rFonts w:ascii="新宋体" w:hAnsi="新宋体" w:eastAsia="新宋体" w:cs="Arial"/>
                <w:color w:val="auto"/>
                <w:kern w:val="0"/>
                <w:sz w:val="20"/>
                <w:highlight w:val="none"/>
              </w:rPr>
            </w:pPr>
          </w:p>
        </w:tc>
        <w:tc>
          <w:tcPr>
            <w:tcW w:w="682" w:type="dxa"/>
            <w:noWrap/>
            <w:vAlign w:val="center"/>
          </w:tcPr>
          <w:p w14:paraId="13DE3C0F">
            <w:pPr>
              <w:widowControl/>
              <w:jc w:val="left"/>
              <w:rPr>
                <w:rFonts w:ascii="新宋体" w:hAnsi="新宋体" w:eastAsia="新宋体" w:cs="Arial"/>
                <w:color w:val="auto"/>
                <w:kern w:val="0"/>
                <w:sz w:val="20"/>
                <w:highlight w:val="none"/>
              </w:rPr>
            </w:pPr>
          </w:p>
        </w:tc>
        <w:tc>
          <w:tcPr>
            <w:tcW w:w="840" w:type="dxa"/>
            <w:noWrap/>
            <w:vAlign w:val="bottom"/>
          </w:tcPr>
          <w:p w14:paraId="7DFA761F">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840" w:type="dxa"/>
            <w:noWrap/>
            <w:vAlign w:val="bottom"/>
          </w:tcPr>
          <w:p w14:paraId="36928CD3">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2526" w:type="dxa"/>
            <w:noWrap/>
            <w:vAlign w:val="center"/>
          </w:tcPr>
          <w:p w14:paraId="3B542AC4">
            <w:pPr>
              <w:widowControl/>
              <w:jc w:val="center"/>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1684" w:type="dxa"/>
            <w:noWrap/>
            <w:vAlign w:val="center"/>
          </w:tcPr>
          <w:p w14:paraId="40538C1E">
            <w:pPr>
              <w:widowControl/>
              <w:jc w:val="center"/>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853" w:type="dxa"/>
            <w:noWrap/>
            <w:vAlign w:val="bottom"/>
          </w:tcPr>
          <w:p w14:paraId="460B150B">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608" w:type="dxa"/>
            <w:noWrap/>
            <w:vAlign w:val="bottom"/>
          </w:tcPr>
          <w:p w14:paraId="01D526BB">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1027" w:type="dxa"/>
            <w:noWrap/>
            <w:vAlign w:val="bottom"/>
          </w:tcPr>
          <w:p w14:paraId="373BBC2A">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r>
      <w:tr w14:paraId="6E5853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698" w:type="dxa"/>
            <w:vMerge w:val="continue"/>
            <w:noWrap/>
            <w:vAlign w:val="center"/>
          </w:tcPr>
          <w:p w14:paraId="052042E6">
            <w:pPr>
              <w:widowControl/>
              <w:jc w:val="left"/>
              <w:rPr>
                <w:rFonts w:ascii="新宋体" w:hAnsi="新宋体" w:eastAsia="新宋体" w:cs="Arial"/>
                <w:color w:val="auto"/>
                <w:kern w:val="0"/>
                <w:sz w:val="20"/>
                <w:highlight w:val="none"/>
              </w:rPr>
            </w:pPr>
          </w:p>
        </w:tc>
        <w:tc>
          <w:tcPr>
            <w:tcW w:w="942" w:type="dxa"/>
            <w:vMerge w:val="continue"/>
            <w:noWrap/>
            <w:vAlign w:val="center"/>
          </w:tcPr>
          <w:p w14:paraId="3C8D3C1D">
            <w:pPr>
              <w:widowControl/>
              <w:jc w:val="left"/>
              <w:rPr>
                <w:rFonts w:ascii="新宋体" w:hAnsi="新宋体" w:eastAsia="新宋体" w:cs="Arial"/>
                <w:color w:val="auto"/>
                <w:kern w:val="0"/>
                <w:sz w:val="20"/>
                <w:highlight w:val="none"/>
              </w:rPr>
            </w:pPr>
          </w:p>
        </w:tc>
        <w:tc>
          <w:tcPr>
            <w:tcW w:w="460" w:type="dxa"/>
            <w:vMerge w:val="continue"/>
            <w:noWrap/>
            <w:vAlign w:val="center"/>
          </w:tcPr>
          <w:p w14:paraId="18E0C0CF">
            <w:pPr>
              <w:widowControl/>
              <w:jc w:val="left"/>
              <w:rPr>
                <w:rFonts w:ascii="新宋体" w:hAnsi="新宋体" w:eastAsia="新宋体" w:cs="Arial"/>
                <w:color w:val="auto"/>
                <w:kern w:val="0"/>
                <w:sz w:val="20"/>
                <w:highlight w:val="none"/>
              </w:rPr>
            </w:pPr>
          </w:p>
        </w:tc>
        <w:tc>
          <w:tcPr>
            <w:tcW w:w="682" w:type="dxa"/>
            <w:noWrap/>
            <w:vAlign w:val="center"/>
          </w:tcPr>
          <w:p w14:paraId="25EFC086">
            <w:pPr>
              <w:widowControl/>
              <w:jc w:val="left"/>
              <w:rPr>
                <w:rFonts w:ascii="新宋体" w:hAnsi="新宋体" w:eastAsia="新宋体" w:cs="Arial"/>
                <w:color w:val="auto"/>
                <w:kern w:val="0"/>
                <w:sz w:val="20"/>
                <w:highlight w:val="none"/>
              </w:rPr>
            </w:pPr>
          </w:p>
        </w:tc>
        <w:tc>
          <w:tcPr>
            <w:tcW w:w="840" w:type="dxa"/>
            <w:noWrap/>
            <w:vAlign w:val="bottom"/>
          </w:tcPr>
          <w:p w14:paraId="04D7DD5E">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840" w:type="dxa"/>
            <w:noWrap/>
            <w:vAlign w:val="bottom"/>
          </w:tcPr>
          <w:p w14:paraId="5F0D9F55">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2526" w:type="dxa"/>
            <w:noWrap/>
            <w:vAlign w:val="center"/>
          </w:tcPr>
          <w:p w14:paraId="038B2867">
            <w:pPr>
              <w:widowControl/>
              <w:jc w:val="center"/>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1684" w:type="dxa"/>
            <w:noWrap/>
            <w:vAlign w:val="center"/>
          </w:tcPr>
          <w:p w14:paraId="6A71800F">
            <w:pPr>
              <w:widowControl/>
              <w:jc w:val="center"/>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853" w:type="dxa"/>
            <w:noWrap/>
            <w:vAlign w:val="bottom"/>
          </w:tcPr>
          <w:p w14:paraId="4687C248">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608" w:type="dxa"/>
            <w:noWrap/>
            <w:vAlign w:val="bottom"/>
          </w:tcPr>
          <w:p w14:paraId="12BDD60E">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1027" w:type="dxa"/>
            <w:noWrap/>
            <w:vAlign w:val="bottom"/>
          </w:tcPr>
          <w:p w14:paraId="5B183D2F">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r>
      <w:tr w14:paraId="1E7769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 w:hRule="atLeast"/>
        </w:trPr>
        <w:tc>
          <w:tcPr>
            <w:tcW w:w="698" w:type="dxa"/>
            <w:vMerge w:val="continue"/>
            <w:noWrap/>
            <w:vAlign w:val="center"/>
          </w:tcPr>
          <w:p w14:paraId="77B8BBD8">
            <w:pPr>
              <w:widowControl/>
              <w:jc w:val="left"/>
              <w:rPr>
                <w:rFonts w:ascii="新宋体" w:hAnsi="新宋体" w:eastAsia="新宋体" w:cs="Arial"/>
                <w:color w:val="auto"/>
                <w:kern w:val="0"/>
                <w:sz w:val="20"/>
                <w:highlight w:val="none"/>
              </w:rPr>
            </w:pPr>
          </w:p>
        </w:tc>
        <w:tc>
          <w:tcPr>
            <w:tcW w:w="942" w:type="dxa"/>
            <w:vMerge w:val="continue"/>
            <w:noWrap/>
            <w:vAlign w:val="center"/>
          </w:tcPr>
          <w:p w14:paraId="21F7377E">
            <w:pPr>
              <w:widowControl/>
              <w:jc w:val="left"/>
              <w:rPr>
                <w:rFonts w:ascii="新宋体" w:hAnsi="新宋体" w:eastAsia="新宋体" w:cs="Arial"/>
                <w:color w:val="auto"/>
                <w:kern w:val="0"/>
                <w:sz w:val="20"/>
                <w:highlight w:val="none"/>
              </w:rPr>
            </w:pPr>
          </w:p>
        </w:tc>
        <w:tc>
          <w:tcPr>
            <w:tcW w:w="460" w:type="dxa"/>
            <w:vMerge w:val="restart"/>
            <w:noWrap/>
            <w:vAlign w:val="center"/>
          </w:tcPr>
          <w:p w14:paraId="6C3B7BA8">
            <w:pPr>
              <w:widowControl/>
              <w:jc w:val="left"/>
              <w:rPr>
                <w:rFonts w:ascii="新宋体" w:hAnsi="新宋体" w:eastAsia="新宋体" w:cs="Arial"/>
                <w:color w:val="auto"/>
                <w:kern w:val="0"/>
                <w:sz w:val="20"/>
                <w:highlight w:val="none"/>
              </w:rPr>
            </w:pPr>
          </w:p>
        </w:tc>
        <w:tc>
          <w:tcPr>
            <w:tcW w:w="682" w:type="dxa"/>
            <w:noWrap/>
            <w:vAlign w:val="center"/>
          </w:tcPr>
          <w:p w14:paraId="596CE6B3">
            <w:pPr>
              <w:widowControl/>
              <w:jc w:val="center"/>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840" w:type="dxa"/>
            <w:noWrap/>
            <w:vAlign w:val="bottom"/>
          </w:tcPr>
          <w:p w14:paraId="0236B149">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840" w:type="dxa"/>
            <w:noWrap/>
            <w:vAlign w:val="bottom"/>
          </w:tcPr>
          <w:p w14:paraId="7F471A82">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2526" w:type="dxa"/>
            <w:noWrap/>
            <w:vAlign w:val="center"/>
          </w:tcPr>
          <w:p w14:paraId="5A23783F">
            <w:pPr>
              <w:widowControl/>
              <w:jc w:val="center"/>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1684" w:type="dxa"/>
            <w:noWrap/>
            <w:vAlign w:val="center"/>
          </w:tcPr>
          <w:p w14:paraId="3EB80992">
            <w:pPr>
              <w:widowControl/>
              <w:jc w:val="center"/>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853" w:type="dxa"/>
            <w:noWrap/>
            <w:vAlign w:val="bottom"/>
          </w:tcPr>
          <w:p w14:paraId="7F04D979">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608" w:type="dxa"/>
            <w:noWrap/>
            <w:vAlign w:val="bottom"/>
          </w:tcPr>
          <w:p w14:paraId="13CEBC1F">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1027" w:type="dxa"/>
            <w:noWrap/>
            <w:vAlign w:val="bottom"/>
          </w:tcPr>
          <w:p w14:paraId="2971F513">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r>
      <w:tr w14:paraId="174D49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 w:hRule="atLeast"/>
        </w:trPr>
        <w:tc>
          <w:tcPr>
            <w:tcW w:w="698" w:type="dxa"/>
            <w:vMerge w:val="continue"/>
            <w:noWrap/>
            <w:vAlign w:val="center"/>
          </w:tcPr>
          <w:p w14:paraId="3D3521AB">
            <w:pPr>
              <w:widowControl/>
              <w:jc w:val="left"/>
              <w:rPr>
                <w:rFonts w:ascii="新宋体" w:hAnsi="新宋体" w:eastAsia="新宋体" w:cs="Arial"/>
                <w:color w:val="auto"/>
                <w:kern w:val="0"/>
                <w:sz w:val="20"/>
                <w:highlight w:val="none"/>
              </w:rPr>
            </w:pPr>
          </w:p>
        </w:tc>
        <w:tc>
          <w:tcPr>
            <w:tcW w:w="942" w:type="dxa"/>
            <w:vMerge w:val="continue"/>
            <w:noWrap/>
            <w:vAlign w:val="center"/>
          </w:tcPr>
          <w:p w14:paraId="7E670A62">
            <w:pPr>
              <w:widowControl/>
              <w:jc w:val="left"/>
              <w:rPr>
                <w:rFonts w:ascii="新宋体" w:hAnsi="新宋体" w:eastAsia="新宋体" w:cs="Arial"/>
                <w:color w:val="auto"/>
                <w:kern w:val="0"/>
                <w:sz w:val="20"/>
                <w:highlight w:val="none"/>
              </w:rPr>
            </w:pPr>
          </w:p>
        </w:tc>
        <w:tc>
          <w:tcPr>
            <w:tcW w:w="460" w:type="dxa"/>
            <w:vMerge w:val="continue"/>
            <w:noWrap/>
            <w:vAlign w:val="center"/>
          </w:tcPr>
          <w:p w14:paraId="313ADF00">
            <w:pPr>
              <w:widowControl/>
              <w:jc w:val="left"/>
              <w:rPr>
                <w:rFonts w:ascii="新宋体" w:hAnsi="新宋体" w:eastAsia="新宋体" w:cs="Arial"/>
                <w:color w:val="auto"/>
                <w:kern w:val="0"/>
                <w:sz w:val="20"/>
                <w:highlight w:val="none"/>
              </w:rPr>
            </w:pPr>
          </w:p>
        </w:tc>
        <w:tc>
          <w:tcPr>
            <w:tcW w:w="682" w:type="dxa"/>
            <w:noWrap/>
            <w:vAlign w:val="center"/>
          </w:tcPr>
          <w:p w14:paraId="0B1AF45D">
            <w:pPr>
              <w:widowControl/>
              <w:jc w:val="left"/>
              <w:rPr>
                <w:rFonts w:ascii="新宋体" w:hAnsi="新宋体" w:eastAsia="新宋体" w:cs="Arial"/>
                <w:color w:val="auto"/>
                <w:kern w:val="0"/>
                <w:sz w:val="20"/>
                <w:highlight w:val="none"/>
              </w:rPr>
            </w:pPr>
          </w:p>
        </w:tc>
        <w:tc>
          <w:tcPr>
            <w:tcW w:w="840" w:type="dxa"/>
            <w:noWrap/>
            <w:vAlign w:val="bottom"/>
          </w:tcPr>
          <w:p w14:paraId="758EF03A">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840" w:type="dxa"/>
            <w:noWrap/>
            <w:vAlign w:val="bottom"/>
          </w:tcPr>
          <w:p w14:paraId="6FD2F5B3">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2526" w:type="dxa"/>
            <w:noWrap/>
            <w:vAlign w:val="center"/>
          </w:tcPr>
          <w:p w14:paraId="4A4917DC">
            <w:pPr>
              <w:widowControl/>
              <w:jc w:val="center"/>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1684" w:type="dxa"/>
            <w:noWrap/>
            <w:vAlign w:val="center"/>
          </w:tcPr>
          <w:p w14:paraId="2AAAD67A">
            <w:pPr>
              <w:widowControl/>
              <w:jc w:val="center"/>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853" w:type="dxa"/>
            <w:noWrap/>
            <w:vAlign w:val="bottom"/>
          </w:tcPr>
          <w:p w14:paraId="2AD39D5F">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608" w:type="dxa"/>
            <w:noWrap/>
            <w:vAlign w:val="bottom"/>
          </w:tcPr>
          <w:p w14:paraId="186D8E44">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1027" w:type="dxa"/>
            <w:noWrap/>
            <w:vAlign w:val="bottom"/>
          </w:tcPr>
          <w:p w14:paraId="3DC9B8DA">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r>
      <w:tr w14:paraId="5CF0E3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 w:hRule="atLeast"/>
        </w:trPr>
        <w:tc>
          <w:tcPr>
            <w:tcW w:w="698" w:type="dxa"/>
            <w:vMerge w:val="continue"/>
            <w:noWrap/>
            <w:vAlign w:val="center"/>
          </w:tcPr>
          <w:p w14:paraId="01869E27">
            <w:pPr>
              <w:widowControl/>
              <w:jc w:val="left"/>
              <w:rPr>
                <w:rFonts w:ascii="新宋体" w:hAnsi="新宋体" w:eastAsia="新宋体" w:cs="Arial"/>
                <w:color w:val="auto"/>
                <w:kern w:val="0"/>
                <w:sz w:val="20"/>
                <w:highlight w:val="none"/>
              </w:rPr>
            </w:pPr>
          </w:p>
        </w:tc>
        <w:tc>
          <w:tcPr>
            <w:tcW w:w="942" w:type="dxa"/>
            <w:vMerge w:val="continue"/>
            <w:noWrap/>
            <w:vAlign w:val="center"/>
          </w:tcPr>
          <w:p w14:paraId="5467CB8E">
            <w:pPr>
              <w:widowControl/>
              <w:jc w:val="left"/>
              <w:rPr>
                <w:rFonts w:ascii="新宋体" w:hAnsi="新宋体" w:eastAsia="新宋体" w:cs="Arial"/>
                <w:color w:val="auto"/>
                <w:kern w:val="0"/>
                <w:sz w:val="20"/>
                <w:highlight w:val="none"/>
              </w:rPr>
            </w:pPr>
          </w:p>
        </w:tc>
        <w:tc>
          <w:tcPr>
            <w:tcW w:w="460" w:type="dxa"/>
            <w:vMerge w:val="continue"/>
            <w:noWrap/>
            <w:vAlign w:val="center"/>
          </w:tcPr>
          <w:p w14:paraId="5BE79914">
            <w:pPr>
              <w:widowControl/>
              <w:jc w:val="left"/>
              <w:rPr>
                <w:rFonts w:ascii="新宋体" w:hAnsi="新宋体" w:eastAsia="新宋体" w:cs="Arial"/>
                <w:color w:val="auto"/>
                <w:kern w:val="0"/>
                <w:sz w:val="20"/>
                <w:highlight w:val="none"/>
              </w:rPr>
            </w:pPr>
          </w:p>
        </w:tc>
        <w:tc>
          <w:tcPr>
            <w:tcW w:w="682" w:type="dxa"/>
            <w:noWrap/>
            <w:vAlign w:val="center"/>
          </w:tcPr>
          <w:p w14:paraId="6CA151DE">
            <w:pPr>
              <w:widowControl/>
              <w:jc w:val="left"/>
              <w:rPr>
                <w:rFonts w:ascii="新宋体" w:hAnsi="新宋体" w:eastAsia="新宋体" w:cs="Arial"/>
                <w:color w:val="auto"/>
                <w:kern w:val="0"/>
                <w:sz w:val="20"/>
                <w:highlight w:val="none"/>
              </w:rPr>
            </w:pPr>
          </w:p>
        </w:tc>
        <w:tc>
          <w:tcPr>
            <w:tcW w:w="840" w:type="dxa"/>
            <w:noWrap/>
            <w:vAlign w:val="bottom"/>
          </w:tcPr>
          <w:p w14:paraId="33666738">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840" w:type="dxa"/>
            <w:noWrap/>
            <w:vAlign w:val="bottom"/>
          </w:tcPr>
          <w:p w14:paraId="063E2C14">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2526" w:type="dxa"/>
            <w:noWrap/>
            <w:vAlign w:val="center"/>
          </w:tcPr>
          <w:p w14:paraId="6B29D48E">
            <w:pPr>
              <w:widowControl/>
              <w:jc w:val="center"/>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1684" w:type="dxa"/>
            <w:noWrap/>
            <w:vAlign w:val="center"/>
          </w:tcPr>
          <w:p w14:paraId="1FABF234">
            <w:pPr>
              <w:widowControl/>
              <w:jc w:val="center"/>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853" w:type="dxa"/>
            <w:noWrap/>
            <w:vAlign w:val="bottom"/>
          </w:tcPr>
          <w:p w14:paraId="5B38CFE4">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608" w:type="dxa"/>
            <w:noWrap/>
            <w:vAlign w:val="bottom"/>
          </w:tcPr>
          <w:p w14:paraId="558FCFA8">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1027" w:type="dxa"/>
            <w:noWrap/>
            <w:vAlign w:val="bottom"/>
          </w:tcPr>
          <w:p w14:paraId="50209B94">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r>
      <w:tr w14:paraId="172211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 w:hRule="atLeast"/>
        </w:trPr>
        <w:tc>
          <w:tcPr>
            <w:tcW w:w="698" w:type="dxa"/>
            <w:vMerge w:val="continue"/>
            <w:noWrap/>
            <w:vAlign w:val="center"/>
          </w:tcPr>
          <w:p w14:paraId="41CCB280">
            <w:pPr>
              <w:widowControl/>
              <w:jc w:val="left"/>
              <w:rPr>
                <w:rFonts w:ascii="新宋体" w:hAnsi="新宋体" w:eastAsia="新宋体" w:cs="Arial"/>
                <w:color w:val="auto"/>
                <w:kern w:val="0"/>
                <w:sz w:val="20"/>
                <w:highlight w:val="none"/>
              </w:rPr>
            </w:pPr>
          </w:p>
        </w:tc>
        <w:tc>
          <w:tcPr>
            <w:tcW w:w="942" w:type="dxa"/>
            <w:vMerge w:val="continue"/>
            <w:noWrap/>
            <w:vAlign w:val="center"/>
          </w:tcPr>
          <w:p w14:paraId="52B96B03">
            <w:pPr>
              <w:widowControl/>
              <w:jc w:val="left"/>
              <w:rPr>
                <w:rFonts w:ascii="新宋体" w:hAnsi="新宋体" w:eastAsia="新宋体" w:cs="Arial"/>
                <w:color w:val="auto"/>
                <w:kern w:val="0"/>
                <w:sz w:val="20"/>
                <w:highlight w:val="none"/>
              </w:rPr>
            </w:pPr>
          </w:p>
        </w:tc>
        <w:tc>
          <w:tcPr>
            <w:tcW w:w="460" w:type="dxa"/>
            <w:vMerge w:val="continue"/>
            <w:noWrap/>
            <w:vAlign w:val="center"/>
          </w:tcPr>
          <w:p w14:paraId="1677110C">
            <w:pPr>
              <w:widowControl/>
              <w:jc w:val="left"/>
              <w:rPr>
                <w:rFonts w:ascii="新宋体" w:hAnsi="新宋体" w:eastAsia="新宋体" w:cs="Arial"/>
                <w:color w:val="auto"/>
                <w:kern w:val="0"/>
                <w:sz w:val="20"/>
                <w:highlight w:val="none"/>
              </w:rPr>
            </w:pPr>
          </w:p>
        </w:tc>
        <w:tc>
          <w:tcPr>
            <w:tcW w:w="682" w:type="dxa"/>
            <w:noWrap/>
            <w:vAlign w:val="center"/>
          </w:tcPr>
          <w:p w14:paraId="23D4D9CE">
            <w:pPr>
              <w:widowControl/>
              <w:jc w:val="left"/>
              <w:rPr>
                <w:rFonts w:ascii="新宋体" w:hAnsi="新宋体" w:eastAsia="新宋体" w:cs="Arial"/>
                <w:color w:val="auto"/>
                <w:kern w:val="0"/>
                <w:sz w:val="20"/>
                <w:highlight w:val="none"/>
              </w:rPr>
            </w:pPr>
          </w:p>
        </w:tc>
        <w:tc>
          <w:tcPr>
            <w:tcW w:w="840" w:type="dxa"/>
            <w:noWrap/>
            <w:vAlign w:val="bottom"/>
          </w:tcPr>
          <w:p w14:paraId="2BDA0FAB">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840" w:type="dxa"/>
            <w:noWrap/>
            <w:vAlign w:val="bottom"/>
          </w:tcPr>
          <w:p w14:paraId="7516C64E">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2526" w:type="dxa"/>
            <w:noWrap/>
            <w:vAlign w:val="center"/>
          </w:tcPr>
          <w:p w14:paraId="6F0A3172">
            <w:pPr>
              <w:widowControl/>
              <w:jc w:val="center"/>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1684" w:type="dxa"/>
            <w:noWrap/>
            <w:vAlign w:val="center"/>
          </w:tcPr>
          <w:p w14:paraId="0693E949">
            <w:pPr>
              <w:widowControl/>
              <w:jc w:val="center"/>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853" w:type="dxa"/>
            <w:noWrap/>
            <w:vAlign w:val="bottom"/>
          </w:tcPr>
          <w:p w14:paraId="246D3F43">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608" w:type="dxa"/>
            <w:noWrap/>
            <w:vAlign w:val="bottom"/>
          </w:tcPr>
          <w:p w14:paraId="0B52E32A">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1027" w:type="dxa"/>
            <w:noWrap/>
            <w:vAlign w:val="bottom"/>
          </w:tcPr>
          <w:p w14:paraId="50B31F57">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r>
      <w:tr w14:paraId="0A86A7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8" w:hRule="atLeast"/>
        </w:trPr>
        <w:tc>
          <w:tcPr>
            <w:tcW w:w="698" w:type="dxa"/>
            <w:vMerge w:val="continue"/>
            <w:noWrap/>
            <w:vAlign w:val="center"/>
          </w:tcPr>
          <w:p w14:paraId="440E08DE">
            <w:pPr>
              <w:widowControl/>
              <w:jc w:val="left"/>
              <w:rPr>
                <w:rFonts w:ascii="新宋体" w:hAnsi="新宋体" w:eastAsia="新宋体" w:cs="Arial"/>
                <w:color w:val="auto"/>
                <w:kern w:val="0"/>
                <w:sz w:val="20"/>
                <w:highlight w:val="none"/>
              </w:rPr>
            </w:pPr>
          </w:p>
        </w:tc>
        <w:tc>
          <w:tcPr>
            <w:tcW w:w="942" w:type="dxa"/>
            <w:vMerge w:val="continue"/>
            <w:noWrap/>
            <w:vAlign w:val="center"/>
          </w:tcPr>
          <w:p w14:paraId="74F01CCD">
            <w:pPr>
              <w:widowControl/>
              <w:jc w:val="left"/>
              <w:rPr>
                <w:rFonts w:ascii="新宋体" w:hAnsi="新宋体" w:eastAsia="新宋体" w:cs="Arial"/>
                <w:color w:val="auto"/>
                <w:kern w:val="0"/>
                <w:sz w:val="20"/>
                <w:highlight w:val="none"/>
              </w:rPr>
            </w:pPr>
          </w:p>
        </w:tc>
        <w:tc>
          <w:tcPr>
            <w:tcW w:w="460" w:type="dxa"/>
            <w:vMerge w:val="continue"/>
            <w:noWrap/>
            <w:vAlign w:val="center"/>
          </w:tcPr>
          <w:p w14:paraId="7E890E03">
            <w:pPr>
              <w:widowControl/>
              <w:jc w:val="left"/>
              <w:rPr>
                <w:rFonts w:ascii="新宋体" w:hAnsi="新宋体" w:eastAsia="新宋体" w:cs="Arial"/>
                <w:color w:val="auto"/>
                <w:kern w:val="0"/>
                <w:sz w:val="20"/>
                <w:highlight w:val="none"/>
              </w:rPr>
            </w:pPr>
          </w:p>
        </w:tc>
        <w:tc>
          <w:tcPr>
            <w:tcW w:w="682" w:type="dxa"/>
            <w:noWrap/>
            <w:vAlign w:val="center"/>
          </w:tcPr>
          <w:p w14:paraId="7ED45C98">
            <w:pPr>
              <w:widowControl/>
              <w:jc w:val="left"/>
              <w:rPr>
                <w:rFonts w:ascii="新宋体" w:hAnsi="新宋体" w:eastAsia="新宋体" w:cs="Arial"/>
                <w:color w:val="auto"/>
                <w:kern w:val="0"/>
                <w:sz w:val="20"/>
                <w:highlight w:val="none"/>
              </w:rPr>
            </w:pPr>
          </w:p>
        </w:tc>
        <w:tc>
          <w:tcPr>
            <w:tcW w:w="840" w:type="dxa"/>
            <w:noWrap/>
            <w:vAlign w:val="bottom"/>
          </w:tcPr>
          <w:p w14:paraId="07C2CACB">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840" w:type="dxa"/>
            <w:noWrap/>
            <w:vAlign w:val="bottom"/>
          </w:tcPr>
          <w:p w14:paraId="324AA48A">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2526" w:type="dxa"/>
            <w:noWrap/>
            <w:vAlign w:val="center"/>
          </w:tcPr>
          <w:p w14:paraId="125898FE">
            <w:pPr>
              <w:widowControl/>
              <w:jc w:val="center"/>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1684" w:type="dxa"/>
            <w:noWrap/>
            <w:vAlign w:val="center"/>
          </w:tcPr>
          <w:p w14:paraId="0D639579">
            <w:pPr>
              <w:widowControl/>
              <w:jc w:val="center"/>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853" w:type="dxa"/>
            <w:noWrap/>
            <w:vAlign w:val="bottom"/>
          </w:tcPr>
          <w:p w14:paraId="35B09A6A">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608" w:type="dxa"/>
            <w:noWrap/>
            <w:vAlign w:val="bottom"/>
          </w:tcPr>
          <w:p w14:paraId="35B148A4">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c>
          <w:tcPr>
            <w:tcW w:w="1027" w:type="dxa"/>
            <w:noWrap/>
            <w:vAlign w:val="bottom"/>
          </w:tcPr>
          <w:p w14:paraId="2F82E6B6">
            <w:pPr>
              <w:widowControl/>
              <w:jc w:val="left"/>
              <w:rPr>
                <w:rFonts w:ascii="新宋体" w:hAnsi="新宋体" w:eastAsia="新宋体" w:cs="Arial"/>
                <w:color w:val="auto"/>
                <w:kern w:val="0"/>
                <w:sz w:val="20"/>
                <w:highlight w:val="none"/>
              </w:rPr>
            </w:pPr>
            <w:r>
              <w:rPr>
                <w:rFonts w:ascii="新宋体" w:hAnsi="新宋体" w:eastAsia="新宋体" w:cs="Arial"/>
                <w:color w:val="auto"/>
                <w:kern w:val="0"/>
                <w:sz w:val="20"/>
                <w:highlight w:val="none"/>
              </w:rPr>
              <w:t>　</w:t>
            </w:r>
          </w:p>
        </w:tc>
      </w:tr>
    </w:tbl>
    <w:p w14:paraId="6AB8B5C0">
      <w:pPr>
        <w:pStyle w:val="3"/>
        <w:keepNext w:val="0"/>
        <w:keepLines w:val="0"/>
        <w:pageBreakBefore/>
        <w:widowControl w:val="0"/>
        <w:kinsoku/>
        <w:wordWrap/>
        <w:overflowPunct/>
        <w:topLinePunct w:val="0"/>
        <w:autoSpaceDE/>
        <w:autoSpaceDN/>
        <w:bidi w:val="0"/>
        <w:adjustRightInd/>
        <w:snapToGrid/>
        <w:spacing w:before="0" w:after="0" w:line="360" w:lineRule="auto"/>
        <w:ind w:firstLine="2891" w:firstLineChars="800"/>
        <w:jc w:val="left"/>
        <w:textAlignment w:val="auto"/>
        <w:rPr>
          <w:rFonts w:hint="eastAsia" w:ascii="宋体" w:hAnsi="宋体" w:eastAsia="宋体" w:cs="Times New Roman"/>
          <w:color w:val="auto"/>
          <w:sz w:val="36"/>
          <w:szCs w:val="36"/>
          <w:highlight w:val="none"/>
        </w:rPr>
      </w:pPr>
      <w:bookmarkStart w:id="83" w:name="_Toc5546"/>
      <w:r>
        <w:rPr>
          <w:rFonts w:hint="eastAsia" w:ascii="宋体" w:hAnsi="宋体" w:eastAsia="宋体" w:cs="Times New Roman"/>
          <w:color w:val="auto"/>
          <w:sz w:val="36"/>
          <w:szCs w:val="36"/>
          <w:highlight w:val="none"/>
        </w:rPr>
        <w:t>第</w:t>
      </w:r>
      <w:r>
        <w:rPr>
          <w:rFonts w:hint="eastAsia" w:ascii="宋体" w:hAnsi="宋体" w:cs="Times New Roman"/>
          <w:color w:val="auto"/>
          <w:sz w:val="36"/>
          <w:szCs w:val="36"/>
          <w:highlight w:val="none"/>
          <w:lang w:val="en-US" w:eastAsia="zh-CN"/>
        </w:rPr>
        <w:t>八</w:t>
      </w:r>
      <w:r>
        <w:rPr>
          <w:rFonts w:hint="eastAsia" w:ascii="宋体" w:hAnsi="宋体" w:eastAsia="宋体" w:cs="Times New Roman"/>
          <w:color w:val="auto"/>
          <w:sz w:val="36"/>
          <w:szCs w:val="36"/>
          <w:highlight w:val="none"/>
        </w:rPr>
        <w:t>章  投标文件部分格式</w:t>
      </w:r>
      <w:bookmarkEnd w:id="83"/>
    </w:p>
    <w:p w14:paraId="2A296100">
      <w:pPr>
        <w:pStyle w:val="4"/>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4" w:name="_Toc19654"/>
      <w:r>
        <w:rPr>
          <w:rFonts w:hint="eastAsia" w:ascii="宋体" w:hAnsi="宋体" w:eastAsia="宋体" w:cs="宋体"/>
          <w:color w:val="auto"/>
          <w:sz w:val="21"/>
          <w:szCs w:val="21"/>
          <w:highlight w:val="none"/>
        </w:rPr>
        <w:t>一、资格响应文件、商务技术响应文件部分格式</w:t>
      </w:r>
      <w:bookmarkEnd w:id="84"/>
    </w:p>
    <w:p w14:paraId="3F8C8F37">
      <w:pPr>
        <w:tabs>
          <w:tab w:val="left" w:pos="1050"/>
        </w:tabs>
        <w:spacing w:line="520" w:lineRule="exact"/>
        <w:ind w:left="528"/>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hAnsi="宋体" w:cs="宋体"/>
          <w:b w:val="0"/>
          <w:bCs/>
          <w:color w:val="auto"/>
          <w:sz w:val="21"/>
          <w:szCs w:val="21"/>
          <w:highlight w:val="none"/>
          <w:lang w:val="en-US" w:eastAsia="zh-CN"/>
        </w:rPr>
        <w:t>法定代表人</w:t>
      </w:r>
      <w:r>
        <w:rPr>
          <w:rFonts w:hint="eastAsia" w:ascii="宋体" w:hAnsi="宋体" w:eastAsia="宋体" w:cs="宋体"/>
          <w:b w:val="0"/>
          <w:bCs/>
          <w:color w:val="auto"/>
          <w:sz w:val="21"/>
          <w:szCs w:val="21"/>
          <w:highlight w:val="none"/>
        </w:rPr>
        <w:t>授权委托书及被授权人身份证</w:t>
      </w:r>
      <w:r>
        <w:rPr>
          <w:rFonts w:hint="eastAsia" w:ascii="宋体" w:hAnsi="宋体" w:eastAsia="宋体" w:cs="宋体"/>
          <w:color w:val="auto"/>
          <w:sz w:val="21"/>
          <w:szCs w:val="21"/>
          <w:highlight w:val="none"/>
          <w:lang w:eastAsia="zh-CN"/>
        </w:rPr>
        <w:t>复印件</w:t>
      </w:r>
      <w:r>
        <w:rPr>
          <w:rFonts w:hint="eastAsia" w:ascii="宋体" w:hAnsi="宋体" w:eastAsia="宋体" w:cs="宋体"/>
          <w:b w:val="0"/>
          <w:bCs/>
          <w:color w:val="auto"/>
          <w:sz w:val="21"/>
          <w:szCs w:val="21"/>
          <w:highlight w:val="none"/>
        </w:rPr>
        <w:t>［适用于非法定代表人参加投标的,说明：法定代表人以营业执照载明的人员为准］；</w:t>
      </w:r>
      <w:r>
        <w:rPr>
          <w:rFonts w:hint="eastAsia" w:ascii="宋体" w:hAnsi="宋体" w:eastAsia="宋体" w:cs="宋体"/>
          <w:color w:val="auto"/>
          <w:sz w:val="21"/>
          <w:szCs w:val="21"/>
          <w:highlight w:val="none"/>
          <w:lang w:eastAsia="zh-CN"/>
        </w:rPr>
        <w:t>或法定代表人身份证复印件［适用于法定代表人参加投标的］</w:t>
      </w:r>
    </w:p>
    <w:p w14:paraId="0159482D">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2.义乌市国企采购项目投标承诺书</w:t>
      </w:r>
    </w:p>
    <w:p w14:paraId="1791BE83">
      <w:pPr>
        <w:tabs>
          <w:tab w:val="left" w:pos="1050"/>
        </w:tabs>
        <w:spacing w:line="520" w:lineRule="exact"/>
        <w:ind w:left="528"/>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规范偏离表</w:t>
      </w:r>
    </w:p>
    <w:p w14:paraId="641397E7">
      <w:pPr>
        <w:tabs>
          <w:tab w:val="left" w:pos="1050"/>
        </w:tabs>
        <w:spacing w:line="520" w:lineRule="exact"/>
        <w:ind w:left="528"/>
        <w:rPr>
          <w:rFonts w:hint="eastAsia" w:ascii="宋体" w:hAnsi="宋体" w:eastAsia="宋体" w:cs="宋体"/>
          <w:b w:val="0"/>
          <w:bCs w:val="0"/>
          <w:strike w:val="0"/>
          <w:dstrike w:val="0"/>
          <w:color w:val="auto"/>
          <w:sz w:val="21"/>
          <w:szCs w:val="21"/>
          <w:highlight w:val="none"/>
        </w:rPr>
      </w:pPr>
      <w:r>
        <w:rPr>
          <w:rFonts w:hint="eastAsia" w:ascii="宋体" w:hAnsi="宋体" w:eastAsia="宋体" w:cs="宋体"/>
          <w:b w:val="0"/>
          <w:bCs w:val="0"/>
          <w:strike w:val="0"/>
          <w:dstrike w:val="0"/>
          <w:color w:val="auto"/>
          <w:sz w:val="21"/>
          <w:szCs w:val="21"/>
          <w:highlight w:val="none"/>
          <w:lang w:val="en-US" w:eastAsia="zh-CN"/>
        </w:rPr>
        <w:t>4</w:t>
      </w:r>
      <w:r>
        <w:rPr>
          <w:rFonts w:hint="eastAsia" w:ascii="宋体" w:hAnsi="宋体" w:eastAsia="宋体" w:cs="宋体"/>
          <w:b w:val="0"/>
          <w:bCs w:val="0"/>
          <w:strike w:val="0"/>
          <w:dstrike w:val="0"/>
          <w:color w:val="auto"/>
          <w:sz w:val="21"/>
          <w:szCs w:val="21"/>
          <w:highlight w:val="none"/>
        </w:rPr>
        <w:t>、服务</w:t>
      </w:r>
      <w:r>
        <w:rPr>
          <w:rFonts w:hint="eastAsia" w:ascii="宋体" w:hAnsi="宋体" w:eastAsia="宋体" w:cs="宋体"/>
          <w:b w:val="0"/>
          <w:bCs w:val="0"/>
          <w:strike w:val="0"/>
          <w:dstrike w:val="0"/>
          <w:color w:val="auto"/>
          <w:kern w:val="0"/>
          <w:sz w:val="21"/>
          <w:szCs w:val="21"/>
          <w:highlight w:val="none"/>
        </w:rPr>
        <w:t>质量保证承诺书</w:t>
      </w:r>
    </w:p>
    <w:p w14:paraId="38A2D72C">
      <w:pPr>
        <w:tabs>
          <w:tab w:val="left" w:pos="1050"/>
        </w:tabs>
        <w:spacing w:line="520" w:lineRule="exact"/>
        <w:ind w:left="528"/>
        <w:rPr>
          <w:rFonts w:hint="eastAsia" w:ascii="宋体" w:hAnsi="宋体" w:eastAsia="宋体" w:cs="宋体"/>
          <w:b w:val="0"/>
          <w:bCs w:val="0"/>
          <w:strike w:val="0"/>
          <w:dstrike w:val="0"/>
          <w:color w:val="auto"/>
          <w:sz w:val="21"/>
          <w:szCs w:val="21"/>
          <w:highlight w:val="none"/>
        </w:rPr>
      </w:pPr>
      <w:r>
        <w:rPr>
          <w:rFonts w:hint="eastAsia" w:ascii="宋体" w:hAnsi="宋体" w:eastAsia="宋体" w:cs="宋体"/>
          <w:b w:val="0"/>
          <w:bCs w:val="0"/>
          <w:strike w:val="0"/>
          <w:dstrike w:val="0"/>
          <w:color w:val="auto"/>
          <w:sz w:val="21"/>
          <w:szCs w:val="21"/>
          <w:highlight w:val="none"/>
          <w:lang w:val="en-US" w:eastAsia="zh-CN"/>
        </w:rPr>
        <w:t>5</w:t>
      </w:r>
      <w:r>
        <w:rPr>
          <w:rFonts w:hint="eastAsia" w:ascii="宋体" w:hAnsi="宋体" w:eastAsia="宋体" w:cs="宋体"/>
          <w:b w:val="0"/>
          <w:bCs w:val="0"/>
          <w:strike w:val="0"/>
          <w:dstrike w:val="0"/>
          <w:color w:val="auto"/>
          <w:sz w:val="21"/>
          <w:szCs w:val="21"/>
          <w:highlight w:val="none"/>
        </w:rPr>
        <w:t>、设备工具材料简要说明一览表</w:t>
      </w:r>
    </w:p>
    <w:p w14:paraId="125D2FB9">
      <w:pPr>
        <w:tabs>
          <w:tab w:val="left" w:pos="1050"/>
        </w:tabs>
        <w:spacing w:line="520" w:lineRule="exact"/>
        <w:ind w:left="528"/>
        <w:rPr>
          <w:rFonts w:hint="eastAsia" w:ascii="宋体" w:hAnsi="宋体" w:eastAsia="宋体" w:cs="宋体"/>
          <w:sz w:val="21"/>
          <w:szCs w:val="21"/>
        </w:rPr>
      </w:pPr>
      <w:r>
        <w:rPr>
          <w:rFonts w:hint="eastAsia" w:ascii="宋体" w:hAnsi="宋体" w:eastAsia="宋体" w:cs="宋体"/>
          <w:sz w:val="21"/>
          <w:szCs w:val="21"/>
          <w:lang w:val="en-US" w:eastAsia="zh-CN"/>
        </w:rPr>
        <w:t>6、按时支付工人工资的承诺书</w:t>
      </w:r>
    </w:p>
    <w:p w14:paraId="3538AF74">
      <w:pPr>
        <w:tabs>
          <w:tab w:val="left" w:pos="1050"/>
        </w:tabs>
        <w:spacing w:line="520" w:lineRule="exact"/>
        <w:ind w:left="528"/>
        <w:rPr>
          <w:rFonts w:hint="eastAsia" w:ascii="宋体" w:hAnsi="宋体" w:eastAsia="宋体" w:cs="宋体"/>
          <w:color w:val="auto"/>
          <w:sz w:val="21"/>
          <w:szCs w:val="21"/>
          <w:highlight w:val="none"/>
        </w:rPr>
      </w:pPr>
    </w:p>
    <w:p w14:paraId="6CA7C798">
      <w:pPr>
        <w:tabs>
          <w:tab w:val="left" w:pos="1050"/>
        </w:tabs>
        <w:spacing w:line="520" w:lineRule="exact"/>
        <w:ind w:left="528"/>
        <w:rPr>
          <w:rFonts w:hint="eastAsia" w:ascii="宋体" w:hAnsi="宋体" w:eastAsia="宋体" w:cs="宋体"/>
          <w:color w:val="auto"/>
          <w:sz w:val="21"/>
          <w:szCs w:val="21"/>
          <w:highlight w:val="none"/>
        </w:rPr>
      </w:pPr>
    </w:p>
    <w:p w14:paraId="3CC3EFDE">
      <w:pPr>
        <w:pStyle w:val="4"/>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5" w:name="_Toc27982"/>
      <w:r>
        <w:rPr>
          <w:rFonts w:hint="eastAsia" w:ascii="宋体" w:hAnsi="宋体" w:eastAsia="宋体" w:cs="宋体"/>
          <w:color w:val="auto"/>
          <w:sz w:val="21"/>
          <w:szCs w:val="21"/>
          <w:highlight w:val="none"/>
        </w:rPr>
        <w:t>二、报价响应文件部分格式</w:t>
      </w:r>
      <w:bookmarkEnd w:id="85"/>
    </w:p>
    <w:p w14:paraId="61DED980">
      <w:pPr>
        <w:tabs>
          <w:tab w:val="left" w:pos="108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开标一览表格式</w:t>
      </w:r>
    </w:p>
    <w:p w14:paraId="321C626A">
      <w:pPr>
        <w:spacing w:line="340" w:lineRule="exact"/>
        <w:rPr>
          <w:rFonts w:hint="eastAsia" w:ascii="宋体" w:hAnsi="宋体" w:eastAsia="宋体" w:cs="宋体"/>
          <w:color w:val="auto"/>
          <w:sz w:val="21"/>
          <w:szCs w:val="21"/>
          <w:highlight w:val="none"/>
        </w:rPr>
      </w:pPr>
    </w:p>
    <w:p w14:paraId="3DDD6445">
      <w:pPr>
        <w:spacing w:line="340" w:lineRule="exact"/>
        <w:rPr>
          <w:rFonts w:hint="eastAsia" w:ascii="宋体" w:hAnsi="宋体" w:eastAsia="宋体" w:cs="宋体"/>
          <w:color w:val="auto"/>
          <w:sz w:val="21"/>
          <w:szCs w:val="21"/>
          <w:highlight w:val="none"/>
        </w:rPr>
      </w:pPr>
    </w:p>
    <w:p w14:paraId="18742A40">
      <w:pPr>
        <w:pStyle w:val="4"/>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6" w:name="_Toc11470"/>
      <w:r>
        <w:rPr>
          <w:rFonts w:hint="eastAsia" w:ascii="宋体" w:hAnsi="宋体" w:eastAsia="宋体" w:cs="宋体"/>
          <w:color w:val="auto"/>
          <w:sz w:val="21"/>
          <w:szCs w:val="21"/>
          <w:highlight w:val="none"/>
        </w:rPr>
        <w:t>三、质疑函范本</w:t>
      </w:r>
      <w:bookmarkEnd w:id="86"/>
    </w:p>
    <w:p w14:paraId="4FD7C2DE">
      <w:pPr>
        <w:spacing w:line="340" w:lineRule="exact"/>
        <w:rPr>
          <w:rFonts w:hint="eastAsia" w:ascii="宋体" w:hAnsi="宋体" w:eastAsia="宋体" w:cs="宋体"/>
          <w:color w:val="auto"/>
          <w:sz w:val="21"/>
          <w:szCs w:val="21"/>
          <w:highlight w:val="none"/>
        </w:rPr>
      </w:pPr>
    </w:p>
    <w:p w14:paraId="1810E7F7">
      <w:pPr>
        <w:spacing w:line="340" w:lineRule="exact"/>
        <w:rPr>
          <w:rFonts w:hint="eastAsia" w:ascii="宋体" w:hAnsi="宋体" w:eastAsia="宋体" w:cs="宋体"/>
          <w:color w:val="auto"/>
          <w:sz w:val="21"/>
          <w:szCs w:val="21"/>
          <w:highlight w:val="none"/>
        </w:rPr>
      </w:pPr>
    </w:p>
    <w:p w14:paraId="710D92E3">
      <w:pPr>
        <w:spacing w:line="340" w:lineRule="exact"/>
        <w:rPr>
          <w:rFonts w:ascii="宋体" w:cs="宋体"/>
          <w:color w:val="auto"/>
          <w:sz w:val="24"/>
          <w:highlight w:val="none"/>
        </w:rPr>
      </w:pPr>
    </w:p>
    <w:p w14:paraId="62FC2881">
      <w:pPr>
        <w:spacing w:line="340" w:lineRule="exact"/>
        <w:rPr>
          <w:rFonts w:ascii="宋体" w:cs="宋体"/>
          <w:color w:val="auto"/>
          <w:sz w:val="24"/>
          <w:highlight w:val="none"/>
        </w:rPr>
      </w:pPr>
    </w:p>
    <w:p w14:paraId="2024BF4A">
      <w:pPr>
        <w:spacing w:line="340" w:lineRule="exact"/>
        <w:rPr>
          <w:rFonts w:ascii="宋体" w:cs="宋体"/>
          <w:color w:val="auto"/>
          <w:sz w:val="24"/>
          <w:highlight w:val="none"/>
        </w:rPr>
      </w:pPr>
    </w:p>
    <w:p w14:paraId="049418BC">
      <w:pPr>
        <w:spacing w:line="340" w:lineRule="exact"/>
        <w:rPr>
          <w:rFonts w:ascii="宋体" w:cs="宋体"/>
          <w:color w:val="auto"/>
          <w:sz w:val="24"/>
          <w:highlight w:val="none"/>
        </w:rPr>
      </w:pPr>
    </w:p>
    <w:p w14:paraId="3E896A1B">
      <w:pPr>
        <w:spacing w:line="340" w:lineRule="exact"/>
        <w:rPr>
          <w:rFonts w:ascii="宋体" w:cs="宋体"/>
          <w:color w:val="auto"/>
          <w:sz w:val="24"/>
          <w:highlight w:val="none"/>
        </w:rPr>
      </w:pPr>
    </w:p>
    <w:p w14:paraId="5DD672D9">
      <w:pPr>
        <w:spacing w:line="340" w:lineRule="exact"/>
        <w:rPr>
          <w:rFonts w:ascii="宋体" w:cs="宋体"/>
          <w:color w:val="auto"/>
          <w:sz w:val="24"/>
          <w:highlight w:val="none"/>
        </w:rPr>
      </w:pPr>
    </w:p>
    <w:p w14:paraId="4BFC5546">
      <w:pPr>
        <w:spacing w:line="340" w:lineRule="exact"/>
        <w:rPr>
          <w:rFonts w:ascii="宋体" w:cs="宋体"/>
          <w:color w:val="auto"/>
          <w:sz w:val="24"/>
          <w:highlight w:val="none"/>
        </w:rPr>
      </w:pPr>
    </w:p>
    <w:p w14:paraId="30601998">
      <w:pPr>
        <w:spacing w:line="340" w:lineRule="exact"/>
        <w:rPr>
          <w:rFonts w:ascii="宋体" w:cs="宋体"/>
          <w:color w:val="auto"/>
          <w:sz w:val="24"/>
          <w:highlight w:val="none"/>
        </w:rPr>
      </w:pPr>
    </w:p>
    <w:p w14:paraId="51CE6F45">
      <w:pPr>
        <w:spacing w:line="340" w:lineRule="exact"/>
        <w:rPr>
          <w:rFonts w:ascii="宋体" w:cs="宋体"/>
          <w:color w:val="auto"/>
          <w:sz w:val="24"/>
          <w:highlight w:val="none"/>
        </w:rPr>
      </w:pPr>
    </w:p>
    <w:p w14:paraId="13DAD196">
      <w:pPr>
        <w:spacing w:line="340" w:lineRule="exact"/>
        <w:rPr>
          <w:rFonts w:ascii="宋体" w:cs="宋体"/>
          <w:color w:val="auto"/>
          <w:sz w:val="24"/>
          <w:highlight w:val="none"/>
        </w:rPr>
      </w:pPr>
    </w:p>
    <w:p w14:paraId="75EE1980">
      <w:pPr>
        <w:pageBreakBefore w:val="0"/>
        <w:widowControl w:val="0"/>
        <w:kinsoku/>
        <w:wordWrap/>
        <w:overflowPunct/>
        <w:topLinePunct w:val="0"/>
        <w:autoSpaceDE/>
        <w:autoSpaceDN/>
        <w:bidi w:val="0"/>
        <w:spacing w:before="120" w:after="120" w:line="360" w:lineRule="auto"/>
        <w:outlineLvl w:val="9"/>
        <w:rPr>
          <w:rFonts w:hint="eastAsia" w:ascii="宋体" w:hAnsi="宋体" w:eastAsia="宋体" w:cs="宋体"/>
          <w:color w:val="auto"/>
          <w:sz w:val="21"/>
          <w:szCs w:val="21"/>
          <w:highlight w:val="none"/>
        </w:rPr>
      </w:pPr>
    </w:p>
    <w:p w14:paraId="4EA5CF06">
      <w:pPr>
        <w:rPr>
          <w:rFonts w:hint="eastAsia" w:ascii="宋体" w:hAnsi="宋体"/>
          <w:color w:val="auto"/>
          <w:sz w:val="52"/>
          <w:highlight w:val="none"/>
          <w:u w:val="single"/>
        </w:rPr>
      </w:pPr>
      <w:r>
        <w:rPr>
          <w:rFonts w:hint="eastAsia" w:ascii="宋体" w:hAnsi="宋体"/>
          <w:b/>
          <w:bCs/>
          <w:color w:val="auto"/>
          <w:sz w:val="28"/>
          <w:highlight w:val="none"/>
        </w:rPr>
        <w:br w:type="page"/>
      </w:r>
      <w:r>
        <w:rPr>
          <w:rFonts w:hint="eastAsia" w:ascii="宋体" w:hAnsi="宋体"/>
          <w:b/>
          <w:bCs/>
          <w:color w:val="auto"/>
          <w:sz w:val="28"/>
          <w:highlight w:val="none"/>
        </w:rPr>
        <w:t>封面格式</w:t>
      </w:r>
    </w:p>
    <w:p w14:paraId="1003E54B">
      <w:pPr>
        <w:jc w:val="right"/>
        <w:rPr>
          <w:rFonts w:hint="eastAsia" w:ascii="宋体" w:hAnsi="宋体"/>
          <w:b/>
          <w:color w:val="auto"/>
          <w:sz w:val="30"/>
          <w:szCs w:val="30"/>
          <w:highlight w:val="none"/>
        </w:rPr>
      </w:pPr>
      <w:r>
        <w:rPr>
          <w:rFonts w:hint="eastAsia" w:ascii="宋体" w:hAnsi="宋体"/>
          <w:b/>
          <w:color w:val="auto"/>
          <w:sz w:val="30"/>
          <w:szCs w:val="30"/>
          <w:highlight w:val="none"/>
        </w:rPr>
        <w:t>正本（副本）</w:t>
      </w:r>
    </w:p>
    <w:p w14:paraId="0FA1639B">
      <w:pPr>
        <w:jc w:val="center"/>
        <w:rPr>
          <w:rFonts w:hint="eastAsia" w:ascii="宋体" w:hAnsi="宋体"/>
          <w:color w:val="auto"/>
          <w:sz w:val="24"/>
          <w:highlight w:val="none"/>
          <w:u w:val="single"/>
        </w:rPr>
      </w:pPr>
    </w:p>
    <w:p w14:paraId="1E2A6BB5">
      <w:pPr>
        <w:jc w:val="center"/>
        <w:rPr>
          <w:rFonts w:hint="eastAsia" w:ascii="宋体" w:hAnsi="宋体"/>
          <w:color w:val="auto"/>
          <w:sz w:val="24"/>
          <w:highlight w:val="none"/>
          <w:u w:val="single"/>
        </w:rPr>
      </w:pPr>
    </w:p>
    <w:p w14:paraId="20385883">
      <w:pPr>
        <w:jc w:val="center"/>
        <w:rPr>
          <w:rFonts w:ascii="宋体" w:hAnsi="宋体"/>
          <w:color w:val="auto"/>
          <w:sz w:val="52"/>
          <w:highlight w:val="none"/>
        </w:rPr>
      </w:pPr>
      <w:r>
        <w:rPr>
          <w:rFonts w:hint="eastAsia" w:ascii="宋体" w:hAnsi="宋体"/>
          <w:color w:val="auto"/>
          <w:sz w:val="52"/>
          <w:highlight w:val="none"/>
          <w:u w:val="single"/>
        </w:rPr>
        <w:t xml:space="preserve">                        </w:t>
      </w:r>
      <w:r>
        <w:rPr>
          <w:rFonts w:hint="eastAsia" w:ascii="宋体" w:hAnsi="宋体"/>
          <w:color w:val="auto"/>
          <w:sz w:val="52"/>
          <w:highlight w:val="none"/>
        </w:rPr>
        <w:t>项目</w:t>
      </w:r>
    </w:p>
    <w:p w14:paraId="1B8E27FC">
      <w:pPr>
        <w:rPr>
          <w:rFonts w:hint="eastAsia" w:ascii="宋体" w:hAnsi="宋体"/>
          <w:color w:val="auto"/>
          <w:sz w:val="52"/>
          <w:highlight w:val="none"/>
        </w:rPr>
      </w:pPr>
    </w:p>
    <w:p w14:paraId="2CB28D62">
      <w:pPr>
        <w:jc w:val="center"/>
        <w:rPr>
          <w:rFonts w:hint="eastAsia" w:ascii="宋体" w:hAnsi="宋体"/>
          <w:b/>
          <w:bCs/>
          <w:color w:val="auto"/>
          <w:sz w:val="72"/>
          <w:highlight w:val="none"/>
        </w:rPr>
      </w:pPr>
      <w:r>
        <w:rPr>
          <w:rFonts w:hint="eastAsia" w:ascii="宋体" w:hAnsi="宋体"/>
          <w:b/>
          <w:bCs/>
          <w:color w:val="auto"/>
          <w:sz w:val="72"/>
          <w:highlight w:val="none"/>
        </w:rPr>
        <w:t>投标文件</w:t>
      </w:r>
    </w:p>
    <w:p w14:paraId="15C7EA2E">
      <w:pPr>
        <w:jc w:val="center"/>
        <w:rPr>
          <w:rFonts w:hint="eastAsia" w:ascii="宋体" w:hAnsi="宋体"/>
          <w:b/>
          <w:bCs/>
          <w:color w:val="auto"/>
          <w:sz w:val="28"/>
          <w:highlight w:val="none"/>
        </w:rPr>
      </w:pPr>
      <w:r>
        <w:rPr>
          <w:rFonts w:hint="eastAsia" w:ascii="宋体" w:hAnsi="宋体"/>
          <w:b/>
          <w:bCs/>
          <w:color w:val="auto"/>
          <w:sz w:val="28"/>
          <w:highlight w:val="none"/>
        </w:rPr>
        <w:t>（采购编号）</w:t>
      </w:r>
    </w:p>
    <w:p w14:paraId="62E9B840">
      <w:pPr>
        <w:jc w:val="center"/>
        <w:rPr>
          <w:rFonts w:hint="eastAsia" w:ascii="宋体" w:hAnsi="宋体"/>
          <w:b/>
          <w:bCs/>
          <w:color w:val="auto"/>
          <w:sz w:val="28"/>
          <w:highlight w:val="none"/>
        </w:rPr>
      </w:pPr>
    </w:p>
    <w:p w14:paraId="0F30677C">
      <w:pPr>
        <w:jc w:val="center"/>
        <w:rPr>
          <w:rFonts w:hint="eastAsia" w:ascii="宋体" w:hAnsi="宋体"/>
          <w:b/>
          <w:bCs/>
          <w:color w:val="auto"/>
          <w:sz w:val="28"/>
          <w:highlight w:val="none"/>
        </w:rPr>
      </w:pPr>
    </w:p>
    <w:p w14:paraId="5FADE7D7">
      <w:pPr>
        <w:jc w:val="center"/>
        <w:rPr>
          <w:rFonts w:hint="eastAsia" w:ascii="宋体" w:hAnsi="宋体"/>
          <w:b/>
          <w:bCs/>
          <w:color w:val="auto"/>
          <w:sz w:val="28"/>
          <w:highlight w:val="none"/>
        </w:rPr>
      </w:pPr>
    </w:p>
    <w:p w14:paraId="0AEFDA82">
      <w:pPr>
        <w:jc w:val="center"/>
        <w:rPr>
          <w:rFonts w:hint="eastAsia" w:ascii="宋体" w:hAnsi="宋体"/>
          <w:b/>
          <w:bCs/>
          <w:color w:val="auto"/>
          <w:sz w:val="28"/>
          <w:highlight w:val="none"/>
        </w:rPr>
      </w:pPr>
    </w:p>
    <w:p w14:paraId="1EA7FC4A">
      <w:pPr>
        <w:rPr>
          <w:rFonts w:hint="eastAsia" w:ascii="宋体" w:hAnsi="宋体"/>
          <w:b/>
          <w:bCs/>
          <w:color w:val="auto"/>
          <w:sz w:val="28"/>
          <w:highlight w:val="none"/>
        </w:rPr>
      </w:pPr>
    </w:p>
    <w:p w14:paraId="66C9A621">
      <w:pPr>
        <w:jc w:val="center"/>
        <w:rPr>
          <w:rFonts w:hint="eastAsia" w:ascii="宋体" w:hAnsi="宋体"/>
          <w:b/>
          <w:bCs/>
          <w:color w:val="auto"/>
          <w:sz w:val="28"/>
          <w:highlight w:val="none"/>
        </w:rPr>
      </w:pPr>
    </w:p>
    <w:p w14:paraId="6D191B41">
      <w:pPr>
        <w:spacing w:line="900" w:lineRule="exact"/>
        <w:ind w:firstLine="320" w:firstLineChars="100"/>
        <w:rPr>
          <w:rFonts w:hint="eastAsia" w:ascii="宋体" w:hAnsi="宋体"/>
          <w:color w:val="auto"/>
          <w:sz w:val="32"/>
          <w:highlight w:val="none"/>
          <w:u w:val="single"/>
        </w:rPr>
      </w:pPr>
      <w:r>
        <w:rPr>
          <w:rFonts w:hint="eastAsia" w:ascii="宋体" w:hAnsi="宋体"/>
          <w:color w:val="auto"/>
          <w:sz w:val="32"/>
          <w:highlight w:val="none"/>
        </w:rPr>
        <w:t>投标文件内容：</w:t>
      </w:r>
      <w:r>
        <w:rPr>
          <w:rFonts w:hint="eastAsia" w:ascii="宋体" w:hAnsi="宋体"/>
          <w:color w:val="auto"/>
          <w:sz w:val="32"/>
          <w:highlight w:val="none"/>
          <w:u w:val="single"/>
        </w:rPr>
        <w:t xml:space="preserve">           （资格、商务技术或报价响应文件）                    </w:t>
      </w:r>
    </w:p>
    <w:p w14:paraId="6F47F6D6">
      <w:pPr>
        <w:spacing w:line="900" w:lineRule="exact"/>
        <w:ind w:firstLine="313" w:firstLineChars="98"/>
        <w:rPr>
          <w:rFonts w:hint="eastAsia" w:ascii="宋体" w:hAnsi="宋体"/>
          <w:color w:val="auto"/>
          <w:sz w:val="32"/>
          <w:highlight w:val="none"/>
          <w:u w:val="single"/>
        </w:rPr>
      </w:pPr>
      <w:r>
        <w:rPr>
          <w:rFonts w:hint="eastAsia" w:ascii="宋体" w:hAnsi="宋体"/>
          <w:color w:val="auto"/>
          <w:sz w:val="32"/>
          <w:highlight w:val="none"/>
        </w:rPr>
        <w:t>投   标   人：</w:t>
      </w:r>
      <w:r>
        <w:rPr>
          <w:rFonts w:hint="eastAsia" w:ascii="宋体" w:hAnsi="宋体"/>
          <w:color w:val="auto"/>
          <w:sz w:val="32"/>
          <w:highlight w:val="none"/>
          <w:u w:val="single"/>
        </w:rPr>
        <w:t xml:space="preserve">                              （电子签章）  </w:t>
      </w:r>
    </w:p>
    <w:p w14:paraId="6DF853A9">
      <w:pPr>
        <w:spacing w:line="900" w:lineRule="exact"/>
        <w:ind w:left="-4" w:leftChars="-2" w:firstLine="320" w:firstLineChars="100"/>
        <w:rPr>
          <w:rFonts w:hint="eastAsia" w:ascii="宋体" w:hAnsi="宋体"/>
          <w:color w:val="auto"/>
          <w:sz w:val="32"/>
          <w:highlight w:val="none"/>
          <w:u w:val="single"/>
        </w:rPr>
      </w:pPr>
      <w:r>
        <w:rPr>
          <w:rFonts w:hint="eastAsia" w:ascii="宋体" w:hAnsi="宋体"/>
          <w:color w:val="auto"/>
          <w:sz w:val="32"/>
          <w:highlight w:val="none"/>
        </w:rPr>
        <w:t>法定代表人或其委托代理人：</w:t>
      </w:r>
      <w:r>
        <w:rPr>
          <w:rFonts w:hint="eastAsia" w:ascii="宋体" w:hAnsi="宋体"/>
          <w:color w:val="auto"/>
          <w:sz w:val="32"/>
          <w:highlight w:val="none"/>
          <w:u w:val="single"/>
        </w:rPr>
        <w:t xml:space="preserve">                （签字或盖章） </w:t>
      </w:r>
    </w:p>
    <w:p w14:paraId="60286A4E">
      <w:pPr>
        <w:spacing w:line="900" w:lineRule="exact"/>
        <w:ind w:firstLine="160" w:firstLineChars="50"/>
        <w:rPr>
          <w:rFonts w:hint="eastAsia" w:ascii="宋体" w:hAnsi="宋体"/>
          <w:color w:val="auto"/>
          <w:sz w:val="32"/>
          <w:highlight w:val="none"/>
        </w:rPr>
      </w:pPr>
      <w:r>
        <w:rPr>
          <w:rFonts w:hint="eastAsia" w:ascii="宋体" w:hAnsi="宋体"/>
          <w:color w:val="auto"/>
          <w:sz w:val="32"/>
          <w:highlight w:val="none"/>
        </w:rPr>
        <w:t xml:space="preserve"> 日 期：</w:t>
      </w:r>
      <w:r>
        <w:rPr>
          <w:rFonts w:hint="eastAsia"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rPr>
        <w:t xml:space="preserve">            </w:t>
      </w:r>
      <w:r>
        <w:rPr>
          <w:rFonts w:hint="eastAsia" w:ascii="宋体" w:hAnsi="宋体"/>
          <w:color w:val="auto"/>
          <w:sz w:val="32"/>
          <w:highlight w:val="none"/>
        </w:rPr>
        <w:t>月</w:t>
      </w:r>
      <w:r>
        <w:rPr>
          <w:rFonts w:hint="eastAsia" w:ascii="宋体" w:hAnsi="宋体"/>
          <w:color w:val="auto"/>
          <w:sz w:val="32"/>
          <w:highlight w:val="none"/>
          <w:u w:val="single"/>
        </w:rPr>
        <w:t xml:space="preserve">               </w:t>
      </w:r>
      <w:r>
        <w:rPr>
          <w:rFonts w:hint="eastAsia" w:ascii="宋体" w:hAnsi="宋体"/>
          <w:color w:val="auto"/>
          <w:sz w:val="32"/>
          <w:highlight w:val="none"/>
        </w:rPr>
        <w:t>日</w:t>
      </w:r>
    </w:p>
    <w:p w14:paraId="1DEE406F">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法定代表人授权书（格式）</w:t>
      </w:r>
    </w:p>
    <w:p w14:paraId="5513EFED">
      <w:pPr>
        <w:spacing w:line="480" w:lineRule="auto"/>
        <w:jc w:val="center"/>
        <w:rPr>
          <w:rFonts w:hint="eastAsia" w:ascii="宋体" w:hAnsi="宋体" w:cs="宋体"/>
          <w:b/>
          <w:color w:val="auto"/>
          <w:sz w:val="48"/>
          <w:highlight w:val="none"/>
        </w:rPr>
      </w:pPr>
    </w:p>
    <w:p w14:paraId="6E1DE2F5">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709B7013">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50110B57">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14:paraId="79F0594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14:paraId="6BF50CA5">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14:paraId="6ADAF50C">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  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身份证号码：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14:paraId="02714D9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14:paraId="257CCC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48431DD4">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14:paraId="183803E3">
      <w:pP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w:t>
      </w:r>
      <w:r>
        <w:rPr>
          <w:rFonts w:hint="eastAsia" w:ascii="宋体" w:hAnsi="宋体" w:cs="宋体"/>
          <w:color w:val="auto"/>
          <w:sz w:val="24"/>
          <w:highlight w:val="none"/>
          <w:lang w:val="en-US" w:eastAsia="zh-CN"/>
        </w:rPr>
        <w:t>电子签章</w:t>
      </w:r>
      <w:r>
        <w:rPr>
          <w:rFonts w:hint="eastAsia" w:ascii="宋体" w:hAnsi="宋体" w:cs="宋体"/>
          <w:color w:val="auto"/>
          <w:sz w:val="24"/>
          <w:highlight w:val="none"/>
        </w:rPr>
        <w:t>）：</w:t>
      </w:r>
    </w:p>
    <w:p w14:paraId="348CB9BA">
      <w:pP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2B88B577">
      <w:pP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B3214E4">
      <w:pPr>
        <w:spacing w:line="360" w:lineRule="auto"/>
        <w:rPr>
          <w:rFonts w:hint="eastAsia" w:ascii="宋体" w:hAnsi="宋体" w:cs="宋体"/>
          <w:color w:val="auto"/>
          <w:sz w:val="24"/>
          <w:highlight w:val="none"/>
        </w:rPr>
      </w:pPr>
    </w:p>
    <w:p w14:paraId="166D102B">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注：该表格适用于非法定代表人作为</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代表参加投标的。</w:t>
      </w:r>
    </w:p>
    <w:p w14:paraId="2686F622">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cs="宋体"/>
          <w:b/>
          <w:bCs/>
          <w:color w:val="auto"/>
          <w:sz w:val="36"/>
          <w:szCs w:val="36"/>
          <w:highlight w:val="none"/>
        </w:rPr>
        <w:br w:type="page"/>
      </w:r>
      <w:r>
        <w:rPr>
          <w:rFonts w:hint="eastAsia" w:ascii="宋体" w:hAnsi="宋体" w:eastAsia="宋体" w:cs="宋体"/>
          <w:b/>
          <w:color w:val="auto"/>
          <w:sz w:val="32"/>
          <w:szCs w:val="32"/>
          <w:highlight w:val="none"/>
        </w:rPr>
        <w:t>义乌市国企采购项目投标承诺书</w:t>
      </w:r>
    </w:p>
    <w:p w14:paraId="2F4D95F8">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720E0070">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2.自愿接受义乌市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（以下简称市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）的管理，并严格遵守市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制定的招投标管理制度、规范和纪律。</w:t>
      </w:r>
    </w:p>
    <w:p w14:paraId="543E4C42">
      <w:pPr>
        <w:pStyle w:val="18"/>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6BDED6F7">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4.积极主动配合市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的调查。及时、如实、全面地回答市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提出的问题，并在调查笔录中签字确认。如拒绝签字确认的，则视为我单位及有关工作人员认可调查笔录中的全部内容，并对最终的调查结果无任何异议，且自愿放弃一切救济途径。</w:t>
      </w:r>
    </w:p>
    <w:p w14:paraId="250B536F">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5.不转让、出借、涂改、伪造资质（资格）证书或者以其他方式允许其他单位（个人）以我单位（本人）名义承接业务。</w:t>
      </w:r>
    </w:p>
    <w:p w14:paraId="28D54CEC">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6.不与采购人或者其他投标人相互串通投标，围标，不以行贿等不正当手段谋取中标。</w:t>
      </w:r>
    </w:p>
    <w:p w14:paraId="3FF3B47A">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7.在招标、投标、报名、开标、评标、询标、中标、签订合同、合同备案等招投标全过程中提供的资料均真实、有效，不弄虚作假。</w:t>
      </w:r>
    </w:p>
    <w:p w14:paraId="1C6633B7">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8.我方已详细审核全部招标文件，包括修改文件(如果有的话)，及有关附件，我方同意放弃提出含糊不清或误解的权力。 </w:t>
      </w:r>
    </w:p>
    <w:p w14:paraId="28982494">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9.投标文件中未明确的内容按招标文件执行。</w:t>
      </w:r>
    </w:p>
    <w:p w14:paraId="34D81B99">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10.我方同意所递交的投标文件在招标期内有效，在此期间内我方有可能中标，我方将受此约束。</w:t>
      </w:r>
    </w:p>
    <w:p w14:paraId="6FCF43B3">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11.我方相信贵方的招标结果是公正、合法的，无论我方中标还是落标，我方将接受这一结果。 </w:t>
      </w:r>
    </w:p>
    <w:p w14:paraId="63385024">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12.一旦我方中标，我方将严格依照招标文件中的相关规定与招标方签订合同。</w:t>
      </w:r>
    </w:p>
    <w:p w14:paraId="0D9F2BF6">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13.不低于企业成本价投标，不恶意过高报价，不扰乱招投标的正常秩序。</w:t>
      </w:r>
    </w:p>
    <w:p w14:paraId="5BC62725">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14.按照法律法规和本项目招标文件规定的程序和方式进行异议和投诉，不越级投诉，不无理投诉。如捏造事实、伪造材料或者以非法手段取得证明材料进行投诉，给他人造成损失的，依法承担赔偿责任。</w:t>
      </w:r>
    </w:p>
    <w:p w14:paraId="417201F9">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上述承诺事项已认真逐项核对，均</w:t>
      </w:r>
      <w:r>
        <w:rPr>
          <w:rFonts w:hint="eastAsia" w:hAnsi="宋体" w:cs="宋体"/>
          <w:color w:val="auto"/>
          <w:sz w:val="24"/>
          <w:szCs w:val="24"/>
          <w:highlight w:val="none"/>
          <w:lang w:val="en-US" w:eastAsia="zh-CN"/>
        </w:rPr>
        <w:t>代表</w:t>
      </w:r>
      <w:r>
        <w:rPr>
          <w:rFonts w:hint="eastAsia" w:hAnsi="宋体" w:cs="宋体"/>
          <w:color w:val="auto"/>
          <w:sz w:val="24"/>
          <w:szCs w:val="24"/>
          <w:highlight w:val="none"/>
        </w:rPr>
        <w:t>我单位真实意见，愿承担任何责任。若有任何弄虚作假内容或未遵守上述约定的，经查实后，愿意放弃投标及中标资格。如我单位违反上述承诺事项，无条件接受市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或相关监管部门作出的任何管理和处理决定，并自愿承担一切不利的后果。</w:t>
      </w:r>
    </w:p>
    <w:p w14:paraId="0A682DD5">
      <w:pPr>
        <w:rPr>
          <w:rFonts w:hint="eastAsia"/>
          <w:color w:val="auto"/>
          <w:sz w:val="24"/>
          <w:szCs w:val="24"/>
          <w:highlight w:val="none"/>
        </w:rPr>
      </w:pPr>
    </w:p>
    <w:p w14:paraId="4CD8FCA6">
      <w:pPr>
        <w:pStyle w:val="18"/>
        <w:spacing w:line="380" w:lineRule="exact"/>
        <w:rPr>
          <w:rFonts w:hint="eastAsia" w:hAnsi="宋体" w:cs="宋体"/>
          <w:color w:val="auto"/>
          <w:sz w:val="24"/>
          <w:szCs w:val="24"/>
          <w:highlight w:val="none"/>
        </w:rPr>
      </w:pPr>
      <w:r>
        <w:rPr>
          <w:rFonts w:hint="eastAsia" w:hAnsi="宋体" w:cs="宋体"/>
          <w:color w:val="auto"/>
          <w:sz w:val="24"/>
          <w:szCs w:val="24"/>
          <w:highlight w:val="none"/>
        </w:rPr>
        <w:t>投标人（电子签章）：法定代表人或其授权的委托代理人（签字或盖章）：   年   月   日</w:t>
      </w:r>
    </w:p>
    <w:p w14:paraId="07F81102">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46010DDD">
      <w:pPr>
        <w:rPr>
          <w:rFonts w:hint="eastAsia"/>
          <w:color w:val="auto"/>
          <w:highlight w:val="none"/>
        </w:rPr>
        <w:sectPr>
          <w:headerReference r:id="rId11" w:type="default"/>
          <w:footerReference r:id="rId12" w:type="default"/>
          <w:pgSz w:w="11906" w:h="16838"/>
          <w:pgMar w:top="1246" w:right="1134" w:bottom="1440" w:left="141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033FF133">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规范偏离表</w:t>
      </w:r>
    </w:p>
    <w:p w14:paraId="0993558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招标编号：</w:t>
      </w:r>
    </w:p>
    <w:tbl>
      <w:tblPr>
        <w:tblStyle w:val="37"/>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14:paraId="7942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387E29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09B7B37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C56728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341074A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7513E5E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w:t>
            </w:r>
          </w:p>
          <w:p w14:paraId="1EE650A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1CA3608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p w14:paraId="1ABA025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详细说明</w:t>
            </w:r>
          </w:p>
        </w:tc>
      </w:tr>
      <w:tr w14:paraId="3C30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1EB8B46C">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151BB19">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F658785">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956A533">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7310FFE">
            <w:pPr>
              <w:spacing w:line="360" w:lineRule="auto"/>
              <w:rPr>
                <w:rFonts w:hint="eastAsia" w:ascii="宋体" w:hAnsi="宋体" w:eastAsia="宋体" w:cs="宋体"/>
                <w:color w:val="auto"/>
                <w:sz w:val="24"/>
                <w:highlight w:val="none"/>
              </w:rPr>
            </w:pPr>
          </w:p>
        </w:tc>
      </w:tr>
      <w:tr w14:paraId="2A8E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EA0970E">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FD042BF">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F3CCC01">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A2FF4DC">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80FE255">
            <w:pPr>
              <w:spacing w:line="360" w:lineRule="auto"/>
              <w:rPr>
                <w:rFonts w:hint="eastAsia" w:ascii="宋体" w:hAnsi="宋体" w:eastAsia="宋体" w:cs="宋体"/>
                <w:color w:val="auto"/>
                <w:sz w:val="24"/>
                <w:highlight w:val="none"/>
              </w:rPr>
            </w:pPr>
          </w:p>
        </w:tc>
      </w:tr>
      <w:tr w14:paraId="5DF9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C472672">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74B4083">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805D4C6">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50F674F">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112CCF5">
            <w:pPr>
              <w:spacing w:line="360" w:lineRule="auto"/>
              <w:rPr>
                <w:rFonts w:hint="eastAsia" w:ascii="宋体" w:hAnsi="宋体" w:eastAsia="宋体" w:cs="宋体"/>
                <w:color w:val="auto"/>
                <w:sz w:val="24"/>
                <w:highlight w:val="none"/>
              </w:rPr>
            </w:pPr>
          </w:p>
        </w:tc>
      </w:tr>
      <w:tr w14:paraId="7215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A330D9C">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082B2E0">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721F2F1">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8EAE460">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588AF63">
            <w:pPr>
              <w:spacing w:line="360" w:lineRule="auto"/>
              <w:rPr>
                <w:rFonts w:hint="eastAsia" w:ascii="宋体" w:hAnsi="宋体" w:eastAsia="宋体" w:cs="宋体"/>
                <w:color w:val="auto"/>
                <w:sz w:val="24"/>
                <w:highlight w:val="none"/>
              </w:rPr>
            </w:pPr>
          </w:p>
        </w:tc>
      </w:tr>
      <w:tr w14:paraId="1686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4AED4AB">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9DF8380">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CD6CF2E">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76E0E9B">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7FF7B83">
            <w:pPr>
              <w:spacing w:line="360" w:lineRule="auto"/>
              <w:rPr>
                <w:rFonts w:hint="eastAsia" w:ascii="宋体" w:hAnsi="宋体" w:eastAsia="宋体" w:cs="宋体"/>
                <w:color w:val="auto"/>
                <w:sz w:val="24"/>
                <w:highlight w:val="none"/>
              </w:rPr>
            </w:pPr>
          </w:p>
        </w:tc>
      </w:tr>
      <w:tr w14:paraId="5522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38CEDF6">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18CEB25">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29F2E97">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492AB26">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B6A3F60">
            <w:pPr>
              <w:spacing w:line="360" w:lineRule="auto"/>
              <w:rPr>
                <w:rFonts w:hint="eastAsia" w:ascii="宋体" w:hAnsi="宋体" w:eastAsia="宋体" w:cs="宋体"/>
                <w:color w:val="auto"/>
                <w:sz w:val="24"/>
                <w:highlight w:val="none"/>
              </w:rPr>
            </w:pPr>
          </w:p>
        </w:tc>
      </w:tr>
      <w:tr w14:paraId="401B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C491068">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2B43B4A">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5EB1468">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4A3DC9D">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82FA758">
            <w:pPr>
              <w:spacing w:line="360" w:lineRule="auto"/>
              <w:rPr>
                <w:rFonts w:hint="eastAsia" w:ascii="宋体" w:hAnsi="宋体" w:eastAsia="宋体" w:cs="宋体"/>
                <w:color w:val="auto"/>
                <w:sz w:val="24"/>
                <w:highlight w:val="none"/>
              </w:rPr>
            </w:pPr>
          </w:p>
        </w:tc>
      </w:tr>
      <w:tr w14:paraId="5664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1A5BEBB">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943B73B">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40E838C">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E92DDBE">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02729B2">
            <w:pPr>
              <w:spacing w:line="360" w:lineRule="auto"/>
              <w:rPr>
                <w:rFonts w:hint="eastAsia" w:ascii="宋体" w:hAnsi="宋体" w:eastAsia="宋体" w:cs="宋体"/>
                <w:color w:val="auto"/>
                <w:sz w:val="24"/>
                <w:highlight w:val="none"/>
              </w:rPr>
            </w:pPr>
          </w:p>
        </w:tc>
      </w:tr>
      <w:tr w14:paraId="7183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222523F">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EFF0C11">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6723576">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4E07D86">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BB4B337">
            <w:pPr>
              <w:spacing w:line="360" w:lineRule="auto"/>
              <w:rPr>
                <w:rFonts w:hint="eastAsia" w:ascii="宋体" w:hAnsi="宋体" w:eastAsia="宋体" w:cs="宋体"/>
                <w:color w:val="auto"/>
                <w:sz w:val="24"/>
                <w:highlight w:val="none"/>
              </w:rPr>
            </w:pPr>
          </w:p>
        </w:tc>
      </w:tr>
    </w:tbl>
    <w:p w14:paraId="1E712E33">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投标人名称（盖电子签章）：                      </w:t>
      </w:r>
    </w:p>
    <w:p w14:paraId="7F645A1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法定代表人（或负责人）或其授权的委托代理人签字：                   </w:t>
      </w:r>
    </w:p>
    <w:p w14:paraId="3D7A5CF0">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0435264C">
      <w:pPr>
        <w:spacing w:line="360" w:lineRule="auto"/>
        <w:rPr>
          <w:rFonts w:hint="eastAsia" w:ascii="宋体" w:hAnsi="宋体" w:cs="宋体"/>
          <w:color w:val="auto"/>
          <w:sz w:val="24"/>
          <w:highlight w:val="none"/>
        </w:rPr>
      </w:pPr>
    </w:p>
    <w:p w14:paraId="719A475A">
      <w:pPr>
        <w:spacing w:line="360" w:lineRule="auto"/>
        <w:rPr>
          <w:rFonts w:hint="eastAsia" w:ascii="宋体" w:hAnsi="宋体" w:cs="宋体"/>
          <w:color w:val="auto"/>
          <w:sz w:val="24"/>
          <w:highlight w:val="none"/>
        </w:rPr>
      </w:pPr>
      <w:r>
        <w:rPr>
          <w:rFonts w:hint="eastAsia" w:ascii="宋体" w:hAnsi="宋体" w:cs="宋体"/>
          <w:color w:val="auto"/>
          <w:sz w:val="24"/>
          <w:highlight w:val="none"/>
        </w:rPr>
        <w:t>备注：1.投标方应仔细对第三章招标货物清单及项目要求进行逐条分析，对于投标内容与招标文件内容有不一致的条款，则须在上表中列明并详细填写。</w:t>
      </w:r>
    </w:p>
    <w:p w14:paraId="74FF33C8">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2.如招标文件内容与投标文件内容都一致的，则本表可以在相关的签字、盖章后，不需要填写其他内容或在“偏离情况详细说明”栏内只填写一个无字。</w:t>
      </w:r>
    </w:p>
    <w:p w14:paraId="332BAA70">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3.此表在不改变表式内容的情况下可自行制作</w:t>
      </w:r>
    </w:p>
    <w:p w14:paraId="3F60504D">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0CC9A247">
      <w:pPr>
        <w:spacing w:line="360" w:lineRule="auto"/>
        <w:jc w:val="center"/>
        <w:rPr>
          <w:rFonts w:hint="eastAsia" w:ascii="宋体" w:hAnsi="宋体" w:cs="宋体"/>
          <w:b/>
          <w:bCs/>
          <w:strike w:val="0"/>
          <w:dstrike w:val="0"/>
          <w:color w:val="auto"/>
          <w:sz w:val="36"/>
          <w:szCs w:val="36"/>
          <w:highlight w:val="none"/>
        </w:rPr>
      </w:pPr>
      <w:r>
        <w:rPr>
          <w:rFonts w:hint="eastAsia" w:ascii="宋体" w:hAnsi="宋体" w:cs="宋体"/>
          <w:b/>
          <w:bCs/>
          <w:strike w:val="0"/>
          <w:dstrike w:val="0"/>
          <w:color w:val="auto"/>
          <w:sz w:val="36"/>
          <w:szCs w:val="36"/>
          <w:highlight w:val="none"/>
        </w:rPr>
        <w:t>服务质量保证承诺书</w:t>
      </w:r>
    </w:p>
    <w:p w14:paraId="29009CB8">
      <w:pPr>
        <w:pStyle w:val="32"/>
        <w:snapToGrid w:val="0"/>
        <w:spacing w:line="500" w:lineRule="atLeast"/>
        <w:rPr>
          <w:rFonts w:hint="eastAsia"/>
          <w:strike w:val="0"/>
          <w:dstrike w:val="0"/>
          <w:color w:val="auto"/>
          <w:sz w:val="24"/>
          <w:szCs w:val="24"/>
          <w:highlight w:val="none"/>
        </w:rPr>
      </w:pPr>
      <w:r>
        <w:rPr>
          <w:rFonts w:hint="eastAsia"/>
          <w:b/>
          <w:bCs/>
          <w:strike w:val="0"/>
          <w:dstrike w:val="0"/>
          <w:color w:val="auto"/>
          <w:highlight w:val="none"/>
        </w:rPr>
        <w:t xml:space="preserve">   </w:t>
      </w:r>
      <w:r>
        <w:rPr>
          <w:rFonts w:hint="eastAsia"/>
          <w:b/>
          <w:bCs/>
          <w:strike w:val="0"/>
          <w:dstrike w:val="0"/>
          <w:color w:val="auto"/>
          <w:sz w:val="24"/>
          <w:szCs w:val="24"/>
          <w:highlight w:val="none"/>
        </w:rPr>
        <w:t xml:space="preserve"> </w:t>
      </w:r>
      <w:r>
        <w:rPr>
          <w:rFonts w:hint="eastAsia"/>
          <w:strike w:val="0"/>
          <w:dstrike w:val="0"/>
          <w:color w:val="auto"/>
          <w:sz w:val="24"/>
          <w:szCs w:val="24"/>
          <w:highlight w:val="none"/>
        </w:rPr>
        <w:t>根据贵方为</w:t>
      </w:r>
      <w:r>
        <w:rPr>
          <w:rFonts w:hint="eastAsia"/>
          <w:strike w:val="0"/>
          <w:dstrike w:val="0"/>
          <w:color w:val="auto"/>
          <w:sz w:val="24"/>
          <w:szCs w:val="24"/>
          <w:highlight w:val="none"/>
          <w:u w:val="single"/>
        </w:rPr>
        <w:t xml:space="preserve">      </w:t>
      </w:r>
      <w:r>
        <w:rPr>
          <w:rFonts w:hint="eastAsia"/>
          <w:strike w:val="0"/>
          <w:dstrike w:val="0"/>
          <w:color w:val="auto"/>
          <w:sz w:val="24"/>
          <w:szCs w:val="24"/>
          <w:highlight w:val="none"/>
        </w:rPr>
        <w:t xml:space="preserve">年 </w:t>
      </w:r>
      <w:r>
        <w:rPr>
          <w:rFonts w:hint="eastAsia"/>
          <w:strike w:val="0"/>
          <w:dstrike w:val="0"/>
          <w:color w:val="auto"/>
          <w:sz w:val="24"/>
          <w:szCs w:val="24"/>
          <w:highlight w:val="none"/>
          <w:u w:val="single"/>
        </w:rPr>
        <w:t xml:space="preserve">   </w:t>
      </w:r>
      <w:r>
        <w:rPr>
          <w:rFonts w:hint="eastAsia"/>
          <w:strike w:val="0"/>
          <w:dstrike w:val="0"/>
          <w:color w:val="auto"/>
          <w:sz w:val="24"/>
          <w:szCs w:val="24"/>
          <w:highlight w:val="none"/>
        </w:rPr>
        <w:t>月</w:t>
      </w:r>
      <w:r>
        <w:rPr>
          <w:rFonts w:hint="eastAsia"/>
          <w:strike w:val="0"/>
          <w:dstrike w:val="0"/>
          <w:color w:val="auto"/>
          <w:sz w:val="24"/>
          <w:szCs w:val="24"/>
          <w:highlight w:val="none"/>
          <w:u w:val="single"/>
        </w:rPr>
        <w:t xml:space="preserve">   </w:t>
      </w:r>
      <w:r>
        <w:rPr>
          <w:rFonts w:hint="eastAsia"/>
          <w:strike w:val="0"/>
          <w:dstrike w:val="0"/>
          <w:color w:val="auto"/>
          <w:sz w:val="24"/>
          <w:szCs w:val="24"/>
          <w:highlight w:val="none"/>
        </w:rPr>
        <w:t>日</w:t>
      </w:r>
      <w:r>
        <w:rPr>
          <w:rFonts w:hint="eastAsia"/>
          <w:strike w:val="0"/>
          <w:dstrike w:val="0"/>
          <w:color w:val="auto"/>
          <w:sz w:val="24"/>
          <w:szCs w:val="24"/>
          <w:highlight w:val="none"/>
          <w:u w:val="single"/>
        </w:rPr>
        <w:t xml:space="preserve">                                     </w:t>
      </w:r>
      <w:r>
        <w:rPr>
          <w:rFonts w:hint="eastAsia"/>
          <w:strike w:val="0"/>
          <w:dstrike w:val="0"/>
          <w:color w:val="auto"/>
          <w:sz w:val="24"/>
          <w:szCs w:val="24"/>
          <w:highlight w:val="none"/>
        </w:rPr>
        <w:t>（招标内容）招标项目的投标邀请，我方对该项目</w:t>
      </w:r>
      <w:r>
        <w:rPr>
          <w:rFonts w:hint="eastAsia"/>
          <w:strike w:val="0"/>
          <w:dstrike w:val="0"/>
          <w:color w:val="auto"/>
          <w:sz w:val="24"/>
          <w:szCs w:val="24"/>
          <w:highlight w:val="none"/>
          <w:lang w:val="en-US" w:eastAsia="zh-CN"/>
        </w:rPr>
        <w:t>作出</w:t>
      </w:r>
      <w:r>
        <w:rPr>
          <w:rFonts w:hint="eastAsia"/>
          <w:strike w:val="0"/>
          <w:dstrike w:val="0"/>
          <w:color w:val="auto"/>
          <w:sz w:val="24"/>
          <w:szCs w:val="24"/>
          <w:highlight w:val="none"/>
        </w:rPr>
        <w:t>如下服务质量承诺：</w:t>
      </w:r>
    </w:p>
    <w:p w14:paraId="4427B5B3">
      <w:pPr>
        <w:spacing w:line="360" w:lineRule="auto"/>
        <w:ind w:left="540"/>
        <w:rPr>
          <w:rFonts w:hint="eastAsia" w:ascii="宋体" w:hAnsi="宋体" w:cs="宋体"/>
          <w:strike w:val="0"/>
          <w:dstrike w:val="0"/>
          <w:color w:val="auto"/>
          <w:sz w:val="24"/>
          <w:szCs w:val="24"/>
          <w:highlight w:val="none"/>
        </w:rPr>
      </w:pPr>
      <w:r>
        <w:rPr>
          <w:rFonts w:hint="eastAsia" w:hAnsi="宋体"/>
          <w:strike w:val="0"/>
          <w:dstrike w:val="0"/>
          <w:color w:val="auto"/>
          <w:sz w:val="24"/>
          <w:szCs w:val="24"/>
          <w:highlight w:val="none"/>
        </w:rPr>
        <w:t>1、服务质量要求</w:t>
      </w:r>
      <w:r>
        <w:rPr>
          <w:rFonts w:hint="eastAsia" w:ascii="宋体" w:hAnsi="宋体" w:cs="宋体"/>
          <w:strike w:val="0"/>
          <w:dstrike w:val="0"/>
          <w:color w:val="auto"/>
          <w:sz w:val="24"/>
          <w:szCs w:val="24"/>
          <w:highlight w:val="none"/>
        </w:rPr>
        <w:t>：</w:t>
      </w:r>
    </w:p>
    <w:p w14:paraId="7556548C">
      <w:pPr>
        <w:spacing w:line="360" w:lineRule="auto"/>
        <w:rPr>
          <w:rFonts w:hint="eastAsia" w:ascii="宋体" w:hAnsi="宋体" w:cs="宋体"/>
          <w:strike w:val="0"/>
          <w:dstrike w:val="0"/>
          <w:color w:val="auto"/>
          <w:sz w:val="24"/>
          <w:szCs w:val="24"/>
          <w:highlight w:val="none"/>
        </w:rPr>
      </w:pPr>
    </w:p>
    <w:p w14:paraId="04021395">
      <w:pPr>
        <w:spacing w:line="360" w:lineRule="auto"/>
        <w:rPr>
          <w:rFonts w:hint="eastAsia" w:ascii="宋体" w:hAnsi="宋体" w:cs="宋体"/>
          <w:strike w:val="0"/>
          <w:dstrike w:val="0"/>
          <w:color w:val="auto"/>
          <w:sz w:val="24"/>
          <w:szCs w:val="24"/>
          <w:highlight w:val="none"/>
        </w:rPr>
      </w:pPr>
    </w:p>
    <w:p w14:paraId="5A366063">
      <w:pPr>
        <w:spacing w:line="360" w:lineRule="auto"/>
        <w:rPr>
          <w:rFonts w:hint="eastAsia" w:ascii="宋体" w:hAnsi="宋体" w:cs="宋体"/>
          <w:strike w:val="0"/>
          <w:dstrike w:val="0"/>
          <w:color w:val="auto"/>
          <w:sz w:val="24"/>
          <w:szCs w:val="24"/>
          <w:highlight w:val="none"/>
        </w:rPr>
      </w:pPr>
    </w:p>
    <w:p w14:paraId="043FF32F">
      <w:pPr>
        <w:spacing w:line="360" w:lineRule="auto"/>
        <w:rPr>
          <w:rFonts w:hint="eastAsia" w:ascii="宋体" w:hAnsi="宋体" w:cs="宋体"/>
          <w:strike w:val="0"/>
          <w:dstrike w:val="0"/>
          <w:color w:val="auto"/>
          <w:sz w:val="24"/>
          <w:szCs w:val="24"/>
          <w:highlight w:val="none"/>
        </w:rPr>
      </w:pPr>
    </w:p>
    <w:p w14:paraId="25EC0DE9">
      <w:pPr>
        <w:spacing w:line="360" w:lineRule="auto"/>
        <w:ind w:left="480"/>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2、人员配置：</w:t>
      </w:r>
    </w:p>
    <w:p w14:paraId="58070545">
      <w:pPr>
        <w:spacing w:line="360" w:lineRule="auto"/>
        <w:ind w:left="480"/>
        <w:rPr>
          <w:rFonts w:hint="eastAsia" w:ascii="宋体" w:hAnsi="宋体" w:cs="宋体"/>
          <w:strike w:val="0"/>
          <w:dstrike w:val="0"/>
          <w:color w:val="auto"/>
          <w:sz w:val="24"/>
          <w:szCs w:val="24"/>
          <w:highlight w:val="none"/>
        </w:rPr>
      </w:pPr>
    </w:p>
    <w:p w14:paraId="696B6CCC">
      <w:pPr>
        <w:spacing w:line="360" w:lineRule="auto"/>
        <w:ind w:left="480"/>
        <w:rPr>
          <w:rFonts w:hint="eastAsia" w:ascii="宋体" w:hAnsi="宋体" w:cs="宋体"/>
          <w:strike w:val="0"/>
          <w:dstrike w:val="0"/>
          <w:color w:val="auto"/>
          <w:sz w:val="24"/>
          <w:szCs w:val="24"/>
          <w:highlight w:val="none"/>
        </w:rPr>
      </w:pPr>
    </w:p>
    <w:p w14:paraId="20673881">
      <w:pPr>
        <w:spacing w:line="360" w:lineRule="auto"/>
        <w:ind w:left="480"/>
        <w:rPr>
          <w:rFonts w:hint="eastAsia" w:ascii="宋体" w:hAnsi="宋体" w:cs="宋体"/>
          <w:strike w:val="0"/>
          <w:dstrike w:val="0"/>
          <w:color w:val="auto"/>
          <w:sz w:val="24"/>
          <w:szCs w:val="24"/>
          <w:highlight w:val="none"/>
        </w:rPr>
      </w:pPr>
    </w:p>
    <w:p w14:paraId="08020B0B">
      <w:pPr>
        <w:spacing w:line="360" w:lineRule="auto"/>
        <w:ind w:left="480"/>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3、</w:t>
      </w:r>
      <w:r>
        <w:rPr>
          <w:rFonts w:hint="eastAsia" w:ascii="宋体" w:hAnsi="宋体" w:cs="宋体"/>
          <w:strike w:val="0"/>
          <w:dstrike w:val="0"/>
          <w:color w:val="auto"/>
          <w:sz w:val="24"/>
          <w:szCs w:val="24"/>
          <w:highlight w:val="none"/>
          <w:lang w:eastAsia="zh-CN"/>
        </w:rPr>
        <w:t>其他</w:t>
      </w:r>
      <w:r>
        <w:rPr>
          <w:rFonts w:hint="eastAsia" w:ascii="宋体" w:hAnsi="宋体" w:cs="宋体"/>
          <w:strike w:val="0"/>
          <w:dstrike w:val="0"/>
          <w:color w:val="auto"/>
          <w:sz w:val="24"/>
          <w:szCs w:val="24"/>
          <w:highlight w:val="none"/>
        </w:rPr>
        <w:t>：</w:t>
      </w:r>
    </w:p>
    <w:p w14:paraId="29EE7B2A">
      <w:pPr>
        <w:spacing w:line="360" w:lineRule="auto"/>
        <w:jc w:val="center"/>
        <w:rPr>
          <w:rFonts w:hint="eastAsia" w:ascii="宋体" w:hAnsi="宋体" w:cs="宋体"/>
          <w:b/>
          <w:bCs/>
          <w:strike w:val="0"/>
          <w:dstrike w:val="0"/>
          <w:color w:val="auto"/>
          <w:sz w:val="24"/>
          <w:szCs w:val="24"/>
          <w:highlight w:val="none"/>
        </w:rPr>
      </w:pPr>
    </w:p>
    <w:p w14:paraId="4EC7F841">
      <w:pPr>
        <w:spacing w:line="360" w:lineRule="auto"/>
        <w:jc w:val="center"/>
        <w:rPr>
          <w:rFonts w:hint="eastAsia" w:ascii="宋体" w:hAnsi="宋体" w:cs="宋体"/>
          <w:b/>
          <w:bCs/>
          <w:strike w:val="0"/>
          <w:dstrike w:val="0"/>
          <w:color w:val="auto"/>
          <w:sz w:val="24"/>
          <w:szCs w:val="24"/>
          <w:highlight w:val="none"/>
        </w:rPr>
      </w:pPr>
    </w:p>
    <w:p w14:paraId="424D6B50">
      <w:pPr>
        <w:spacing w:line="360" w:lineRule="auto"/>
        <w:jc w:val="right"/>
        <w:rPr>
          <w:rFonts w:hint="eastAsia" w:ascii="宋体" w:hAnsi="宋体" w:cs="宋体"/>
          <w:b/>
          <w:bCs/>
          <w:strike w:val="0"/>
          <w:dstrike w:val="0"/>
          <w:color w:val="auto"/>
          <w:sz w:val="24"/>
          <w:szCs w:val="24"/>
          <w:highlight w:val="none"/>
        </w:rPr>
      </w:pPr>
    </w:p>
    <w:p w14:paraId="1FBC157A">
      <w:pPr>
        <w:spacing w:line="360" w:lineRule="auto"/>
        <w:jc w:val="right"/>
        <w:rPr>
          <w:rFonts w:hint="eastAsia" w:ascii="宋体" w:hAnsi="宋体" w:cs="宋体"/>
          <w:b/>
          <w:bCs/>
          <w:strike w:val="0"/>
          <w:dstrike w:val="0"/>
          <w:color w:val="auto"/>
          <w:sz w:val="24"/>
          <w:szCs w:val="24"/>
          <w:highlight w:val="none"/>
        </w:rPr>
      </w:pPr>
    </w:p>
    <w:p w14:paraId="5C0E6A39">
      <w:pPr>
        <w:spacing w:line="360" w:lineRule="auto"/>
        <w:jc w:val="right"/>
        <w:rPr>
          <w:rFonts w:hint="eastAsia" w:ascii="宋体" w:hAnsi="宋体" w:cs="宋体"/>
          <w:b/>
          <w:bCs/>
          <w:strike w:val="0"/>
          <w:dstrike w:val="0"/>
          <w:color w:val="auto"/>
          <w:sz w:val="24"/>
          <w:szCs w:val="24"/>
          <w:highlight w:val="none"/>
        </w:rPr>
      </w:pPr>
    </w:p>
    <w:p w14:paraId="072EED0B">
      <w:pPr>
        <w:spacing w:line="360" w:lineRule="auto"/>
        <w:jc w:val="right"/>
        <w:rPr>
          <w:rFonts w:hint="eastAsia" w:ascii="宋体" w:hAnsi="宋体" w:cs="宋体"/>
          <w:b/>
          <w:bCs/>
          <w:strike w:val="0"/>
          <w:dstrike w:val="0"/>
          <w:color w:val="auto"/>
          <w:sz w:val="24"/>
          <w:szCs w:val="24"/>
          <w:highlight w:val="none"/>
        </w:rPr>
      </w:pPr>
      <w:r>
        <w:rPr>
          <w:rFonts w:hint="eastAsia" w:ascii="宋体" w:hAnsi="宋体" w:cs="宋体"/>
          <w:b/>
          <w:bCs/>
          <w:strike w:val="0"/>
          <w:dstrike w:val="0"/>
          <w:color w:val="auto"/>
          <w:sz w:val="24"/>
          <w:szCs w:val="24"/>
          <w:highlight w:val="none"/>
        </w:rPr>
        <w:t>企业名称（</w:t>
      </w:r>
      <w:r>
        <w:rPr>
          <w:rFonts w:hint="eastAsia" w:ascii="宋体" w:hAnsi="宋体" w:cs="宋体"/>
          <w:b/>
          <w:bCs/>
          <w:strike w:val="0"/>
          <w:dstrike w:val="0"/>
          <w:color w:val="auto"/>
          <w:sz w:val="24"/>
          <w:szCs w:val="24"/>
          <w:highlight w:val="none"/>
          <w:lang w:val="en-US" w:eastAsia="zh-CN"/>
        </w:rPr>
        <w:t>盖</w:t>
      </w:r>
      <w:r>
        <w:rPr>
          <w:rFonts w:hint="eastAsia" w:ascii="宋体" w:hAnsi="宋体" w:cs="宋体"/>
          <w:b/>
          <w:bCs/>
          <w:strike w:val="0"/>
          <w:dstrike w:val="0"/>
          <w:color w:val="auto"/>
          <w:sz w:val="24"/>
          <w:szCs w:val="24"/>
          <w:highlight w:val="none"/>
          <w:u w:val="single"/>
          <w:lang w:val="en-US" w:eastAsia="zh-CN"/>
        </w:rPr>
        <w:t>电子签</w:t>
      </w:r>
      <w:r>
        <w:rPr>
          <w:rFonts w:hint="eastAsia" w:ascii="宋体" w:hAnsi="宋体" w:cs="宋体"/>
          <w:b/>
          <w:bCs/>
          <w:strike w:val="0"/>
          <w:dstrike w:val="0"/>
          <w:color w:val="auto"/>
          <w:sz w:val="24"/>
          <w:szCs w:val="24"/>
          <w:highlight w:val="none"/>
          <w:u w:val="single"/>
        </w:rPr>
        <w:t>章</w:t>
      </w:r>
      <w:r>
        <w:rPr>
          <w:rFonts w:hint="eastAsia" w:ascii="宋体" w:hAnsi="宋体" w:cs="宋体"/>
          <w:b/>
          <w:bCs/>
          <w:strike w:val="0"/>
          <w:dstrike w:val="0"/>
          <w:color w:val="auto"/>
          <w:sz w:val="24"/>
          <w:szCs w:val="24"/>
          <w:highlight w:val="none"/>
        </w:rPr>
        <w:t>）</w:t>
      </w:r>
      <w:r>
        <w:rPr>
          <w:rFonts w:hint="eastAsia" w:ascii="宋体" w:hAnsi="宋体" w:cs="宋体"/>
          <w:b/>
          <w:bCs/>
          <w:strike w:val="0"/>
          <w:dstrike w:val="0"/>
          <w:color w:val="auto"/>
          <w:sz w:val="24"/>
          <w:szCs w:val="24"/>
          <w:highlight w:val="none"/>
          <w:lang w:eastAsia="zh-CN"/>
        </w:rPr>
        <w:t>：</w:t>
      </w:r>
      <w:r>
        <w:rPr>
          <w:rFonts w:hint="eastAsia" w:ascii="宋体" w:hAnsi="宋体"/>
          <w:strike w:val="0"/>
          <w:dstrike w:val="0"/>
          <w:color w:val="auto"/>
          <w:kern w:val="0"/>
          <w:sz w:val="24"/>
          <w:szCs w:val="24"/>
          <w:highlight w:val="none"/>
        </w:rPr>
        <w:t>________________________</w:t>
      </w:r>
    </w:p>
    <w:p w14:paraId="56E944C7">
      <w:pPr>
        <w:spacing w:line="360" w:lineRule="auto"/>
        <w:ind w:right="480"/>
        <w:jc w:val="center"/>
        <w:rPr>
          <w:rFonts w:hint="eastAsia" w:ascii="宋体" w:hAnsi="宋体" w:cs="宋体"/>
          <w:b/>
          <w:bCs/>
          <w:strike w:val="0"/>
          <w:dstrike w:val="0"/>
          <w:color w:val="auto"/>
          <w:sz w:val="24"/>
          <w:szCs w:val="24"/>
          <w:highlight w:val="none"/>
          <w:u w:val="single"/>
        </w:rPr>
      </w:pPr>
      <w:r>
        <w:rPr>
          <w:rFonts w:hint="eastAsia" w:ascii="宋体" w:hAnsi="宋体" w:cs="宋体"/>
          <w:b/>
          <w:bCs/>
          <w:strike w:val="0"/>
          <w:dstrike w:val="0"/>
          <w:color w:val="auto"/>
          <w:sz w:val="24"/>
          <w:szCs w:val="24"/>
          <w:highlight w:val="none"/>
        </w:rPr>
        <w:t xml:space="preserve">                                      签   字   代  表</w:t>
      </w:r>
      <w:r>
        <w:rPr>
          <w:rFonts w:hint="eastAsia" w:ascii="宋体" w:hAnsi="宋体" w:cs="宋体"/>
          <w:b/>
          <w:bCs/>
          <w:strike w:val="0"/>
          <w:dstrike w:val="0"/>
          <w:color w:val="auto"/>
          <w:sz w:val="24"/>
          <w:szCs w:val="24"/>
          <w:highlight w:val="none"/>
          <w:lang w:eastAsia="zh-CN"/>
        </w:rPr>
        <w:t>：</w:t>
      </w:r>
      <w:r>
        <w:rPr>
          <w:rFonts w:hint="eastAsia" w:ascii="宋体" w:hAnsi="宋体"/>
          <w:strike w:val="0"/>
          <w:dstrike w:val="0"/>
          <w:color w:val="auto"/>
          <w:kern w:val="0"/>
          <w:sz w:val="24"/>
          <w:szCs w:val="24"/>
          <w:highlight w:val="none"/>
        </w:rPr>
        <w:t>__________________</w:t>
      </w:r>
      <w:r>
        <w:rPr>
          <w:rFonts w:hint="eastAsia" w:ascii="宋体" w:hAnsi="宋体"/>
          <w:strike w:val="0"/>
          <w:dstrike w:val="0"/>
          <w:color w:val="auto"/>
          <w:kern w:val="0"/>
          <w:sz w:val="24"/>
          <w:szCs w:val="24"/>
          <w:highlight w:val="none"/>
          <w:u w:val="single"/>
        </w:rPr>
        <w:t xml:space="preserve">   </w:t>
      </w:r>
    </w:p>
    <w:p w14:paraId="6C79D1B0">
      <w:pPr>
        <w:wordWrap w:val="0"/>
        <w:spacing w:line="360" w:lineRule="auto"/>
        <w:jc w:val="right"/>
        <w:rPr>
          <w:rFonts w:hint="eastAsia" w:ascii="宋体" w:hAnsi="宋体" w:cs="宋体"/>
          <w:b/>
          <w:bCs/>
          <w:strike w:val="0"/>
          <w:dstrike w:val="0"/>
          <w:color w:val="auto"/>
          <w:sz w:val="24"/>
          <w:szCs w:val="24"/>
          <w:highlight w:val="none"/>
        </w:rPr>
      </w:pPr>
      <w:r>
        <w:rPr>
          <w:rFonts w:hint="eastAsia" w:ascii="宋体" w:hAnsi="宋体" w:cs="宋体"/>
          <w:b/>
          <w:bCs/>
          <w:strike w:val="0"/>
          <w:dstrike w:val="0"/>
          <w:color w:val="auto"/>
          <w:sz w:val="24"/>
          <w:szCs w:val="24"/>
          <w:highlight w:val="none"/>
        </w:rPr>
        <w:t>年     月    日</w:t>
      </w:r>
    </w:p>
    <w:p w14:paraId="43B55FEC">
      <w:pPr>
        <w:spacing w:line="480" w:lineRule="auto"/>
        <w:jc w:val="center"/>
        <w:rPr>
          <w:rFonts w:hint="eastAsia" w:ascii="宋体" w:hAnsi="宋体"/>
          <w:strike w:val="0"/>
          <w:dstrike w:val="0"/>
          <w:color w:val="auto"/>
          <w:sz w:val="24"/>
          <w:szCs w:val="24"/>
          <w:highlight w:val="none"/>
        </w:rPr>
      </w:pPr>
    </w:p>
    <w:p w14:paraId="19CDD3B3">
      <w:pPr>
        <w:spacing w:line="480" w:lineRule="auto"/>
        <w:jc w:val="center"/>
        <w:rPr>
          <w:rFonts w:hint="eastAsia" w:ascii="宋体" w:hAnsi="宋体"/>
          <w:strike w:val="0"/>
          <w:dstrike w:val="0"/>
          <w:color w:val="auto"/>
          <w:highlight w:val="none"/>
        </w:rPr>
      </w:pPr>
    </w:p>
    <w:p w14:paraId="68F2D95E">
      <w:pPr>
        <w:pStyle w:val="2"/>
        <w:rPr>
          <w:rFonts w:hint="eastAsia" w:ascii="宋体" w:hAnsi="宋体"/>
          <w:strike w:val="0"/>
          <w:dstrike w:val="0"/>
          <w:color w:val="auto"/>
          <w:highlight w:val="none"/>
        </w:rPr>
      </w:pPr>
    </w:p>
    <w:p w14:paraId="0F7D2FC8">
      <w:pPr>
        <w:rPr>
          <w:rFonts w:hint="eastAsia" w:ascii="宋体" w:hAnsi="宋体"/>
          <w:strike w:val="0"/>
          <w:dstrike w:val="0"/>
          <w:color w:val="auto"/>
          <w:highlight w:val="none"/>
        </w:rPr>
      </w:pPr>
    </w:p>
    <w:p w14:paraId="076B1E2E">
      <w:pPr>
        <w:pStyle w:val="2"/>
        <w:rPr>
          <w:rFonts w:hint="eastAsia" w:ascii="宋体" w:hAnsi="宋体"/>
          <w:strike w:val="0"/>
          <w:dstrike w:val="0"/>
          <w:color w:val="auto"/>
          <w:highlight w:val="none"/>
        </w:rPr>
      </w:pPr>
    </w:p>
    <w:p w14:paraId="5F97061B">
      <w:pPr>
        <w:rPr>
          <w:rFonts w:hint="eastAsia"/>
        </w:rPr>
      </w:pPr>
    </w:p>
    <w:p w14:paraId="2916AFFF">
      <w:pPr>
        <w:jc w:val="center"/>
        <w:rPr>
          <w:rFonts w:hint="eastAsia" w:hAnsi="宋体"/>
          <w:b/>
          <w:bCs/>
          <w:strike w:val="0"/>
          <w:dstrike w:val="0"/>
          <w:color w:val="auto"/>
          <w:sz w:val="36"/>
          <w:szCs w:val="36"/>
          <w:highlight w:val="none"/>
        </w:rPr>
      </w:pPr>
      <w:r>
        <w:rPr>
          <w:rFonts w:hint="eastAsia" w:hAnsi="宋体"/>
          <w:b/>
          <w:bCs/>
          <w:strike w:val="0"/>
          <w:dstrike w:val="0"/>
          <w:color w:val="auto"/>
          <w:sz w:val="36"/>
          <w:szCs w:val="36"/>
          <w:highlight w:val="none"/>
        </w:rPr>
        <w:t>设备及工具材料简要说明一览表</w:t>
      </w:r>
    </w:p>
    <w:p w14:paraId="1682ABEF">
      <w:pPr>
        <w:pStyle w:val="18"/>
        <w:spacing w:line="400" w:lineRule="atLeast"/>
        <w:jc w:val="center"/>
        <w:rPr>
          <w:rFonts w:hint="eastAsia" w:hAnsi="宋体"/>
          <w:b/>
          <w:bCs/>
          <w:strike w:val="0"/>
          <w:dstrike w:val="0"/>
          <w:color w:val="auto"/>
          <w:highlight w:val="none"/>
        </w:rPr>
      </w:pPr>
    </w:p>
    <w:p w14:paraId="41758B79">
      <w:pPr>
        <w:spacing w:line="360" w:lineRule="auto"/>
        <w:rPr>
          <w:rFonts w:hint="eastAsia" w:ascii="宋体" w:hAnsi="宋体"/>
          <w:strike w:val="0"/>
          <w:dstrike w:val="0"/>
          <w:snapToGrid w:val="0"/>
          <w:color w:val="auto"/>
          <w:sz w:val="24"/>
          <w:highlight w:val="none"/>
        </w:rPr>
      </w:pPr>
      <w:r>
        <w:rPr>
          <w:rFonts w:hint="eastAsia" w:ascii="宋体" w:hAnsi="宋体" w:cs="宋体"/>
          <w:strike w:val="0"/>
          <w:dstrike w:val="0"/>
          <w:snapToGrid w:val="0"/>
          <w:color w:val="auto"/>
          <w:sz w:val="24"/>
          <w:highlight w:val="none"/>
        </w:rPr>
        <w:t>投标人名称（</w:t>
      </w:r>
      <w:r>
        <w:rPr>
          <w:rFonts w:hint="eastAsia" w:ascii="宋体" w:hAnsi="宋体" w:cs="宋体"/>
          <w:strike w:val="0"/>
          <w:dstrike w:val="0"/>
          <w:color w:val="auto"/>
          <w:sz w:val="21"/>
          <w:szCs w:val="21"/>
          <w:highlight w:val="none"/>
          <w:u w:val="single"/>
          <w:lang w:val="en-US" w:eastAsia="zh-CN"/>
        </w:rPr>
        <w:t>电子签</w:t>
      </w:r>
      <w:r>
        <w:rPr>
          <w:rFonts w:hint="eastAsia" w:ascii="宋体" w:hAnsi="宋体" w:cs="宋体"/>
          <w:strike w:val="0"/>
          <w:dstrike w:val="0"/>
          <w:color w:val="auto"/>
          <w:sz w:val="21"/>
          <w:szCs w:val="21"/>
          <w:highlight w:val="none"/>
          <w:u w:val="single"/>
        </w:rPr>
        <w:t>章</w:t>
      </w:r>
      <w:r>
        <w:rPr>
          <w:rFonts w:hint="eastAsia" w:ascii="宋体" w:hAnsi="宋体" w:cs="宋体"/>
          <w:strike w:val="0"/>
          <w:dstrike w:val="0"/>
          <w:snapToGrid w:val="0"/>
          <w:color w:val="auto"/>
          <w:sz w:val="24"/>
          <w:highlight w:val="none"/>
        </w:rPr>
        <w:t>）</w:t>
      </w:r>
      <w:r>
        <w:rPr>
          <w:rFonts w:hint="eastAsia" w:ascii="宋体" w:hAnsi="宋体" w:cs="隶书"/>
          <w:strike w:val="0"/>
          <w:dstrike w:val="0"/>
          <w:snapToGrid w:val="0"/>
          <w:color w:val="auto"/>
          <w:sz w:val="24"/>
          <w:highlight w:val="none"/>
        </w:rPr>
        <w:t>：</w:t>
      </w:r>
      <w:r>
        <w:rPr>
          <w:rFonts w:hint="eastAsia" w:ascii="宋体" w:hAnsi="宋体" w:cs="宋体"/>
          <w:strike w:val="0"/>
          <w:dstrike w:val="0"/>
          <w:snapToGrid w:val="0"/>
          <w:color w:val="auto"/>
          <w:sz w:val="24"/>
          <w:highlight w:val="none"/>
        </w:rPr>
        <w:t>___________________________</w:t>
      </w:r>
    </w:p>
    <w:tbl>
      <w:tblPr>
        <w:tblStyle w:val="37"/>
        <w:tblW w:w="0" w:type="auto"/>
        <w:tblInd w:w="0" w:type="dxa"/>
        <w:tblLayout w:type="fixed"/>
        <w:tblCellMar>
          <w:top w:w="0" w:type="dxa"/>
          <w:left w:w="108" w:type="dxa"/>
          <w:bottom w:w="0" w:type="dxa"/>
          <w:right w:w="108" w:type="dxa"/>
        </w:tblCellMar>
      </w:tblPr>
      <w:tblGrid>
        <w:gridCol w:w="3261"/>
        <w:gridCol w:w="1759"/>
        <w:gridCol w:w="1251"/>
        <w:gridCol w:w="1251"/>
        <w:gridCol w:w="1251"/>
        <w:gridCol w:w="1251"/>
      </w:tblGrid>
      <w:tr w14:paraId="1084D875">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center"/>
          </w:tcPr>
          <w:p w14:paraId="3FC664F6">
            <w:pPr>
              <w:rPr>
                <w:rFonts w:hint="eastAsia" w:ascii="宋体" w:hAnsi="宋体"/>
                <w:b/>
                <w:bCs/>
                <w:strike w:val="0"/>
                <w:dstrike w:val="0"/>
                <w:color w:val="auto"/>
                <w:highlight w:val="none"/>
              </w:rPr>
            </w:pPr>
            <w:r>
              <w:rPr>
                <w:rFonts w:hint="eastAsia" w:ascii="宋体" w:hAnsi="宋体" w:cs="宋体"/>
                <w:b/>
                <w:bCs/>
                <w:strike w:val="0"/>
                <w:dstrike w:val="0"/>
                <w:color w:val="auto"/>
                <w:highlight w:val="none"/>
              </w:rPr>
              <w:t>序号</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483400A1">
            <w:pPr>
              <w:rPr>
                <w:rFonts w:hint="eastAsia" w:ascii="宋体" w:hAnsi="宋体"/>
                <w:b/>
                <w:bCs/>
                <w:strike w:val="0"/>
                <w:dstrike w:val="0"/>
                <w:color w:val="auto"/>
                <w:highlight w:val="none"/>
              </w:rPr>
            </w:pPr>
            <w:r>
              <w:rPr>
                <w:rFonts w:hint="eastAsia" w:ascii="宋体" w:hAnsi="宋体" w:cs="宋体"/>
                <w:b/>
                <w:bCs/>
                <w:strike w:val="0"/>
                <w:dstrike w:val="0"/>
                <w:color w:val="auto"/>
                <w:highlight w:val="none"/>
              </w:rPr>
              <w:t>设备、工具名称</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BBC7D29">
            <w:pPr>
              <w:rPr>
                <w:rFonts w:hint="eastAsia" w:ascii="宋体" w:hAnsi="宋体"/>
                <w:b/>
                <w:bCs/>
                <w:strike w:val="0"/>
                <w:dstrike w:val="0"/>
                <w:color w:val="auto"/>
                <w:highlight w:val="none"/>
              </w:rPr>
            </w:pPr>
            <w:r>
              <w:rPr>
                <w:rFonts w:hint="eastAsia" w:ascii="宋体" w:hAnsi="宋体"/>
                <w:b/>
                <w:bCs/>
                <w:strike w:val="0"/>
                <w:dstrike w:val="0"/>
                <w:color w:val="auto"/>
                <w:highlight w:val="none"/>
              </w:rPr>
              <w:t>单位</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5057B87">
            <w:pPr>
              <w:rPr>
                <w:rFonts w:hint="eastAsia" w:ascii="宋体" w:hAnsi="宋体"/>
                <w:b/>
                <w:bCs/>
                <w:strike w:val="0"/>
                <w:dstrike w:val="0"/>
                <w:color w:val="auto"/>
                <w:highlight w:val="none"/>
              </w:rPr>
            </w:pPr>
            <w:r>
              <w:rPr>
                <w:rFonts w:hint="eastAsia" w:ascii="宋体" w:hAnsi="宋体" w:cs="宋体"/>
                <w:b/>
                <w:bCs/>
                <w:strike w:val="0"/>
                <w:dstrike w:val="0"/>
                <w:color w:val="auto"/>
                <w:highlight w:val="none"/>
              </w:rPr>
              <w:t>数量</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BCAC6BF">
            <w:pPr>
              <w:rPr>
                <w:rFonts w:hint="eastAsia" w:ascii="宋体" w:hAnsi="宋体"/>
                <w:b/>
                <w:bCs/>
                <w:strike w:val="0"/>
                <w:dstrike w:val="0"/>
                <w:color w:val="auto"/>
                <w:highlight w:val="none"/>
              </w:rPr>
            </w:pPr>
            <w:r>
              <w:rPr>
                <w:rFonts w:hint="eastAsia" w:ascii="宋体" w:hAnsi="宋体" w:cs="宋体"/>
                <w:b/>
                <w:bCs/>
                <w:strike w:val="0"/>
                <w:dstrike w:val="0"/>
                <w:color w:val="auto"/>
                <w:highlight w:val="none"/>
              </w:rPr>
              <w:t>品牌型号</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6B0E603">
            <w:pPr>
              <w:rPr>
                <w:rFonts w:hint="eastAsia" w:ascii="宋体" w:hAnsi="宋体"/>
                <w:b/>
                <w:bCs/>
                <w:strike w:val="0"/>
                <w:dstrike w:val="0"/>
                <w:color w:val="auto"/>
                <w:highlight w:val="none"/>
              </w:rPr>
            </w:pPr>
            <w:r>
              <w:rPr>
                <w:rFonts w:hint="eastAsia" w:ascii="宋体" w:hAnsi="宋体"/>
                <w:b/>
                <w:bCs/>
                <w:strike w:val="0"/>
                <w:dstrike w:val="0"/>
                <w:color w:val="auto"/>
                <w:highlight w:val="none"/>
              </w:rPr>
              <w:t>备注</w:t>
            </w:r>
          </w:p>
        </w:tc>
      </w:tr>
      <w:tr w14:paraId="4950484F">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14:paraId="7CE31E05">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1</w:t>
            </w:r>
          </w:p>
        </w:tc>
        <w:tc>
          <w:tcPr>
            <w:tcW w:w="1759" w:type="dxa"/>
            <w:tcBorders>
              <w:top w:val="single" w:color="auto" w:sz="4" w:space="0"/>
              <w:left w:val="single" w:color="auto" w:sz="4" w:space="0"/>
              <w:bottom w:val="single" w:color="auto" w:sz="4" w:space="0"/>
              <w:right w:val="single" w:color="auto" w:sz="4" w:space="0"/>
            </w:tcBorders>
            <w:noWrap w:val="0"/>
            <w:vAlign w:val="top"/>
          </w:tcPr>
          <w:p w14:paraId="45E9283C">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0BAB8C51">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672E60B2">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49FAF504">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28DF6EF1">
            <w:pPr>
              <w:ind w:left="2940" w:leftChars="1400" w:firstLine="480"/>
              <w:rPr>
                <w:rFonts w:hint="eastAsia" w:ascii="宋体" w:hAnsi="宋体"/>
                <w:strike w:val="0"/>
                <w:dstrike w:val="0"/>
                <w:color w:val="auto"/>
                <w:highlight w:val="none"/>
              </w:rPr>
            </w:pPr>
          </w:p>
        </w:tc>
      </w:tr>
      <w:tr w14:paraId="5AE285E7">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14:paraId="710765B8">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2</w:t>
            </w:r>
          </w:p>
        </w:tc>
        <w:tc>
          <w:tcPr>
            <w:tcW w:w="1759" w:type="dxa"/>
            <w:tcBorders>
              <w:top w:val="single" w:color="auto" w:sz="4" w:space="0"/>
              <w:left w:val="single" w:color="auto" w:sz="4" w:space="0"/>
              <w:bottom w:val="single" w:color="auto" w:sz="4" w:space="0"/>
              <w:right w:val="single" w:color="auto" w:sz="4" w:space="0"/>
            </w:tcBorders>
            <w:noWrap w:val="0"/>
            <w:vAlign w:val="top"/>
          </w:tcPr>
          <w:p w14:paraId="21633002">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11177576">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14733ED2">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43DCBEDF">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4E28FB5F">
            <w:pPr>
              <w:ind w:left="2940" w:leftChars="1400" w:firstLine="480"/>
              <w:rPr>
                <w:rFonts w:hint="eastAsia" w:ascii="宋体" w:hAnsi="宋体"/>
                <w:strike w:val="0"/>
                <w:dstrike w:val="0"/>
                <w:color w:val="auto"/>
                <w:highlight w:val="none"/>
              </w:rPr>
            </w:pPr>
          </w:p>
        </w:tc>
      </w:tr>
      <w:tr w14:paraId="3FEA8A10">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14:paraId="7A817A40">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3</w:t>
            </w:r>
          </w:p>
        </w:tc>
        <w:tc>
          <w:tcPr>
            <w:tcW w:w="1759" w:type="dxa"/>
            <w:tcBorders>
              <w:top w:val="single" w:color="auto" w:sz="4" w:space="0"/>
              <w:left w:val="single" w:color="auto" w:sz="4" w:space="0"/>
              <w:bottom w:val="single" w:color="auto" w:sz="4" w:space="0"/>
              <w:right w:val="single" w:color="auto" w:sz="4" w:space="0"/>
            </w:tcBorders>
            <w:noWrap w:val="0"/>
            <w:vAlign w:val="top"/>
          </w:tcPr>
          <w:p w14:paraId="37EEAC29">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1F1FCC88">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06DBC600">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0572EFD9">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53C9E982">
            <w:pPr>
              <w:ind w:left="2940" w:leftChars="1400" w:firstLine="480"/>
              <w:rPr>
                <w:rFonts w:hint="eastAsia" w:ascii="宋体" w:hAnsi="宋体"/>
                <w:strike w:val="0"/>
                <w:dstrike w:val="0"/>
                <w:color w:val="auto"/>
                <w:highlight w:val="none"/>
              </w:rPr>
            </w:pPr>
          </w:p>
        </w:tc>
      </w:tr>
      <w:tr w14:paraId="0F2C1B62">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14:paraId="450F9EFA">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4</w:t>
            </w:r>
          </w:p>
        </w:tc>
        <w:tc>
          <w:tcPr>
            <w:tcW w:w="1759" w:type="dxa"/>
            <w:tcBorders>
              <w:top w:val="single" w:color="auto" w:sz="4" w:space="0"/>
              <w:left w:val="single" w:color="auto" w:sz="4" w:space="0"/>
              <w:bottom w:val="single" w:color="auto" w:sz="4" w:space="0"/>
              <w:right w:val="single" w:color="auto" w:sz="4" w:space="0"/>
            </w:tcBorders>
            <w:noWrap w:val="0"/>
            <w:vAlign w:val="top"/>
          </w:tcPr>
          <w:p w14:paraId="4048FA4B">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49650313">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04664CE9">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027F54D5">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4F2C4DE6">
            <w:pPr>
              <w:ind w:left="2940" w:leftChars="1400" w:firstLine="480"/>
              <w:rPr>
                <w:rFonts w:hint="eastAsia" w:ascii="宋体" w:hAnsi="宋体"/>
                <w:strike w:val="0"/>
                <w:dstrike w:val="0"/>
                <w:color w:val="auto"/>
                <w:highlight w:val="none"/>
              </w:rPr>
            </w:pPr>
          </w:p>
        </w:tc>
      </w:tr>
      <w:tr w14:paraId="2E6302B8">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14:paraId="2DCC088E">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5</w:t>
            </w:r>
          </w:p>
        </w:tc>
        <w:tc>
          <w:tcPr>
            <w:tcW w:w="1759" w:type="dxa"/>
            <w:tcBorders>
              <w:top w:val="single" w:color="auto" w:sz="4" w:space="0"/>
              <w:left w:val="single" w:color="auto" w:sz="4" w:space="0"/>
              <w:bottom w:val="single" w:color="auto" w:sz="4" w:space="0"/>
              <w:right w:val="single" w:color="auto" w:sz="4" w:space="0"/>
            </w:tcBorders>
            <w:noWrap w:val="0"/>
            <w:vAlign w:val="top"/>
          </w:tcPr>
          <w:p w14:paraId="3105BDD7">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04169772">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3ED623A8">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633BA560">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6D23EB61">
            <w:pPr>
              <w:ind w:left="2940" w:leftChars="1400" w:firstLine="480"/>
              <w:rPr>
                <w:rFonts w:hint="eastAsia" w:ascii="宋体" w:hAnsi="宋体"/>
                <w:strike w:val="0"/>
                <w:dstrike w:val="0"/>
                <w:color w:val="auto"/>
                <w:highlight w:val="none"/>
              </w:rPr>
            </w:pPr>
          </w:p>
        </w:tc>
      </w:tr>
      <w:tr w14:paraId="58B43457">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14:paraId="277629CE">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6</w:t>
            </w:r>
          </w:p>
        </w:tc>
        <w:tc>
          <w:tcPr>
            <w:tcW w:w="1759" w:type="dxa"/>
            <w:tcBorders>
              <w:top w:val="single" w:color="auto" w:sz="4" w:space="0"/>
              <w:left w:val="single" w:color="auto" w:sz="4" w:space="0"/>
              <w:bottom w:val="single" w:color="auto" w:sz="4" w:space="0"/>
              <w:right w:val="single" w:color="auto" w:sz="4" w:space="0"/>
            </w:tcBorders>
            <w:noWrap w:val="0"/>
            <w:vAlign w:val="top"/>
          </w:tcPr>
          <w:p w14:paraId="55DF1EC0">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3F160CC8">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1917DC27">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450312D0">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1E952864">
            <w:pPr>
              <w:ind w:left="2940" w:leftChars="1400" w:firstLine="480"/>
              <w:rPr>
                <w:rFonts w:hint="eastAsia" w:ascii="宋体" w:hAnsi="宋体"/>
                <w:strike w:val="0"/>
                <w:dstrike w:val="0"/>
                <w:color w:val="auto"/>
                <w:highlight w:val="none"/>
              </w:rPr>
            </w:pPr>
          </w:p>
        </w:tc>
      </w:tr>
      <w:tr w14:paraId="6A37EDAB">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14:paraId="7A4A9581">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7</w:t>
            </w:r>
          </w:p>
        </w:tc>
        <w:tc>
          <w:tcPr>
            <w:tcW w:w="1759" w:type="dxa"/>
            <w:tcBorders>
              <w:top w:val="single" w:color="auto" w:sz="4" w:space="0"/>
              <w:left w:val="single" w:color="auto" w:sz="4" w:space="0"/>
              <w:bottom w:val="single" w:color="auto" w:sz="4" w:space="0"/>
              <w:right w:val="single" w:color="auto" w:sz="4" w:space="0"/>
            </w:tcBorders>
            <w:noWrap w:val="0"/>
            <w:vAlign w:val="top"/>
          </w:tcPr>
          <w:p w14:paraId="04C949C9">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3122961D">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53A5A15C">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34F25F8D">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210ABC63">
            <w:pPr>
              <w:ind w:left="2940" w:leftChars="1400" w:firstLine="480"/>
              <w:rPr>
                <w:rFonts w:hint="eastAsia" w:ascii="宋体" w:hAnsi="宋体"/>
                <w:strike w:val="0"/>
                <w:dstrike w:val="0"/>
                <w:color w:val="auto"/>
                <w:highlight w:val="none"/>
              </w:rPr>
            </w:pPr>
          </w:p>
        </w:tc>
      </w:tr>
      <w:tr w14:paraId="4394E40B">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14:paraId="1A448A24">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8</w:t>
            </w:r>
          </w:p>
        </w:tc>
        <w:tc>
          <w:tcPr>
            <w:tcW w:w="1759" w:type="dxa"/>
            <w:tcBorders>
              <w:top w:val="single" w:color="auto" w:sz="4" w:space="0"/>
              <w:left w:val="single" w:color="auto" w:sz="4" w:space="0"/>
              <w:bottom w:val="single" w:color="auto" w:sz="4" w:space="0"/>
              <w:right w:val="single" w:color="auto" w:sz="4" w:space="0"/>
            </w:tcBorders>
            <w:noWrap w:val="0"/>
            <w:vAlign w:val="top"/>
          </w:tcPr>
          <w:p w14:paraId="527CD714">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01A7275D">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092BEF50">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24B53F30">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36B16355">
            <w:pPr>
              <w:ind w:left="2940" w:leftChars="1400" w:firstLine="480"/>
              <w:rPr>
                <w:rFonts w:hint="eastAsia" w:ascii="宋体" w:hAnsi="宋体"/>
                <w:strike w:val="0"/>
                <w:dstrike w:val="0"/>
                <w:color w:val="auto"/>
                <w:highlight w:val="none"/>
              </w:rPr>
            </w:pPr>
          </w:p>
        </w:tc>
      </w:tr>
      <w:tr w14:paraId="312190F3">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14:paraId="2F69D903">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9</w:t>
            </w:r>
          </w:p>
        </w:tc>
        <w:tc>
          <w:tcPr>
            <w:tcW w:w="1759" w:type="dxa"/>
            <w:tcBorders>
              <w:top w:val="single" w:color="auto" w:sz="4" w:space="0"/>
              <w:left w:val="single" w:color="auto" w:sz="4" w:space="0"/>
              <w:bottom w:val="single" w:color="auto" w:sz="4" w:space="0"/>
              <w:right w:val="single" w:color="auto" w:sz="4" w:space="0"/>
            </w:tcBorders>
            <w:noWrap w:val="0"/>
            <w:vAlign w:val="top"/>
          </w:tcPr>
          <w:p w14:paraId="100D39F7">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5DE94836">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15DF686C">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055ED946">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4D9992D2">
            <w:pPr>
              <w:ind w:left="2940" w:leftChars="1400" w:firstLine="480"/>
              <w:rPr>
                <w:rFonts w:hint="eastAsia" w:ascii="宋体" w:hAnsi="宋体"/>
                <w:strike w:val="0"/>
                <w:dstrike w:val="0"/>
                <w:color w:val="auto"/>
                <w:highlight w:val="none"/>
              </w:rPr>
            </w:pPr>
          </w:p>
        </w:tc>
      </w:tr>
      <w:tr w14:paraId="6EC5919E">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14:paraId="13C37094">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1</w:t>
            </w:r>
          </w:p>
        </w:tc>
        <w:tc>
          <w:tcPr>
            <w:tcW w:w="1759" w:type="dxa"/>
            <w:tcBorders>
              <w:top w:val="single" w:color="auto" w:sz="4" w:space="0"/>
              <w:left w:val="single" w:color="auto" w:sz="4" w:space="0"/>
              <w:bottom w:val="single" w:color="auto" w:sz="4" w:space="0"/>
              <w:right w:val="single" w:color="auto" w:sz="4" w:space="0"/>
            </w:tcBorders>
            <w:noWrap w:val="0"/>
            <w:vAlign w:val="top"/>
          </w:tcPr>
          <w:p w14:paraId="092BD9F9">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3E91F7FE">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5E26F0BA">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28C4602C">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62F18118">
            <w:pPr>
              <w:ind w:left="2940" w:leftChars="1400" w:firstLine="480"/>
              <w:rPr>
                <w:rFonts w:hint="eastAsia" w:ascii="宋体" w:hAnsi="宋体"/>
                <w:strike w:val="0"/>
                <w:dstrike w:val="0"/>
                <w:color w:val="auto"/>
                <w:highlight w:val="none"/>
              </w:rPr>
            </w:pPr>
          </w:p>
        </w:tc>
      </w:tr>
      <w:tr w14:paraId="71EED10D">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14:paraId="60DE8B84">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1</w:t>
            </w:r>
          </w:p>
        </w:tc>
        <w:tc>
          <w:tcPr>
            <w:tcW w:w="1759" w:type="dxa"/>
            <w:tcBorders>
              <w:top w:val="single" w:color="auto" w:sz="4" w:space="0"/>
              <w:left w:val="single" w:color="auto" w:sz="4" w:space="0"/>
              <w:bottom w:val="single" w:color="auto" w:sz="4" w:space="0"/>
              <w:right w:val="single" w:color="auto" w:sz="4" w:space="0"/>
            </w:tcBorders>
            <w:noWrap w:val="0"/>
            <w:vAlign w:val="top"/>
          </w:tcPr>
          <w:p w14:paraId="6E2BD75B">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424C3082">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42E56685">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182706D3">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19B1D86A">
            <w:pPr>
              <w:ind w:left="2940" w:leftChars="1400" w:firstLine="480"/>
              <w:rPr>
                <w:rFonts w:hint="eastAsia" w:ascii="宋体" w:hAnsi="宋体"/>
                <w:strike w:val="0"/>
                <w:dstrike w:val="0"/>
                <w:color w:val="auto"/>
                <w:highlight w:val="none"/>
              </w:rPr>
            </w:pPr>
          </w:p>
        </w:tc>
      </w:tr>
      <w:tr w14:paraId="31A63563">
        <w:tblPrEx>
          <w:tblCellMar>
            <w:top w:w="0" w:type="dxa"/>
            <w:left w:w="108" w:type="dxa"/>
            <w:bottom w:w="0" w:type="dxa"/>
            <w:right w:w="108" w:type="dxa"/>
          </w:tblCellMar>
        </w:tblPrEx>
        <w:trPr>
          <w:trHeight w:val="532" w:hRule="atLeast"/>
        </w:trPr>
        <w:tc>
          <w:tcPr>
            <w:tcW w:w="3261" w:type="dxa"/>
            <w:tcBorders>
              <w:top w:val="single" w:color="auto" w:sz="4" w:space="0"/>
              <w:left w:val="single" w:color="auto" w:sz="4" w:space="0"/>
              <w:bottom w:val="single" w:color="auto" w:sz="4" w:space="0"/>
              <w:right w:val="single" w:color="auto" w:sz="4" w:space="0"/>
            </w:tcBorders>
            <w:noWrap w:val="0"/>
            <w:vAlign w:val="top"/>
          </w:tcPr>
          <w:p w14:paraId="4B21B439">
            <w:pPr>
              <w:ind w:left="2940" w:leftChars="1400" w:firstLine="480"/>
              <w:jc w:val="center"/>
              <w:rPr>
                <w:rFonts w:hint="eastAsia" w:ascii="宋体" w:hAnsi="宋体"/>
                <w:strike w:val="0"/>
                <w:dstrike w:val="0"/>
                <w:color w:val="auto"/>
                <w:highlight w:val="none"/>
              </w:rPr>
            </w:pPr>
            <w:r>
              <w:rPr>
                <w:rFonts w:hint="eastAsia" w:ascii="宋体" w:hAnsi="宋体"/>
                <w:strike w:val="0"/>
                <w:dstrike w:val="0"/>
                <w:color w:val="auto"/>
                <w:highlight w:val="none"/>
              </w:rPr>
              <w:t>1</w:t>
            </w:r>
          </w:p>
        </w:tc>
        <w:tc>
          <w:tcPr>
            <w:tcW w:w="1759" w:type="dxa"/>
            <w:tcBorders>
              <w:top w:val="single" w:color="auto" w:sz="4" w:space="0"/>
              <w:left w:val="single" w:color="auto" w:sz="4" w:space="0"/>
              <w:bottom w:val="single" w:color="auto" w:sz="4" w:space="0"/>
              <w:right w:val="single" w:color="auto" w:sz="4" w:space="0"/>
            </w:tcBorders>
            <w:noWrap w:val="0"/>
            <w:vAlign w:val="top"/>
          </w:tcPr>
          <w:p w14:paraId="3EE323D6">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0123E36B">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78F85FC2">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2E7D6AD2">
            <w:pPr>
              <w:ind w:left="2940" w:leftChars="1400" w:firstLine="480"/>
              <w:rPr>
                <w:rFonts w:hint="eastAsia" w:ascii="宋体" w:hAnsi="宋体"/>
                <w:strike w:val="0"/>
                <w:dstrike w:val="0"/>
                <w:color w:val="auto"/>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top"/>
          </w:tcPr>
          <w:p w14:paraId="21459752">
            <w:pPr>
              <w:ind w:left="2940" w:leftChars="1400" w:firstLine="480"/>
              <w:rPr>
                <w:rFonts w:hint="eastAsia" w:ascii="宋体" w:hAnsi="宋体"/>
                <w:strike w:val="0"/>
                <w:dstrike w:val="0"/>
                <w:color w:val="auto"/>
                <w:highlight w:val="none"/>
              </w:rPr>
            </w:pPr>
          </w:p>
        </w:tc>
      </w:tr>
    </w:tbl>
    <w:p w14:paraId="68DC3F44">
      <w:pPr>
        <w:spacing w:line="360" w:lineRule="auto"/>
        <w:rPr>
          <w:rFonts w:hint="eastAsia" w:ascii="宋体" w:hAnsi="宋体" w:cs="宋体"/>
          <w:strike w:val="0"/>
          <w:dstrike w:val="0"/>
          <w:color w:val="auto"/>
          <w:sz w:val="18"/>
          <w:szCs w:val="18"/>
          <w:highlight w:val="none"/>
        </w:rPr>
      </w:pPr>
    </w:p>
    <w:p w14:paraId="20DA32C3">
      <w:pPr>
        <w:spacing w:line="360" w:lineRule="auto"/>
        <w:rPr>
          <w:rFonts w:hint="eastAsia" w:ascii="宋体" w:hAnsi="宋体" w:cs="宋体"/>
          <w:strike w:val="0"/>
          <w:dstrike w:val="0"/>
          <w:color w:val="auto"/>
          <w:sz w:val="24"/>
          <w:highlight w:val="none"/>
        </w:rPr>
      </w:pPr>
      <w:r>
        <w:rPr>
          <w:rFonts w:hint="eastAsia" w:ascii="宋体" w:hAnsi="宋体" w:cs="宋体"/>
          <w:strike w:val="0"/>
          <w:dstrike w:val="0"/>
          <w:color w:val="auto"/>
          <w:sz w:val="24"/>
          <w:highlight w:val="none"/>
        </w:rPr>
        <w:t>投标人代表签字：</w:t>
      </w:r>
      <w:r>
        <w:rPr>
          <w:rFonts w:ascii="宋体" w:hAnsi="宋体" w:cs="宋体"/>
          <w:strike w:val="0"/>
          <w:dstrike w:val="0"/>
          <w:color w:val="auto"/>
          <w:sz w:val="24"/>
          <w:highlight w:val="none"/>
        </w:rPr>
        <w:t xml:space="preserve">_______________________________        </w:t>
      </w:r>
      <w:r>
        <w:rPr>
          <w:rFonts w:hint="eastAsia" w:ascii="宋体" w:hAnsi="宋体" w:cs="宋体"/>
          <w:strike w:val="0"/>
          <w:dstrike w:val="0"/>
          <w:color w:val="auto"/>
          <w:sz w:val="24"/>
          <w:highlight w:val="none"/>
        </w:rPr>
        <w:t xml:space="preserve">         </w:t>
      </w:r>
    </w:p>
    <w:p w14:paraId="662A0FE0">
      <w:pPr>
        <w:spacing w:line="360" w:lineRule="auto"/>
        <w:rPr>
          <w:rFonts w:ascii="宋体" w:hAnsi="宋体"/>
          <w:strike w:val="0"/>
          <w:dstrike w:val="0"/>
          <w:color w:val="auto"/>
          <w:sz w:val="24"/>
          <w:highlight w:val="none"/>
        </w:rPr>
      </w:pPr>
      <w:r>
        <w:rPr>
          <w:rFonts w:hint="eastAsia" w:ascii="宋体" w:hAnsi="宋体" w:cs="宋体"/>
          <w:strike w:val="0"/>
          <w:dstrike w:val="0"/>
          <w:color w:val="auto"/>
          <w:sz w:val="24"/>
          <w:highlight w:val="none"/>
        </w:rPr>
        <w:t xml:space="preserve"> 职</w:t>
      </w:r>
      <w:r>
        <w:rPr>
          <w:rFonts w:ascii="宋体" w:hAnsi="宋体" w:cs="宋体"/>
          <w:strike w:val="0"/>
          <w:dstrike w:val="0"/>
          <w:color w:val="auto"/>
          <w:sz w:val="24"/>
          <w:highlight w:val="none"/>
        </w:rPr>
        <w:t xml:space="preserve">  </w:t>
      </w:r>
      <w:r>
        <w:rPr>
          <w:rFonts w:hint="eastAsia" w:ascii="宋体" w:hAnsi="宋体" w:cs="宋体"/>
          <w:strike w:val="0"/>
          <w:dstrike w:val="0"/>
          <w:color w:val="auto"/>
          <w:sz w:val="24"/>
          <w:highlight w:val="none"/>
        </w:rPr>
        <w:t>务</w:t>
      </w:r>
      <w:r>
        <w:rPr>
          <w:rFonts w:hint="eastAsia" w:ascii="宋体" w:hAnsi="宋体" w:cs="宋体"/>
          <w:strike w:val="0"/>
          <w:dstrike w:val="0"/>
          <w:color w:val="auto"/>
          <w:sz w:val="24"/>
          <w:highlight w:val="none"/>
          <w:lang w:eastAsia="zh-CN"/>
        </w:rPr>
        <w:t>：</w:t>
      </w:r>
      <w:r>
        <w:rPr>
          <w:rFonts w:ascii="宋体" w:hAnsi="宋体" w:cs="宋体"/>
          <w:strike w:val="0"/>
          <w:dstrike w:val="0"/>
          <w:color w:val="auto"/>
          <w:sz w:val="24"/>
          <w:highlight w:val="none"/>
        </w:rPr>
        <w:t>______________________________</w:t>
      </w:r>
    </w:p>
    <w:p w14:paraId="26004945">
      <w:pPr>
        <w:pStyle w:val="18"/>
        <w:spacing w:line="400" w:lineRule="exact"/>
        <w:ind w:firstLine="240" w:firstLineChars="100"/>
        <w:rPr>
          <w:rFonts w:hint="eastAsia" w:hAnsi="宋体"/>
          <w:strike w:val="0"/>
          <w:dstrike w:val="0"/>
          <w:color w:val="auto"/>
          <w:sz w:val="24"/>
          <w:szCs w:val="24"/>
          <w:highlight w:val="none"/>
        </w:rPr>
      </w:pPr>
      <w:r>
        <w:rPr>
          <w:rFonts w:hint="eastAsia" w:hAnsi="宋体"/>
          <w:strike w:val="0"/>
          <w:dstrike w:val="0"/>
          <w:color w:val="auto"/>
          <w:sz w:val="24"/>
          <w:szCs w:val="24"/>
          <w:highlight w:val="none"/>
        </w:rPr>
        <w:t>　</w:t>
      </w:r>
      <w:r>
        <w:rPr>
          <w:rFonts w:hint="eastAsia" w:hAnsi="宋体"/>
          <w:b/>
          <w:bCs/>
          <w:strike w:val="0"/>
          <w:dstrike w:val="0"/>
          <w:color w:val="auto"/>
          <w:sz w:val="24"/>
          <w:szCs w:val="24"/>
          <w:highlight w:val="none"/>
        </w:rPr>
        <w:t>备注：</w:t>
      </w:r>
      <w:r>
        <w:rPr>
          <w:rFonts w:hint="eastAsia" w:hAnsi="宋体"/>
          <w:strike w:val="0"/>
          <w:dstrike w:val="0"/>
          <w:color w:val="auto"/>
          <w:sz w:val="24"/>
          <w:szCs w:val="24"/>
          <w:highlight w:val="none"/>
        </w:rPr>
        <w:t>1、此表可在不改变格式的情况下自行制作；</w:t>
      </w:r>
    </w:p>
    <w:p w14:paraId="2659F7ED">
      <w:pPr>
        <w:pStyle w:val="18"/>
        <w:spacing w:line="400" w:lineRule="atLeast"/>
        <w:ind w:firstLine="1200" w:firstLineChars="500"/>
        <w:rPr>
          <w:rFonts w:hint="eastAsia" w:hAnsi="宋体"/>
          <w:strike w:val="0"/>
          <w:dstrike w:val="0"/>
          <w:color w:val="auto"/>
          <w:sz w:val="24"/>
          <w:szCs w:val="24"/>
          <w:highlight w:val="none"/>
        </w:rPr>
      </w:pPr>
      <w:r>
        <w:rPr>
          <w:rFonts w:hint="eastAsia" w:hAnsi="宋体"/>
          <w:strike w:val="0"/>
          <w:dstrike w:val="0"/>
          <w:color w:val="auto"/>
          <w:sz w:val="24"/>
          <w:szCs w:val="24"/>
          <w:highlight w:val="none"/>
        </w:rPr>
        <w:t xml:space="preserve">2、投标人应按每项物进行填列；       </w:t>
      </w:r>
    </w:p>
    <w:p w14:paraId="1E10EDDE">
      <w:pPr>
        <w:jc w:val="left"/>
        <w:outlineLvl w:val="2"/>
        <w:rPr>
          <w:rFonts w:hint="eastAsia" w:hAnsi="宋体"/>
          <w:strike w:val="0"/>
          <w:dstrike w:val="0"/>
          <w:color w:val="auto"/>
          <w:sz w:val="24"/>
          <w:szCs w:val="24"/>
          <w:highlight w:val="none"/>
        </w:rPr>
      </w:pPr>
      <w:r>
        <w:rPr>
          <w:rFonts w:hint="eastAsia" w:hAnsi="宋体"/>
          <w:strike w:val="0"/>
          <w:dstrike w:val="0"/>
          <w:color w:val="auto"/>
          <w:sz w:val="24"/>
          <w:szCs w:val="24"/>
          <w:highlight w:val="none"/>
        </w:rPr>
        <w:t xml:space="preserve">          3、此表置于投标书中。</w:t>
      </w:r>
    </w:p>
    <w:p w14:paraId="2DEAEAB6">
      <w:pPr>
        <w:jc w:val="center"/>
        <w:outlineLvl w:val="2"/>
        <w:rPr>
          <w:rFonts w:hint="eastAsia" w:hAnsi="宋体"/>
          <w:strike w:val="0"/>
          <w:dstrike w:val="0"/>
          <w:color w:val="auto"/>
          <w:sz w:val="24"/>
          <w:szCs w:val="24"/>
          <w:highlight w:val="none"/>
        </w:rPr>
      </w:pPr>
    </w:p>
    <w:p w14:paraId="5360D722">
      <w:pPr>
        <w:jc w:val="center"/>
        <w:outlineLvl w:val="2"/>
        <w:rPr>
          <w:rFonts w:hint="eastAsia" w:hAnsi="宋体"/>
          <w:strike w:val="0"/>
          <w:dstrike w:val="0"/>
          <w:color w:val="auto"/>
          <w:sz w:val="24"/>
          <w:szCs w:val="24"/>
          <w:highlight w:val="none"/>
        </w:rPr>
      </w:pPr>
    </w:p>
    <w:p w14:paraId="053D4032">
      <w:pPr>
        <w:jc w:val="center"/>
        <w:outlineLvl w:val="2"/>
        <w:rPr>
          <w:rFonts w:hint="eastAsia" w:hAnsi="宋体"/>
          <w:strike w:val="0"/>
          <w:dstrike w:val="0"/>
          <w:color w:val="auto"/>
          <w:sz w:val="24"/>
          <w:szCs w:val="24"/>
          <w:highlight w:val="none"/>
        </w:rPr>
      </w:pPr>
    </w:p>
    <w:p w14:paraId="1A267B09">
      <w:pPr>
        <w:jc w:val="center"/>
        <w:outlineLvl w:val="2"/>
        <w:rPr>
          <w:rFonts w:hint="eastAsia" w:hAnsi="宋体"/>
          <w:strike w:val="0"/>
          <w:dstrike w:val="0"/>
          <w:color w:val="auto"/>
          <w:sz w:val="24"/>
          <w:szCs w:val="24"/>
          <w:highlight w:val="none"/>
        </w:rPr>
      </w:pPr>
    </w:p>
    <w:p w14:paraId="1DD1C6F7">
      <w:pPr>
        <w:pStyle w:val="2"/>
        <w:rPr>
          <w:rFonts w:hint="eastAsia"/>
        </w:rPr>
      </w:pPr>
    </w:p>
    <w:p w14:paraId="60DB0A8E">
      <w:pPr>
        <w:jc w:val="center"/>
        <w:outlineLvl w:val="2"/>
        <w:rPr>
          <w:rFonts w:hint="eastAsia" w:hAnsi="宋体"/>
          <w:strike w:val="0"/>
          <w:dstrike w:val="0"/>
          <w:color w:val="auto"/>
          <w:sz w:val="24"/>
          <w:szCs w:val="24"/>
          <w:highlight w:val="none"/>
        </w:rPr>
      </w:pPr>
    </w:p>
    <w:p w14:paraId="77210AB3">
      <w:pPr>
        <w:jc w:val="center"/>
        <w:outlineLvl w:val="2"/>
        <w:rPr>
          <w:rFonts w:hint="eastAsia" w:hAnsi="宋体"/>
          <w:strike w:val="0"/>
          <w:dstrike w:val="0"/>
          <w:color w:val="auto"/>
          <w:sz w:val="24"/>
          <w:szCs w:val="24"/>
          <w:highlight w:val="none"/>
        </w:rPr>
      </w:pPr>
    </w:p>
    <w:p w14:paraId="7CAF82FE">
      <w:pPr>
        <w:jc w:val="center"/>
        <w:rPr>
          <w:rFonts w:hint="eastAsia" w:ascii="仿宋_GB2312" w:hAnsi="仿宋_GB2312" w:eastAsia="仿宋_GB2312" w:cs="仿宋_GB2312"/>
          <w:b/>
          <w:bCs/>
          <w:color w:val="auto"/>
          <w:sz w:val="28"/>
          <w:szCs w:val="28"/>
          <w:highlight w:val="none"/>
        </w:rPr>
      </w:pPr>
      <w:r>
        <w:rPr>
          <w:rFonts w:hint="eastAsia" w:ascii="宋体" w:hAnsi="宋体" w:eastAsia="宋体" w:cs="宋体"/>
          <w:b/>
          <w:bCs/>
          <w:color w:val="auto"/>
          <w:sz w:val="28"/>
          <w:szCs w:val="28"/>
          <w:highlight w:val="none"/>
          <w:u w:val="none"/>
          <w:lang w:val="en-US" w:eastAsia="zh-CN"/>
        </w:rPr>
        <w:t>按时支付工人工资的承诺书</w:t>
      </w:r>
    </w:p>
    <w:p w14:paraId="607E3B77">
      <w:pPr>
        <w:rPr>
          <w:rFonts w:hint="eastAsia"/>
          <w:color w:val="auto"/>
          <w:highlight w:val="none"/>
        </w:rPr>
      </w:pPr>
    </w:p>
    <w:p w14:paraId="21647B9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单位全称]</w:t>
      </w:r>
    </w:p>
    <w:p w14:paraId="165E88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XXXXX项目</w:t>
      </w:r>
    </w:p>
    <w:p w14:paraId="0FB955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尊敬的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单位：</w:t>
      </w:r>
    </w:p>
    <w:p w14:paraId="4D55C42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lang w:val="en-US" w:eastAsia="zh-CN"/>
        </w:rPr>
        <w:t>XXXXX公司</w:t>
      </w:r>
      <w:r>
        <w:rPr>
          <w:rFonts w:hint="eastAsia" w:ascii="宋体" w:hAnsi="宋体" w:eastAsia="宋体" w:cs="宋体"/>
          <w:color w:val="auto"/>
          <w:sz w:val="24"/>
          <w:szCs w:val="24"/>
          <w:highlight w:val="none"/>
        </w:rPr>
        <w:t>（以下简称“我司”）拟参与贵单位组织的</w:t>
      </w:r>
      <w:r>
        <w:rPr>
          <w:rFonts w:hint="eastAsia" w:ascii="宋体" w:hAnsi="宋体" w:eastAsia="宋体" w:cs="宋体"/>
          <w:color w:val="auto"/>
          <w:sz w:val="24"/>
          <w:szCs w:val="24"/>
          <w:highlight w:val="none"/>
          <w:u w:val="single"/>
          <w:lang w:val="en-US" w:eastAsia="zh-CN"/>
        </w:rPr>
        <w:t>XXXXX项目</w:t>
      </w:r>
      <w:r>
        <w:rPr>
          <w:rFonts w:hint="eastAsia" w:ascii="宋体" w:hAnsi="宋体" w:eastAsia="宋体" w:cs="宋体"/>
          <w:color w:val="auto"/>
          <w:sz w:val="24"/>
          <w:szCs w:val="24"/>
          <w:highlight w:val="none"/>
        </w:rPr>
        <w:t>的投标活动，为确保项目顺利实施，维护工人合法权益，构建和谐的劳动关系，我司特此郑重承诺：</w:t>
      </w:r>
    </w:p>
    <w:p w14:paraId="38EE877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严格遵守法律法规：</w:t>
      </w:r>
      <w:r>
        <w:rPr>
          <w:rFonts w:hint="eastAsia" w:ascii="宋体" w:hAnsi="宋体" w:eastAsia="宋体" w:cs="宋体"/>
          <w:color w:val="auto"/>
          <w:sz w:val="24"/>
          <w:szCs w:val="24"/>
          <w:highlight w:val="none"/>
        </w:rPr>
        <w:t>我司将严格遵守国家及地方关于劳动用工、工资支付等相关法律法规，确保参与本项目的所有工人工资按时、足额发放。</w:t>
      </w:r>
    </w:p>
    <w:p w14:paraId="16BDD21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建立工资发放机制：</w:t>
      </w:r>
      <w:r>
        <w:rPr>
          <w:rFonts w:hint="eastAsia" w:ascii="宋体" w:hAnsi="宋体" w:eastAsia="宋体" w:cs="宋体"/>
          <w:color w:val="auto"/>
          <w:sz w:val="24"/>
          <w:szCs w:val="24"/>
          <w:highlight w:val="none"/>
        </w:rPr>
        <w:t>在项目启动前，我司将制定详细的</w:t>
      </w:r>
      <w:r>
        <w:rPr>
          <w:rFonts w:hint="eastAsia" w:ascii="宋体" w:hAnsi="宋体" w:eastAsia="宋体" w:cs="宋体"/>
          <w:color w:val="auto"/>
          <w:sz w:val="24"/>
          <w:szCs w:val="24"/>
          <w:highlight w:val="none"/>
          <w:lang w:val="en-US" w:eastAsia="zh-CN"/>
        </w:rPr>
        <w:t>薪酬</w:t>
      </w:r>
      <w:r>
        <w:rPr>
          <w:rFonts w:hint="eastAsia" w:ascii="宋体" w:hAnsi="宋体" w:eastAsia="宋体" w:cs="宋体"/>
          <w:color w:val="auto"/>
          <w:sz w:val="24"/>
          <w:szCs w:val="24"/>
          <w:highlight w:val="none"/>
        </w:rPr>
        <w:t>制度和发放流程，明确工资标准、发放时间、支付方式等，确保每位工人的劳动报酬权益得到有效保障。</w:t>
      </w:r>
    </w:p>
    <w:p w14:paraId="0A44D42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按月足额发放工资：</w:t>
      </w:r>
      <w:r>
        <w:rPr>
          <w:rFonts w:hint="eastAsia" w:ascii="宋体" w:hAnsi="宋体" w:eastAsia="宋体" w:cs="宋体"/>
          <w:color w:val="auto"/>
          <w:sz w:val="24"/>
          <w:szCs w:val="24"/>
          <w:highlight w:val="none"/>
        </w:rPr>
        <w:t>我司承诺，自项目</w:t>
      </w:r>
      <w:r>
        <w:rPr>
          <w:rFonts w:hint="eastAsia" w:ascii="宋体" w:hAnsi="宋体" w:eastAsia="宋体" w:cs="宋体"/>
          <w:color w:val="auto"/>
          <w:sz w:val="24"/>
          <w:szCs w:val="24"/>
          <w:highlight w:val="none"/>
          <w:lang w:val="en-US" w:eastAsia="zh-CN"/>
        </w:rPr>
        <w:t>履约</w:t>
      </w:r>
      <w:r>
        <w:rPr>
          <w:rFonts w:hint="eastAsia" w:ascii="宋体" w:hAnsi="宋体" w:eastAsia="宋体" w:cs="宋体"/>
          <w:color w:val="auto"/>
          <w:sz w:val="24"/>
          <w:szCs w:val="24"/>
          <w:highlight w:val="none"/>
        </w:rPr>
        <w:t>之日起，将严格按照劳动合同或用工协议约定的时间，通过银行转账或其他合法支付方式，按月足额向所有工人发放工资，绝不拖欠。</w:t>
      </w:r>
    </w:p>
    <w:p w14:paraId="50FBE5D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快速响应机制：</w:t>
      </w:r>
      <w:r>
        <w:rPr>
          <w:rFonts w:hint="eastAsia" w:ascii="宋体" w:hAnsi="宋体" w:eastAsia="宋体" w:cs="宋体"/>
          <w:color w:val="auto"/>
          <w:sz w:val="24"/>
          <w:szCs w:val="24"/>
          <w:highlight w:val="none"/>
        </w:rPr>
        <w:t>对于工人关于工资发放的任何疑问或投诉，我司将设立专门的投诉渠道，确保在接到投诉后24小时内给予响应，并在7个工作日内解决问题。</w:t>
      </w:r>
    </w:p>
    <w:p w14:paraId="66775CE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法律责任承担：</w:t>
      </w:r>
      <w:r>
        <w:rPr>
          <w:rFonts w:hint="eastAsia" w:ascii="宋体" w:hAnsi="宋体" w:eastAsia="宋体" w:cs="宋体"/>
          <w:color w:val="auto"/>
          <w:sz w:val="24"/>
          <w:szCs w:val="24"/>
          <w:highlight w:val="none"/>
        </w:rPr>
        <w:t>如因我司原因未能按时足额发放工人工资，导致的一切法律责任及经济损失，均由我司自行承担，并愿意接受相关法律法规的处罚。</w:t>
      </w:r>
    </w:p>
    <w:p w14:paraId="08C2844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持续监督与改进：</w:t>
      </w:r>
      <w:r>
        <w:rPr>
          <w:rFonts w:hint="eastAsia" w:ascii="宋体" w:hAnsi="宋体" w:eastAsia="宋体" w:cs="宋体"/>
          <w:color w:val="auto"/>
          <w:sz w:val="24"/>
          <w:szCs w:val="24"/>
          <w:highlight w:val="none"/>
        </w:rPr>
        <w:t>在项目执行过程中，我司将主动接受贵单位及政府相关部门的监督与检查，不断优化工资管理机制，确保工人工资权益得到长期有效保障。</w:t>
      </w:r>
    </w:p>
    <w:p w14:paraId="1BF2E1D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本承诺书自签字盖章之日起生效，作为我司参与</w:t>
      </w:r>
      <w:r>
        <w:rPr>
          <w:rFonts w:hint="eastAsia" w:ascii="宋体" w:hAnsi="宋体" w:eastAsia="宋体" w:cs="宋体"/>
          <w:color w:val="auto"/>
          <w:sz w:val="24"/>
          <w:szCs w:val="24"/>
          <w:highlight w:val="none"/>
          <w:u w:val="single"/>
          <w:lang w:val="en-US" w:eastAsia="zh-CN"/>
        </w:rPr>
        <w:t>XXXXX项目</w:t>
      </w:r>
      <w:r>
        <w:rPr>
          <w:rFonts w:hint="eastAsia" w:ascii="宋体" w:hAnsi="宋体" w:eastAsia="宋体" w:cs="宋体"/>
          <w:color w:val="auto"/>
          <w:sz w:val="24"/>
          <w:szCs w:val="24"/>
          <w:highlight w:val="none"/>
        </w:rPr>
        <w:t>投标的重要组成部分，与投标文件具有同等法律效力。我司将以实际行动践行承诺，为项目的顺利推进和工人权益的保护贡献力量。</w:t>
      </w:r>
    </w:p>
    <w:p w14:paraId="4AE40B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14:paraId="50D11F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承诺单位（</w:t>
      </w:r>
      <w:r>
        <w:rPr>
          <w:rFonts w:hint="eastAsia" w:ascii="宋体" w:hAnsi="宋体" w:cs="宋体"/>
          <w:color w:val="auto"/>
          <w:sz w:val="24"/>
          <w:highlight w:val="none"/>
        </w:rPr>
        <w:t>盖</w:t>
      </w:r>
      <w:r>
        <w:rPr>
          <w:rFonts w:hint="eastAsia" w:ascii="宋体" w:hAnsi="宋体" w:cs="宋体"/>
          <w:color w:val="auto"/>
          <w:sz w:val="24"/>
          <w:highlight w:val="none"/>
          <w:lang w:val="en-US" w:eastAsia="zh-CN"/>
        </w:rPr>
        <w:t>电子签章</w:t>
      </w:r>
      <w:r>
        <w:rPr>
          <w:rFonts w:hint="eastAsia" w:ascii="宋体" w:hAnsi="宋体" w:eastAsia="宋体" w:cs="宋体"/>
          <w:color w:val="auto"/>
          <w:sz w:val="24"/>
          <w:szCs w:val="24"/>
          <w:highlight w:val="none"/>
        </w:rPr>
        <w:t>）：_____________</w:t>
      </w:r>
    </w:p>
    <w:p w14:paraId="32EC77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14:paraId="76F96A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法定代表人（或授权代表）签字：_____________</w:t>
      </w:r>
    </w:p>
    <w:p w14:paraId="78FB08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14:paraId="359ED5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日期：____年__月__日</w:t>
      </w:r>
    </w:p>
    <w:p w14:paraId="776ED9DE">
      <w:pPr>
        <w:jc w:val="center"/>
        <w:outlineLvl w:val="2"/>
        <w:rPr>
          <w:rFonts w:hint="eastAsia" w:hAnsi="宋体"/>
          <w:strike w:val="0"/>
          <w:dstrike w:val="0"/>
          <w:color w:val="auto"/>
          <w:sz w:val="24"/>
          <w:szCs w:val="24"/>
          <w:highlight w:val="none"/>
        </w:rPr>
      </w:pPr>
    </w:p>
    <w:p w14:paraId="6A89A9B2">
      <w:pPr>
        <w:pStyle w:val="2"/>
        <w:rPr>
          <w:rFonts w:hint="eastAsia"/>
          <w:color w:val="auto"/>
          <w:highlight w:val="none"/>
        </w:rPr>
      </w:pPr>
    </w:p>
    <w:p w14:paraId="7B811BE3">
      <w:pPr>
        <w:widowControl/>
        <w:jc w:val="center"/>
        <w:rPr>
          <w:rFonts w:hint="eastAsia"/>
          <w:b/>
          <w:bCs/>
          <w:color w:val="auto"/>
          <w:sz w:val="36"/>
          <w:szCs w:val="36"/>
          <w:highlight w:val="none"/>
          <w:lang w:val="en-US" w:eastAsia="zh-CN"/>
        </w:rPr>
      </w:pPr>
    </w:p>
    <w:p w14:paraId="47EB83AA">
      <w:pPr>
        <w:widowControl/>
        <w:jc w:val="center"/>
        <w:rPr>
          <w:rFonts w:hint="eastAsia"/>
          <w:b/>
          <w:bCs/>
          <w:color w:val="auto"/>
          <w:sz w:val="36"/>
          <w:szCs w:val="36"/>
          <w:highlight w:val="none"/>
          <w:lang w:val="en-US" w:eastAsia="zh-CN"/>
        </w:rPr>
      </w:pPr>
    </w:p>
    <w:p w14:paraId="591CC385">
      <w:pPr>
        <w:widowControl/>
        <w:jc w:val="center"/>
        <w:rPr>
          <w:rFonts w:ascii="宋体" w:hAnsi="宋体" w:cs="宋体"/>
          <w:b/>
          <w:bCs/>
          <w:strike w:val="0"/>
          <w:dstrike w:val="0"/>
          <w:color w:val="auto"/>
          <w:kern w:val="0"/>
          <w:sz w:val="36"/>
          <w:szCs w:val="36"/>
          <w:highlight w:val="none"/>
        </w:rPr>
      </w:pPr>
      <w:r>
        <w:rPr>
          <w:rFonts w:hint="eastAsia"/>
          <w:b/>
          <w:bCs/>
          <w:color w:val="auto"/>
          <w:sz w:val="36"/>
          <w:szCs w:val="36"/>
          <w:highlight w:val="none"/>
          <w:lang w:val="en-US" w:eastAsia="zh-CN"/>
        </w:rPr>
        <w:t>开 标</w:t>
      </w:r>
      <w:r>
        <w:rPr>
          <w:rFonts w:hint="eastAsia"/>
          <w:b/>
          <w:bCs/>
          <w:color w:val="auto"/>
          <w:sz w:val="36"/>
          <w:szCs w:val="36"/>
          <w:highlight w:val="none"/>
        </w:rPr>
        <w:t xml:space="preserve"> 一 览 </w:t>
      </w:r>
      <w:r>
        <w:rPr>
          <w:rFonts w:hint="eastAsia" w:ascii="宋体" w:hAnsi="宋体" w:cs="宋体"/>
          <w:b/>
          <w:bCs/>
          <w:strike w:val="0"/>
          <w:dstrike w:val="0"/>
          <w:color w:val="auto"/>
          <w:kern w:val="0"/>
          <w:sz w:val="36"/>
          <w:szCs w:val="36"/>
          <w:highlight w:val="none"/>
        </w:rPr>
        <w:t>（</w:t>
      </w:r>
      <w:r>
        <w:rPr>
          <w:rFonts w:hint="eastAsia" w:hAnsi="宋体" w:eastAsia="宋体" w:cs="宋体"/>
          <w:b/>
          <w:bCs/>
          <w:color w:val="auto"/>
          <w:sz w:val="36"/>
          <w:szCs w:val="36"/>
          <w:highlight w:val="none"/>
          <w:lang w:val="en-US" w:eastAsia="zh-CN"/>
        </w:rPr>
        <w:t>十一个月十四天</w:t>
      </w:r>
      <w:r>
        <w:rPr>
          <w:rFonts w:hint="eastAsia" w:ascii="宋体" w:hAnsi="宋体" w:eastAsia="宋体" w:cs="宋体"/>
          <w:b/>
          <w:bCs/>
          <w:strike w:val="0"/>
          <w:dstrike w:val="0"/>
          <w:color w:val="auto"/>
          <w:kern w:val="0"/>
          <w:sz w:val="36"/>
          <w:szCs w:val="36"/>
          <w:highlight w:val="none"/>
        </w:rPr>
        <w:t>承包费用</w:t>
      </w:r>
      <w:r>
        <w:rPr>
          <w:rFonts w:hint="eastAsia" w:ascii="宋体" w:hAnsi="宋体" w:cs="宋体"/>
          <w:b/>
          <w:bCs/>
          <w:strike w:val="0"/>
          <w:dstrike w:val="0"/>
          <w:color w:val="auto"/>
          <w:kern w:val="0"/>
          <w:sz w:val="36"/>
          <w:szCs w:val="36"/>
          <w:highlight w:val="none"/>
        </w:rPr>
        <w:t>）</w:t>
      </w:r>
    </w:p>
    <w:p w14:paraId="3CB4B78E">
      <w:pPr>
        <w:widowControl/>
        <w:rPr>
          <w:rFonts w:hint="eastAsia"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 xml:space="preserve"> </w:t>
      </w:r>
    </w:p>
    <w:p w14:paraId="76B54F89">
      <w:pPr>
        <w:widowControl w:val="0"/>
        <w:numPr>
          <w:ilvl w:val="0"/>
          <w:numId w:val="0"/>
        </w:numPr>
        <w:jc w:val="both"/>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投标人名称（</w:t>
      </w:r>
      <w:r>
        <w:rPr>
          <w:rFonts w:hint="eastAsia" w:ascii="宋体" w:hAnsi="宋体" w:eastAsia="宋体" w:cs="宋体"/>
          <w:strike w:val="0"/>
          <w:dstrike w:val="0"/>
          <w:color w:val="auto"/>
          <w:kern w:val="0"/>
          <w:sz w:val="24"/>
          <w:szCs w:val="24"/>
          <w:highlight w:val="none"/>
          <w:lang w:val="en-US" w:eastAsia="zh-CN"/>
        </w:rPr>
        <w:t>盖</w:t>
      </w:r>
      <w:r>
        <w:rPr>
          <w:rFonts w:hint="eastAsia" w:ascii="宋体" w:hAnsi="宋体" w:eastAsia="宋体" w:cs="宋体"/>
          <w:strike w:val="0"/>
          <w:dstrike w:val="0"/>
          <w:color w:val="auto"/>
          <w:sz w:val="24"/>
          <w:szCs w:val="24"/>
          <w:highlight w:val="none"/>
          <w:u w:val="single"/>
          <w:lang w:val="en-US" w:eastAsia="zh-CN"/>
        </w:rPr>
        <w:t>电子签</w:t>
      </w:r>
      <w:r>
        <w:rPr>
          <w:rFonts w:hint="eastAsia" w:ascii="宋体" w:hAnsi="宋体" w:eastAsia="宋体" w:cs="宋体"/>
          <w:strike w:val="0"/>
          <w:dstrike w:val="0"/>
          <w:color w:val="auto"/>
          <w:sz w:val="24"/>
          <w:szCs w:val="24"/>
          <w:highlight w:val="none"/>
          <w:u w:val="single"/>
        </w:rPr>
        <w:t>章</w:t>
      </w:r>
      <w:r>
        <w:rPr>
          <w:rFonts w:hint="eastAsia" w:ascii="宋体" w:hAnsi="宋体" w:eastAsia="宋体" w:cs="宋体"/>
          <w:strike w:val="0"/>
          <w:dstrike w:val="0"/>
          <w:color w:val="auto"/>
          <w:kern w:val="0"/>
          <w:sz w:val="24"/>
          <w:szCs w:val="24"/>
          <w:highlight w:val="none"/>
        </w:rPr>
        <w:t xml:space="preserve">）：                          </w:t>
      </w:r>
    </w:p>
    <w:p w14:paraId="24C0E9B9">
      <w:pPr>
        <w:widowControl w:val="0"/>
        <w:numPr>
          <w:ilvl w:val="0"/>
          <w:numId w:val="0"/>
        </w:numPr>
        <w:jc w:val="both"/>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 xml:space="preserve">招标编号：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15"/>
        <w:gridCol w:w="1445"/>
        <w:gridCol w:w="1195"/>
        <w:gridCol w:w="1170"/>
        <w:gridCol w:w="1178"/>
        <w:gridCol w:w="1702"/>
      </w:tblGrid>
      <w:tr w14:paraId="37A5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4F947272">
            <w:pPr>
              <w:spacing w:line="360" w:lineRule="auto"/>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序号</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72C6D83B">
            <w:pPr>
              <w:spacing w:line="360" w:lineRule="auto"/>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项目费用</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384A684">
            <w:pPr>
              <w:spacing w:line="360" w:lineRule="auto"/>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数量</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250E0896">
            <w:pPr>
              <w:spacing w:line="360" w:lineRule="auto"/>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单位</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5BDE8AE">
            <w:pPr>
              <w:spacing w:line="360" w:lineRule="auto"/>
              <w:jc w:val="center"/>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承包期</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6731049">
            <w:pPr>
              <w:spacing w:line="360" w:lineRule="auto"/>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单价</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65675148">
            <w:pPr>
              <w:spacing w:line="360" w:lineRule="auto"/>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总价（元）</w:t>
            </w:r>
          </w:p>
        </w:tc>
      </w:tr>
      <w:tr w14:paraId="2076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33D956A5">
            <w:pPr>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u w:val="none"/>
              </w:rPr>
              <w:t>1</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2043DA97">
            <w:pPr>
              <w:spacing w:line="360" w:lineRule="auto"/>
              <w:jc w:val="center"/>
              <w:rPr>
                <w:rFonts w:hint="eastAsia" w:ascii="宋体" w:hAnsi="宋体" w:eastAsia="宋体" w:cs="宋体"/>
                <w:strike w:val="0"/>
                <w:dstrike w:val="0"/>
                <w:color w:val="auto"/>
                <w:sz w:val="24"/>
                <w:szCs w:val="24"/>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67AD633">
            <w:pPr>
              <w:spacing w:line="360" w:lineRule="auto"/>
              <w:jc w:val="center"/>
              <w:rPr>
                <w:rFonts w:hint="eastAsia" w:ascii="宋体" w:hAnsi="宋体" w:eastAsia="宋体" w:cs="宋体"/>
                <w:strike w:val="0"/>
                <w:dstrike w:val="0"/>
                <w:color w:val="auto"/>
                <w:sz w:val="24"/>
                <w:szCs w:val="24"/>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7C09BC35">
            <w:pPr>
              <w:spacing w:line="360" w:lineRule="auto"/>
              <w:jc w:val="center"/>
              <w:rPr>
                <w:rFonts w:hint="eastAsia" w:ascii="宋体" w:hAnsi="宋体" w:eastAsia="宋体" w:cs="宋体"/>
                <w:strike w:val="0"/>
                <w:dstrike w:val="0"/>
                <w:color w:val="auto"/>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B757F28">
            <w:pPr>
              <w:spacing w:line="360" w:lineRule="auto"/>
              <w:jc w:val="center"/>
              <w:rPr>
                <w:rFonts w:hint="eastAsia" w:ascii="宋体" w:hAnsi="宋体" w:eastAsia="宋体" w:cs="宋体"/>
                <w:strike w:val="0"/>
                <w:dstrike w:val="0"/>
                <w:color w:val="auto"/>
                <w:sz w:val="24"/>
                <w:szCs w:val="24"/>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FBEFF93">
            <w:pPr>
              <w:spacing w:line="360" w:lineRule="auto"/>
              <w:jc w:val="center"/>
              <w:rPr>
                <w:rFonts w:hint="eastAsia" w:ascii="宋体" w:hAnsi="宋体" w:eastAsia="宋体" w:cs="宋体"/>
                <w:strike w:val="0"/>
                <w:dstrike w:val="0"/>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2EF96563">
            <w:pPr>
              <w:spacing w:line="360" w:lineRule="auto"/>
              <w:jc w:val="center"/>
              <w:rPr>
                <w:rFonts w:hint="eastAsia" w:ascii="宋体" w:hAnsi="宋体" w:eastAsia="宋体" w:cs="宋体"/>
                <w:strike w:val="0"/>
                <w:dstrike w:val="0"/>
                <w:color w:val="auto"/>
                <w:sz w:val="24"/>
                <w:szCs w:val="24"/>
                <w:highlight w:val="none"/>
              </w:rPr>
            </w:pPr>
          </w:p>
        </w:tc>
      </w:tr>
      <w:tr w14:paraId="3C29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087C2FE5">
            <w:pPr>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u w:val="none"/>
              </w:rPr>
              <w:t>2</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17B91845">
            <w:pPr>
              <w:spacing w:line="360" w:lineRule="auto"/>
              <w:jc w:val="center"/>
              <w:rPr>
                <w:rFonts w:hint="eastAsia" w:ascii="宋体" w:hAnsi="宋体" w:eastAsia="宋体" w:cs="宋体"/>
                <w:strike w:val="0"/>
                <w:dstrike w:val="0"/>
                <w:color w:val="auto"/>
                <w:sz w:val="24"/>
                <w:szCs w:val="24"/>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C8C349E">
            <w:pPr>
              <w:spacing w:line="360" w:lineRule="auto"/>
              <w:jc w:val="center"/>
              <w:rPr>
                <w:rFonts w:hint="eastAsia" w:ascii="宋体" w:hAnsi="宋体" w:eastAsia="宋体" w:cs="宋体"/>
                <w:strike w:val="0"/>
                <w:dstrike w:val="0"/>
                <w:color w:val="auto"/>
                <w:sz w:val="24"/>
                <w:szCs w:val="24"/>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67A92C47">
            <w:pPr>
              <w:spacing w:line="360" w:lineRule="auto"/>
              <w:jc w:val="center"/>
              <w:rPr>
                <w:rFonts w:hint="eastAsia" w:ascii="宋体" w:hAnsi="宋体" w:eastAsia="宋体" w:cs="宋体"/>
                <w:strike w:val="0"/>
                <w:dstrike w:val="0"/>
                <w:color w:val="auto"/>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64FD0BC">
            <w:pPr>
              <w:spacing w:line="360" w:lineRule="auto"/>
              <w:jc w:val="center"/>
              <w:rPr>
                <w:rFonts w:hint="eastAsia" w:ascii="宋体" w:hAnsi="宋体" w:eastAsia="宋体" w:cs="宋体"/>
                <w:strike w:val="0"/>
                <w:dstrike w:val="0"/>
                <w:color w:val="auto"/>
                <w:sz w:val="24"/>
                <w:szCs w:val="24"/>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45B3AB9">
            <w:pPr>
              <w:spacing w:line="360" w:lineRule="auto"/>
              <w:jc w:val="center"/>
              <w:rPr>
                <w:rFonts w:hint="eastAsia" w:ascii="宋体" w:hAnsi="宋体" w:eastAsia="宋体" w:cs="宋体"/>
                <w:strike w:val="0"/>
                <w:dstrike w:val="0"/>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339367B8">
            <w:pPr>
              <w:spacing w:line="360" w:lineRule="auto"/>
              <w:jc w:val="center"/>
              <w:rPr>
                <w:rFonts w:hint="eastAsia" w:ascii="宋体" w:hAnsi="宋体" w:eastAsia="宋体" w:cs="宋体"/>
                <w:strike w:val="0"/>
                <w:dstrike w:val="0"/>
                <w:color w:val="auto"/>
                <w:sz w:val="24"/>
                <w:szCs w:val="24"/>
                <w:highlight w:val="none"/>
              </w:rPr>
            </w:pPr>
          </w:p>
        </w:tc>
      </w:tr>
      <w:tr w14:paraId="284C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2E87F3B2">
            <w:pPr>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u w:val="none"/>
              </w:rPr>
              <w:t>3</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2FDFB713">
            <w:pPr>
              <w:spacing w:line="360" w:lineRule="auto"/>
              <w:jc w:val="center"/>
              <w:rPr>
                <w:rFonts w:hint="eastAsia" w:ascii="宋体" w:hAnsi="宋体" w:eastAsia="宋体" w:cs="宋体"/>
                <w:strike w:val="0"/>
                <w:dstrike w:val="0"/>
                <w:color w:val="auto"/>
                <w:sz w:val="24"/>
                <w:szCs w:val="24"/>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A186B3F">
            <w:pPr>
              <w:spacing w:line="360" w:lineRule="auto"/>
              <w:jc w:val="center"/>
              <w:rPr>
                <w:rFonts w:hint="eastAsia" w:ascii="宋体" w:hAnsi="宋体" w:eastAsia="宋体" w:cs="宋体"/>
                <w:strike w:val="0"/>
                <w:dstrike w:val="0"/>
                <w:color w:val="auto"/>
                <w:sz w:val="24"/>
                <w:szCs w:val="24"/>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7F84C183">
            <w:pPr>
              <w:spacing w:line="360" w:lineRule="auto"/>
              <w:jc w:val="center"/>
              <w:rPr>
                <w:rFonts w:hint="eastAsia" w:ascii="宋体" w:hAnsi="宋体" w:eastAsia="宋体" w:cs="宋体"/>
                <w:strike w:val="0"/>
                <w:dstrike w:val="0"/>
                <w:color w:val="auto"/>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123938D">
            <w:pPr>
              <w:spacing w:line="360" w:lineRule="auto"/>
              <w:jc w:val="center"/>
              <w:rPr>
                <w:rFonts w:hint="eastAsia" w:ascii="宋体" w:hAnsi="宋体" w:eastAsia="宋体" w:cs="宋体"/>
                <w:strike w:val="0"/>
                <w:dstrike w:val="0"/>
                <w:color w:val="auto"/>
                <w:sz w:val="24"/>
                <w:szCs w:val="24"/>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6B35A0F">
            <w:pPr>
              <w:spacing w:line="360" w:lineRule="auto"/>
              <w:jc w:val="center"/>
              <w:rPr>
                <w:rFonts w:hint="eastAsia" w:ascii="宋体" w:hAnsi="宋体" w:eastAsia="宋体" w:cs="宋体"/>
                <w:strike w:val="0"/>
                <w:dstrike w:val="0"/>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1756C2B6">
            <w:pPr>
              <w:spacing w:line="360" w:lineRule="auto"/>
              <w:jc w:val="center"/>
              <w:rPr>
                <w:rFonts w:hint="eastAsia" w:ascii="宋体" w:hAnsi="宋体" w:eastAsia="宋体" w:cs="宋体"/>
                <w:strike w:val="0"/>
                <w:dstrike w:val="0"/>
                <w:color w:val="auto"/>
                <w:sz w:val="24"/>
                <w:szCs w:val="24"/>
                <w:highlight w:val="none"/>
              </w:rPr>
            </w:pPr>
          </w:p>
        </w:tc>
      </w:tr>
      <w:tr w14:paraId="76EF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2DE9B0D9">
            <w:pPr>
              <w:spacing w:line="360" w:lineRule="auto"/>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4</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1F507951">
            <w:pPr>
              <w:spacing w:line="360" w:lineRule="auto"/>
              <w:jc w:val="center"/>
              <w:rPr>
                <w:rFonts w:hint="eastAsia" w:ascii="宋体" w:hAnsi="宋体" w:eastAsia="宋体" w:cs="宋体"/>
                <w:strike w:val="0"/>
                <w:dstrike w:val="0"/>
                <w:color w:val="auto"/>
                <w:sz w:val="24"/>
                <w:szCs w:val="24"/>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9133F09">
            <w:pPr>
              <w:spacing w:line="360" w:lineRule="auto"/>
              <w:jc w:val="center"/>
              <w:rPr>
                <w:rFonts w:hint="eastAsia" w:ascii="宋体" w:hAnsi="宋体" w:eastAsia="宋体" w:cs="宋体"/>
                <w:strike w:val="0"/>
                <w:dstrike w:val="0"/>
                <w:color w:val="auto"/>
                <w:sz w:val="24"/>
                <w:szCs w:val="24"/>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4E819B40">
            <w:pPr>
              <w:spacing w:line="360" w:lineRule="auto"/>
              <w:jc w:val="center"/>
              <w:rPr>
                <w:rFonts w:hint="eastAsia" w:ascii="宋体" w:hAnsi="宋体" w:eastAsia="宋体" w:cs="宋体"/>
                <w:strike w:val="0"/>
                <w:dstrike w:val="0"/>
                <w:color w:val="auto"/>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6AF14CF">
            <w:pPr>
              <w:spacing w:line="360" w:lineRule="auto"/>
              <w:jc w:val="center"/>
              <w:rPr>
                <w:rFonts w:hint="eastAsia" w:ascii="宋体" w:hAnsi="宋体" w:eastAsia="宋体" w:cs="宋体"/>
                <w:strike w:val="0"/>
                <w:dstrike w:val="0"/>
                <w:color w:val="auto"/>
                <w:sz w:val="24"/>
                <w:szCs w:val="24"/>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0355486">
            <w:pPr>
              <w:spacing w:line="360" w:lineRule="auto"/>
              <w:jc w:val="center"/>
              <w:rPr>
                <w:rFonts w:hint="eastAsia" w:ascii="宋体" w:hAnsi="宋体" w:eastAsia="宋体" w:cs="宋体"/>
                <w:strike w:val="0"/>
                <w:dstrike w:val="0"/>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22DBF0DE">
            <w:pPr>
              <w:spacing w:line="360" w:lineRule="auto"/>
              <w:jc w:val="center"/>
              <w:rPr>
                <w:rFonts w:hint="eastAsia" w:ascii="宋体" w:hAnsi="宋体" w:eastAsia="宋体" w:cs="宋体"/>
                <w:strike w:val="0"/>
                <w:dstrike w:val="0"/>
                <w:color w:val="auto"/>
                <w:sz w:val="24"/>
                <w:szCs w:val="24"/>
                <w:highlight w:val="none"/>
              </w:rPr>
            </w:pPr>
          </w:p>
        </w:tc>
      </w:tr>
      <w:tr w14:paraId="6336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0D890789">
            <w:pPr>
              <w:spacing w:line="360" w:lineRule="auto"/>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5</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1F0DD5BF">
            <w:pPr>
              <w:spacing w:line="360" w:lineRule="auto"/>
              <w:jc w:val="center"/>
              <w:rPr>
                <w:rFonts w:hint="eastAsia" w:ascii="宋体" w:hAnsi="宋体" w:eastAsia="宋体" w:cs="宋体"/>
                <w:strike w:val="0"/>
                <w:dstrike w:val="0"/>
                <w:color w:val="auto"/>
                <w:sz w:val="24"/>
                <w:szCs w:val="24"/>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6008FF3">
            <w:pPr>
              <w:spacing w:line="360" w:lineRule="auto"/>
              <w:jc w:val="center"/>
              <w:rPr>
                <w:rFonts w:hint="eastAsia" w:ascii="宋体" w:hAnsi="宋体" w:eastAsia="宋体" w:cs="宋体"/>
                <w:strike w:val="0"/>
                <w:dstrike w:val="0"/>
                <w:color w:val="auto"/>
                <w:sz w:val="24"/>
                <w:szCs w:val="24"/>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2971910B">
            <w:pPr>
              <w:spacing w:line="360" w:lineRule="auto"/>
              <w:jc w:val="center"/>
              <w:rPr>
                <w:rFonts w:hint="eastAsia" w:ascii="宋体" w:hAnsi="宋体" w:eastAsia="宋体" w:cs="宋体"/>
                <w:strike w:val="0"/>
                <w:dstrike w:val="0"/>
                <w:color w:val="auto"/>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860CA83">
            <w:pPr>
              <w:spacing w:line="360" w:lineRule="auto"/>
              <w:jc w:val="center"/>
              <w:rPr>
                <w:rFonts w:hint="eastAsia" w:ascii="宋体" w:hAnsi="宋体" w:eastAsia="宋体" w:cs="宋体"/>
                <w:strike w:val="0"/>
                <w:dstrike w:val="0"/>
                <w:color w:val="auto"/>
                <w:sz w:val="24"/>
                <w:szCs w:val="24"/>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60EDABE">
            <w:pPr>
              <w:spacing w:line="360" w:lineRule="auto"/>
              <w:jc w:val="center"/>
              <w:rPr>
                <w:rFonts w:hint="eastAsia" w:ascii="宋体" w:hAnsi="宋体" w:eastAsia="宋体" w:cs="宋体"/>
                <w:strike w:val="0"/>
                <w:dstrike w:val="0"/>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4D4DF896">
            <w:pPr>
              <w:spacing w:line="360" w:lineRule="auto"/>
              <w:jc w:val="center"/>
              <w:rPr>
                <w:rFonts w:hint="eastAsia" w:ascii="宋体" w:hAnsi="宋体" w:eastAsia="宋体" w:cs="宋体"/>
                <w:strike w:val="0"/>
                <w:dstrike w:val="0"/>
                <w:color w:val="auto"/>
                <w:sz w:val="24"/>
                <w:szCs w:val="24"/>
                <w:highlight w:val="none"/>
              </w:rPr>
            </w:pPr>
          </w:p>
        </w:tc>
      </w:tr>
      <w:tr w14:paraId="2A2E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171C9A3D">
            <w:pPr>
              <w:spacing w:line="360" w:lineRule="auto"/>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6</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402AAAB5">
            <w:pPr>
              <w:spacing w:line="360" w:lineRule="auto"/>
              <w:jc w:val="center"/>
              <w:rPr>
                <w:rFonts w:hint="eastAsia" w:ascii="宋体" w:hAnsi="宋体" w:eastAsia="宋体" w:cs="宋体"/>
                <w:strike w:val="0"/>
                <w:dstrike w:val="0"/>
                <w:color w:val="auto"/>
                <w:sz w:val="24"/>
                <w:szCs w:val="24"/>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C0F7E34">
            <w:pPr>
              <w:spacing w:line="360" w:lineRule="auto"/>
              <w:jc w:val="center"/>
              <w:rPr>
                <w:rFonts w:hint="eastAsia" w:ascii="宋体" w:hAnsi="宋体" w:eastAsia="宋体" w:cs="宋体"/>
                <w:strike w:val="0"/>
                <w:dstrike w:val="0"/>
                <w:color w:val="auto"/>
                <w:sz w:val="24"/>
                <w:szCs w:val="24"/>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008288D8">
            <w:pPr>
              <w:spacing w:line="360" w:lineRule="auto"/>
              <w:jc w:val="center"/>
              <w:rPr>
                <w:rFonts w:hint="eastAsia" w:ascii="宋体" w:hAnsi="宋体" w:eastAsia="宋体" w:cs="宋体"/>
                <w:strike w:val="0"/>
                <w:dstrike w:val="0"/>
                <w:color w:val="auto"/>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12A6D5E">
            <w:pPr>
              <w:spacing w:line="360" w:lineRule="auto"/>
              <w:jc w:val="center"/>
              <w:rPr>
                <w:rFonts w:hint="eastAsia" w:ascii="宋体" w:hAnsi="宋体" w:eastAsia="宋体" w:cs="宋体"/>
                <w:strike w:val="0"/>
                <w:dstrike w:val="0"/>
                <w:color w:val="auto"/>
                <w:sz w:val="24"/>
                <w:szCs w:val="24"/>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38E3441F">
            <w:pPr>
              <w:spacing w:line="360" w:lineRule="auto"/>
              <w:jc w:val="center"/>
              <w:rPr>
                <w:rFonts w:hint="eastAsia" w:ascii="宋体" w:hAnsi="宋体" w:eastAsia="宋体" w:cs="宋体"/>
                <w:strike w:val="0"/>
                <w:dstrike w:val="0"/>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457D4E90">
            <w:pPr>
              <w:spacing w:line="360" w:lineRule="auto"/>
              <w:jc w:val="center"/>
              <w:rPr>
                <w:rFonts w:hint="eastAsia" w:ascii="宋体" w:hAnsi="宋体" w:eastAsia="宋体" w:cs="宋体"/>
                <w:strike w:val="0"/>
                <w:dstrike w:val="0"/>
                <w:color w:val="auto"/>
                <w:sz w:val="24"/>
                <w:szCs w:val="24"/>
                <w:highlight w:val="none"/>
              </w:rPr>
            </w:pPr>
          </w:p>
        </w:tc>
      </w:tr>
      <w:tr w14:paraId="4A2E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360B259D">
            <w:pPr>
              <w:spacing w:line="360" w:lineRule="auto"/>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7</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0241E331">
            <w:pPr>
              <w:spacing w:line="360" w:lineRule="auto"/>
              <w:jc w:val="center"/>
              <w:rPr>
                <w:rFonts w:hint="eastAsia" w:ascii="宋体" w:hAnsi="宋体" w:eastAsia="宋体" w:cs="宋体"/>
                <w:strike w:val="0"/>
                <w:dstrike w:val="0"/>
                <w:color w:val="auto"/>
                <w:sz w:val="24"/>
                <w:szCs w:val="24"/>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3225C12">
            <w:pPr>
              <w:spacing w:line="360" w:lineRule="auto"/>
              <w:jc w:val="center"/>
              <w:rPr>
                <w:rFonts w:hint="eastAsia" w:ascii="宋体" w:hAnsi="宋体" w:eastAsia="宋体" w:cs="宋体"/>
                <w:strike w:val="0"/>
                <w:dstrike w:val="0"/>
                <w:color w:val="auto"/>
                <w:sz w:val="24"/>
                <w:szCs w:val="24"/>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257EF42D">
            <w:pPr>
              <w:spacing w:line="360" w:lineRule="auto"/>
              <w:jc w:val="center"/>
              <w:rPr>
                <w:rFonts w:hint="eastAsia" w:ascii="宋体" w:hAnsi="宋体" w:eastAsia="宋体" w:cs="宋体"/>
                <w:strike w:val="0"/>
                <w:dstrike w:val="0"/>
                <w:color w:val="auto"/>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B4E000D">
            <w:pPr>
              <w:spacing w:line="360" w:lineRule="auto"/>
              <w:jc w:val="center"/>
              <w:rPr>
                <w:rFonts w:hint="eastAsia" w:ascii="宋体" w:hAnsi="宋体" w:eastAsia="宋体" w:cs="宋体"/>
                <w:strike w:val="0"/>
                <w:dstrike w:val="0"/>
                <w:color w:val="auto"/>
                <w:sz w:val="24"/>
                <w:szCs w:val="24"/>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C259A76">
            <w:pPr>
              <w:spacing w:line="360" w:lineRule="auto"/>
              <w:jc w:val="center"/>
              <w:rPr>
                <w:rFonts w:hint="eastAsia" w:ascii="宋体" w:hAnsi="宋体" w:eastAsia="宋体" w:cs="宋体"/>
                <w:strike w:val="0"/>
                <w:dstrike w:val="0"/>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2C8F972B">
            <w:pPr>
              <w:spacing w:line="360" w:lineRule="auto"/>
              <w:jc w:val="center"/>
              <w:rPr>
                <w:rFonts w:hint="eastAsia" w:ascii="宋体" w:hAnsi="宋体" w:eastAsia="宋体" w:cs="宋体"/>
                <w:strike w:val="0"/>
                <w:dstrike w:val="0"/>
                <w:color w:val="auto"/>
                <w:sz w:val="24"/>
                <w:szCs w:val="24"/>
                <w:highlight w:val="none"/>
              </w:rPr>
            </w:pPr>
          </w:p>
        </w:tc>
      </w:tr>
      <w:tr w14:paraId="4A70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75B704C2">
            <w:pPr>
              <w:spacing w:line="360" w:lineRule="auto"/>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8</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35198CC1">
            <w:pPr>
              <w:spacing w:line="360" w:lineRule="auto"/>
              <w:jc w:val="center"/>
              <w:rPr>
                <w:rFonts w:hint="eastAsia" w:ascii="宋体" w:hAnsi="宋体" w:eastAsia="宋体" w:cs="宋体"/>
                <w:strike w:val="0"/>
                <w:dstrike w:val="0"/>
                <w:color w:val="auto"/>
                <w:sz w:val="24"/>
                <w:szCs w:val="24"/>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21C1C8B">
            <w:pPr>
              <w:spacing w:line="360" w:lineRule="auto"/>
              <w:jc w:val="center"/>
              <w:rPr>
                <w:rFonts w:hint="eastAsia" w:ascii="宋体" w:hAnsi="宋体" w:eastAsia="宋体" w:cs="宋体"/>
                <w:strike w:val="0"/>
                <w:dstrike w:val="0"/>
                <w:color w:val="auto"/>
                <w:sz w:val="24"/>
                <w:szCs w:val="24"/>
                <w:highlight w:val="none"/>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497925F8">
            <w:pPr>
              <w:spacing w:line="360" w:lineRule="auto"/>
              <w:jc w:val="center"/>
              <w:rPr>
                <w:rFonts w:hint="eastAsia" w:ascii="宋体" w:hAnsi="宋体" w:eastAsia="宋体" w:cs="宋体"/>
                <w:strike w:val="0"/>
                <w:dstrike w:val="0"/>
                <w:color w:val="auto"/>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1B5DA4A">
            <w:pPr>
              <w:spacing w:line="360" w:lineRule="auto"/>
              <w:jc w:val="center"/>
              <w:rPr>
                <w:rFonts w:hint="eastAsia" w:ascii="宋体" w:hAnsi="宋体" w:eastAsia="宋体" w:cs="宋体"/>
                <w:strike w:val="0"/>
                <w:dstrike w:val="0"/>
                <w:color w:val="auto"/>
                <w:sz w:val="24"/>
                <w:szCs w:val="24"/>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CBF221E">
            <w:pPr>
              <w:spacing w:line="360" w:lineRule="auto"/>
              <w:jc w:val="center"/>
              <w:rPr>
                <w:rFonts w:hint="eastAsia" w:ascii="宋体" w:hAnsi="宋体" w:eastAsia="宋体" w:cs="宋体"/>
                <w:strike w:val="0"/>
                <w:dstrike w:val="0"/>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233A7833">
            <w:pPr>
              <w:spacing w:line="360" w:lineRule="auto"/>
              <w:jc w:val="center"/>
              <w:rPr>
                <w:rFonts w:hint="eastAsia" w:ascii="宋体" w:hAnsi="宋体" w:eastAsia="宋体" w:cs="宋体"/>
                <w:strike w:val="0"/>
                <w:dstrike w:val="0"/>
                <w:color w:val="auto"/>
                <w:sz w:val="24"/>
                <w:szCs w:val="24"/>
                <w:highlight w:val="none"/>
              </w:rPr>
            </w:pPr>
          </w:p>
        </w:tc>
      </w:tr>
      <w:tr w14:paraId="5ABD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077" w:type="dxa"/>
            <w:gridSpan w:val="3"/>
            <w:tcBorders>
              <w:top w:val="single" w:color="auto" w:sz="4" w:space="0"/>
              <w:left w:val="single" w:color="auto" w:sz="4" w:space="0"/>
              <w:bottom w:val="single" w:color="auto" w:sz="4" w:space="0"/>
              <w:right w:val="single" w:color="auto" w:sz="4" w:space="0"/>
            </w:tcBorders>
            <w:noWrap w:val="0"/>
            <w:vAlign w:val="center"/>
          </w:tcPr>
          <w:p w14:paraId="015C9C2F">
            <w:pPr>
              <w:spacing w:line="360" w:lineRule="auto"/>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合计</w:t>
            </w:r>
          </w:p>
        </w:tc>
        <w:tc>
          <w:tcPr>
            <w:tcW w:w="5245" w:type="dxa"/>
            <w:gridSpan w:val="4"/>
            <w:tcBorders>
              <w:top w:val="single" w:color="auto" w:sz="4" w:space="0"/>
              <w:left w:val="single" w:color="auto" w:sz="4" w:space="0"/>
              <w:bottom w:val="single" w:color="auto" w:sz="4" w:space="0"/>
              <w:right w:val="single" w:color="auto" w:sz="4" w:space="0"/>
            </w:tcBorders>
            <w:noWrap w:val="0"/>
            <w:vAlign w:val="center"/>
          </w:tcPr>
          <w:p w14:paraId="6B444DE2">
            <w:pPr>
              <w:spacing w:line="36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大写：               小写：</w:t>
            </w:r>
          </w:p>
        </w:tc>
      </w:tr>
    </w:tbl>
    <w:p w14:paraId="3F0DF9FD">
      <w:pPr>
        <w:widowControl w:val="0"/>
        <w:numPr>
          <w:ilvl w:val="0"/>
          <w:numId w:val="0"/>
        </w:numPr>
        <w:jc w:val="both"/>
        <w:rPr>
          <w:rFonts w:hint="eastAsia" w:ascii="宋体" w:hAnsi="宋体" w:eastAsia="宋体" w:cs="宋体"/>
          <w:strike w:val="0"/>
          <w:dstrike w:val="0"/>
          <w:color w:val="auto"/>
          <w:kern w:val="0"/>
          <w:sz w:val="24"/>
          <w:szCs w:val="24"/>
          <w:highlight w:val="none"/>
        </w:rPr>
      </w:pPr>
    </w:p>
    <w:p w14:paraId="2D8CCCFA">
      <w:pPr>
        <w:widowControl w:val="0"/>
        <w:numPr>
          <w:ilvl w:val="0"/>
          <w:numId w:val="0"/>
        </w:numPr>
        <w:jc w:val="both"/>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投标人代表签字：______________  职  务</w:t>
      </w:r>
      <w:r>
        <w:rPr>
          <w:rFonts w:hint="eastAsia" w:ascii="宋体" w:hAnsi="宋体" w:eastAsia="宋体" w:cs="宋体"/>
          <w:strike w:val="0"/>
          <w:dstrike w:val="0"/>
          <w:color w:val="auto"/>
          <w:kern w:val="0"/>
          <w:sz w:val="24"/>
          <w:szCs w:val="24"/>
          <w:highlight w:val="none"/>
          <w:lang w:eastAsia="zh-CN"/>
        </w:rPr>
        <w:t>：</w:t>
      </w:r>
      <w:r>
        <w:rPr>
          <w:rFonts w:hint="eastAsia" w:ascii="宋体" w:hAnsi="宋体" w:eastAsia="宋体" w:cs="宋体"/>
          <w:strike w:val="0"/>
          <w:dstrike w:val="0"/>
          <w:color w:val="auto"/>
          <w:kern w:val="0"/>
          <w:sz w:val="24"/>
          <w:szCs w:val="24"/>
          <w:highlight w:val="none"/>
        </w:rPr>
        <w:t>__________ 日 期：_____________</w:t>
      </w:r>
    </w:p>
    <w:p w14:paraId="1607B1EA">
      <w:pPr>
        <w:widowControl w:val="0"/>
        <w:numPr>
          <w:ilvl w:val="0"/>
          <w:numId w:val="0"/>
        </w:numPr>
        <w:jc w:val="both"/>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备注：1、投标人应根据国家的有关规定和招标文件并结合企业的实际情况进行投标报价。投标报价为投标人所能承受的最低、最终一次性报价。</w:t>
      </w:r>
    </w:p>
    <w:p w14:paraId="2CF86263">
      <w:pPr>
        <w:keepNext w:val="0"/>
        <w:keepLines w:val="0"/>
        <w:pageBreakBefore w:val="0"/>
        <w:widowControl w:val="0"/>
        <w:kinsoku/>
        <w:wordWrap/>
        <w:overflowPunct/>
        <w:topLinePunct w:val="0"/>
        <w:autoSpaceDE/>
        <w:autoSpaceDN/>
        <w:bidi w:val="0"/>
        <w:adjustRightInd/>
        <w:snapToGrid/>
        <w:spacing w:line="360" w:lineRule="auto"/>
        <w:ind w:left="838" w:leftChars="199" w:hanging="420" w:hanging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trike w:val="0"/>
          <w:dstrike w:val="0"/>
          <w:color w:val="auto"/>
          <w:kern w:val="0"/>
          <w:sz w:val="24"/>
          <w:szCs w:val="24"/>
          <w:highlight w:val="none"/>
        </w:rPr>
        <w:t>2、此表在不改变表式内容的情况下，可自行制作。</w:t>
      </w:r>
    </w:p>
    <w:p w14:paraId="343B0194">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45FEC687">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质 疑 函 范 本（供参考）</w:t>
      </w:r>
    </w:p>
    <w:p w14:paraId="19191155">
      <w:pP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34FD7099">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2512A4EC">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60928817">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5209E9AD">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5A0125F5">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3EC5F2BD">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3A599CC0">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3296029B">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11C82E83">
      <w:pPr>
        <w:adjustRightInd w:val="0"/>
        <w:snapToGrid w:val="0"/>
        <w:spacing w:line="360" w:lineRule="auto"/>
        <w:rPr>
          <w:rFonts w:hint="eastAsia" w:ascii="宋体" w:hAnsi="宋体" w:eastAsia="宋体" w:cs="宋体"/>
          <w:bCs/>
          <w:color w:val="auto"/>
          <w:highlight w:val="none"/>
        </w:rPr>
      </w:pPr>
      <w:r>
        <w:rPr>
          <w:rFonts w:hint="eastAsia" w:ascii="宋体" w:hAnsi="宋体" w:cs="宋体"/>
          <w:color w:val="auto"/>
          <w:highlight w:val="none"/>
        </w:rPr>
        <w:t>质疑项</w:t>
      </w:r>
      <w:r>
        <w:rPr>
          <w:rFonts w:hint="eastAsia" w:ascii="宋体" w:hAnsi="宋体" w:eastAsia="宋体" w:cs="宋体"/>
          <w:bCs/>
          <w:color w:val="auto"/>
          <w:highlight w:val="none"/>
        </w:rPr>
        <w:t>目的编号：包号（如有请填写）：</w:t>
      </w:r>
    </w:p>
    <w:p w14:paraId="09398A7E">
      <w:pPr>
        <w:adjustRightInd w:val="0"/>
        <w:snapToGrid w:val="0"/>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采购人名称：</w:t>
      </w:r>
    </w:p>
    <w:p w14:paraId="13BE4BCD">
      <w:pPr>
        <w:adjustRightInd w:val="0"/>
        <w:snapToGrid w:val="0"/>
        <w:spacing w:line="360" w:lineRule="auto"/>
        <w:rPr>
          <w:rFonts w:ascii="宋体" w:hAnsi="宋体" w:cs="宋体"/>
          <w:color w:val="auto"/>
          <w:highlight w:val="none"/>
        </w:rPr>
      </w:pPr>
      <w:r>
        <w:rPr>
          <w:rFonts w:hint="eastAsia" w:ascii="宋体" w:hAnsi="宋体" w:eastAsia="宋体" w:cs="宋体"/>
          <w:bCs/>
          <w:color w:val="auto"/>
          <w:highlight w:val="none"/>
        </w:rPr>
        <w:t>采购文件获取</w:t>
      </w:r>
      <w:r>
        <w:rPr>
          <w:rFonts w:hint="eastAsia" w:ascii="宋体" w:hAnsi="宋体" w:cs="宋体"/>
          <w:color w:val="auto"/>
          <w:highlight w:val="none"/>
        </w:rPr>
        <w:t>日期：</w:t>
      </w:r>
    </w:p>
    <w:p w14:paraId="7211313F">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516F982C">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137D32E9">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75A5D926">
      <w:pPr>
        <w:adjustRightInd w:val="0"/>
        <w:snapToGrid w:val="0"/>
        <w:spacing w:line="360" w:lineRule="auto"/>
        <w:rPr>
          <w:rFonts w:ascii="宋体" w:hAnsi="宋体" w:cs="宋体"/>
          <w:color w:val="auto"/>
          <w:highlight w:val="none"/>
        </w:rPr>
      </w:pPr>
    </w:p>
    <w:p w14:paraId="4475BF5F">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61A360B8">
      <w:pPr>
        <w:adjustRightInd w:val="0"/>
        <w:snapToGrid w:val="0"/>
        <w:spacing w:line="360" w:lineRule="auto"/>
        <w:rPr>
          <w:rFonts w:ascii="宋体" w:hAnsi="宋体" w:cs="宋体"/>
          <w:color w:val="auto"/>
          <w:highlight w:val="none"/>
          <w:u w:val="dotted"/>
        </w:rPr>
      </w:pPr>
    </w:p>
    <w:p w14:paraId="16D86B70">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58FB82FA">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0F9316D4">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02673804">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3855B997">
      <w:pP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55AB011B">
      <w:pP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2487F64F">
      <w:pPr>
        <w:spacing w:line="360" w:lineRule="auto"/>
        <w:rPr>
          <w:rFonts w:ascii="宋体" w:hAnsi="宋体" w:cs="宋体"/>
          <w:color w:val="auto"/>
          <w:highlight w:val="none"/>
        </w:rPr>
      </w:pPr>
    </w:p>
    <w:p w14:paraId="1E005DCE">
      <w:pP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3A98043A">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0AFC7834">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42682B09">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0C5BCB93">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2523CBD6">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57AEFB3C">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4DF15FEE">
      <w:pPr>
        <w:pStyle w:val="65"/>
        <w:rPr>
          <w:color w:val="auto"/>
          <w:highlight w:val="none"/>
        </w:rPr>
      </w:pPr>
    </w:p>
    <w:p w14:paraId="76B1DD50">
      <w:pPr>
        <w:pStyle w:val="18"/>
        <w:spacing w:line="460" w:lineRule="exact"/>
        <w:rPr>
          <w:rFonts w:cs="Times New Roman"/>
          <w:color w:val="auto"/>
          <w:highlight w:val="none"/>
        </w:rPr>
      </w:pPr>
    </w:p>
    <w:p w14:paraId="0F2F2192">
      <w:pPr>
        <w:rPr>
          <w:color w:val="auto"/>
          <w:highlight w:val="none"/>
        </w:rPr>
      </w:pPr>
    </w:p>
    <w:p w14:paraId="254C1425">
      <w:pPr>
        <w:rPr>
          <w:color w:val="auto"/>
          <w:highlight w:val="none"/>
        </w:rPr>
      </w:pPr>
    </w:p>
    <w:p w14:paraId="49ECD251">
      <w:pPr>
        <w:pStyle w:val="3"/>
        <w:rPr>
          <w:color w:val="auto"/>
          <w:highlight w:val="none"/>
        </w:rPr>
      </w:pPr>
    </w:p>
    <w:p w14:paraId="3C0108B5">
      <w:pPr>
        <w:rPr>
          <w:color w:val="auto"/>
          <w:highlight w:val="none"/>
        </w:rPr>
      </w:pPr>
    </w:p>
    <w:p w14:paraId="40226287">
      <w:pPr>
        <w:jc w:val="center"/>
        <w:rPr>
          <w:rFonts w:hint="eastAsia" w:ascii="宋体" w:hAnsi="宋体"/>
          <w:b/>
          <w:color w:val="auto"/>
          <w:sz w:val="36"/>
          <w:szCs w:val="36"/>
          <w:highlight w:val="none"/>
        </w:rPr>
      </w:pPr>
    </w:p>
    <w:p w14:paraId="539327B4">
      <w:pPr>
        <w:jc w:val="center"/>
        <w:rPr>
          <w:rFonts w:hint="eastAsia" w:ascii="宋体" w:hAnsi="宋体"/>
          <w:b/>
          <w:color w:val="auto"/>
          <w:sz w:val="36"/>
          <w:szCs w:val="36"/>
          <w:highlight w:val="none"/>
        </w:rPr>
      </w:pPr>
    </w:p>
    <w:p w14:paraId="2504F7A1">
      <w:pPr>
        <w:jc w:val="center"/>
        <w:rPr>
          <w:rFonts w:hint="eastAsia" w:ascii="宋体" w:hAnsi="宋体"/>
          <w:b/>
          <w:color w:val="auto"/>
          <w:sz w:val="36"/>
          <w:szCs w:val="36"/>
          <w:highlight w:val="none"/>
        </w:rPr>
      </w:pPr>
    </w:p>
    <w:p w14:paraId="42C329EB">
      <w:pPr>
        <w:jc w:val="center"/>
        <w:rPr>
          <w:rFonts w:hint="eastAsia" w:ascii="宋体" w:hAnsi="宋体"/>
          <w:b/>
          <w:color w:val="auto"/>
          <w:sz w:val="36"/>
          <w:szCs w:val="36"/>
          <w:highlight w:val="none"/>
        </w:rPr>
      </w:pPr>
    </w:p>
    <w:p w14:paraId="7F116B83">
      <w:pPr>
        <w:jc w:val="center"/>
        <w:rPr>
          <w:rFonts w:hint="eastAsia" w:ascii="宋体" w:hAnsi="宋体"/>
          <w:b/>
          <w:color w:val="auto"/>
          <w:sz w:val="36"/>
          <w:szCs w:val="36"/>
          <w:highlight w:val="none"/>
        </w:rPr>
      </w:pPr>
    </w:p>
    <w:p w14:paraId="674633C3">
      <w:pPr>
        <w:jc w:val="center"/>
        <w:rPr>
          <w:rFonts w:hint="eastAsia" w:ascii="宋体" w:hAnsi="宋体"/>
          <w:b/>
          <w:color w:val="auto"/>
          <w:sz w:val="36"/>
          <w:szCs w:val="36"/>
          <w:highlight w:val="none"/>
        </w:rPr>
      </w:pPr>
    </w:p>
    <w:p w14:paraId="7C910F7E">
      <w:pPr>
        <w:jc w:val="center"/>
        <w:rPr>
          <w:rFonts w:hint="eastAsia" w:ascii="宋体" w:hAnsi="宋体"/>
          <w:b/>
          <w:color w:val="auto"/>
          <w:sz w:val="36"/>
          <w:szCs w:val="36"/>
          <w:highlight w:val="none"/>
        </w:rPr>
      </w:pPr>
    </w:p>
    <w:p w14:paraId="65931021">
      <w:pPr>
        <w:jc w:val="center"/>
        <w:rPr>
          <w:rFonts w:hint="eastAsia" w:ascii="宋体" w:hAnsi="宋体"/>
          <w:b/>
          <w:color w:val="auto"/>
          <w:sz w:val="36"/>
          <w:szCs w:val="36"/>
          <w:highlight w:val="none"/>
        </w:rPr>
      </w:pPr>
    </w:p>
    <w:p w14:paraId="5A8BB8CE">
      <w:pPr>
        <w:jc w:val="center"/>
        <w:rPr>
          <w:rFonts w:hint="eastAsia" w:ascii="宋体" w:hAnsi="宋体"/>
          <w:b/>
          <w:color w:val="auto"/>
          <w:sz w:val="36"/>
          <w:szCs w:val="36"/>
          <w:highlight w:val="none"/>
        </w:rPr>
      </w:pPr>
    </w:p>
    <w:p w14:paraId="7C887F1D">
      <w:pPr>
        <w:jc w:val="center"/>
        <w:rPr>
          <w:rFonts w:hint="eastAsia" w:ascii="宋体" w:hAnsi="宋体"/>
          <w:b/>
          <w:color w:val="auto"/>
          <w:sz w:val="36"/>
          <w:szCs w:val="36"/>
          <w:highlight w:val="none"/>
        </w:rPr>
      </w:pPr>
    </w:p>
    <w:bookmarkEnd w:id="68"/>
    <w:bookmarkEnd w:id="69"/>
    <w:bookmarkEnd w:id="70"/>
    <w:bookmarkEnd w:id="71"/>
    <w:bookmarkEnd w:id="72"/>
    <w:bookmarkEnd w:id="73"/>
    <w:p w14:paraId="3304C4D9">
      <w:pPr>
        <w:rPr>
          <w:color w:val="auto"/>
          <w:highlight w:val="none"/>
        </w:rPr>
      </w:pPr>
    </w:p>
    <w:sectPr>
      <w:pgSz w:w="11906" w:h="16838"/>
      <w:pgMar w:top="1246" w:right="1134" w:bottom="1440" w:left="1418"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5B57569-34F5-4575-8C4F-E51953152F7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57A112E3-8658-48DB-8240-35F0A63413C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D778AE8F-2EA6-4EEA-8F8D-41932E74204D}"/>
  </w:font>
  <w:font w:name="新宋体">
    <w:panose1 w:val="02010609030101010101"/>
    <w:charset w:val="86"/>
    <w:family w:val="modern"/>
    <w:pitch w:val="default"/>
    <w:sig w:usb0="00000203" w:usb1="288F0000" w:usb2="00000006" w:usb3="00000000" w:csb0="00040001" w:csb1="00000000"/>
    <w:embedRegular r:id="rId4" w:fontKey="{001DB92C-B89D-4CBC-838E-FA622A0C4E4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18766407-0A27-41D3-9651-DB4C513188C1}"/>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Segoe UI">
    <w:panose1 w:val="020B0502040204020203"/>
    <w:charset w:val="00"/>
    <w:family w:val="auto"/>
    <w:pitch w:val="default"/>
    <w:sig w:usb0="E4002EFF" w:usb1="C000E47F" w:usb2="00000009" w:usb3="00000000" w:csb0="200001FF" w:csb1="00000000"/>
  </w:font>
  <w:font w:name="CESI宋体-GB13000">
    <w:altName w:val="宋体"/>
    <w:panose1 w:val="02000500000000000000"/>
    <w:charset w:val="86"/>
    <w:family w:val="auto"/>
    <w:pitch w:val="default"/>
    <w:sig w:usb0="00000000" w:usb1="00000000" w:usb2="00000016" w:usb3="00000000" w:csb0="0004000F" w:csb1="00000000"/>
  </w:font>
  <w:font w:name="隶书">
    <w:panose1 w:val="02010509060101010101"/>
    <w:charset w:val="86"/>
    <w:family w:val="modern"/>
    <w:pitch w:val="default"/>
    <w:sig w:usb0="00000001" w:usb1="080E0000" w:usb2="00000000" w:usb3="00000000" w:csb0="00040000" w:csb1="00000000"/>
    <w:embedRegular r:id="rId6" w:fontKey="{9A878280-BD06-44CA-B303-56D925414B72}"/>
  </w:font>
  <w:font w:name="Arial Narrow">
    <w:panose1 w:val="020B0606020202030204"/>
    <w:charset w:val="00"/>
    <w:family w:val="swiss"/>
    <w:pitch w:val="default"/>
    <w:sig w:usb0="00000287" w:usb1="00000800" w:usb2="00000000" w:usb3="00000000" w:csb0="2000009F" w:csb1="DFD70000"/>
    <w:embedRegular r:id="rId7" w:fontKey="{992127E2-E15E-4732-B950-138C80B82BEC}"/>
  </w:font>
  <w:font w:name="楷体_GB2312">
    <w:altName w:val="楷体"/>
    <w:panose1 w:val="02010609030101010101"/>
    <w:charset w:val="86"/>
    <w:family w:val="modern"/>
    <w:pitch w:val="default"/>
    <w:sig w:usb0="00000000" w:usb1="00000000" w:usb2="00000000" w:usb3="00000000" w:csb0="00040000" w:csb1="00000000"/>
    <w:embedRegular r:id="rId8" w:fontKey="{9681D61D-2F34-4236-ABA0-96260C4D158B}"/>
  </w:font>
  <w:font w:name="楷体">
    <w:panose1 w:val="02010609060101010101"/>
    <w:charset w:val="86"/>
    <w:family w:val="auto"/>
    <w:pitch w:val="default"/>
    <w:sig w:usb0="800002BF" w:usb1="38CF7CFA" w:usb2="00000016" w:usb3="00000000" w:csb0="00040001" w:csb1="00000000"/>
  </w:font>
  <w:font w:name="PMingLiU">
    <w:altName w:val="Perpetua Titling MT"/>
    <w:panose1 w:val="02020500000000000000"/>
    <w:charset w:val="00"/>
    <w:family w:val="roman"/>
    <w:pitch w:val="default"/>
    <w:sig w:usb0="00000000" w:usb1="00000000" w:usb2="00000016" w:usb3="00000000" w:csb0="00100001" w:csb1="00000000"/>
    <w:embedRegular r:id="rId9" w:fontKey="{71FC9A30-4B6F-45A5-9BED-FD0683DA6779}"/>
  </w:font>
  <w:font w:name="Perpetua Titling MT">
    <w:panose1 w:val="02020502060505020804"/>
    <w:charset w:val="00"/>
    <w:family w:val="auto"/>
    <w:pitch w:val="default"/>
    <w:sig w:usb0="00000003" w:usb1="00000000" w:usb2="00000000" w:usb3="00000000" w:csb0="2000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01805">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E4006C">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0E4006C">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98E4D">
    <w:pPr>
      <w:pStyle w:val="22"/>
      <w:tabs>
        <w:tab w:val="center" w:pos="4153"/>
        <w:tab w:val="right"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FD8E7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18FD8E7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A93B1">
    <w:pPr>
      <w:pStyle w:val="22"/>
      <w:tabs>
        <w:tab w:val="center" w:pos="4153"/>
        <w:tab w:val="right"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B9062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7BB9062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9D73F">
    <w:pPr>
      <w:pStyle w:val="22"/>
      <w:tabs>
        <w:tab w:val="center" w:pos="4153"/>
        <w:tab w:val="right" w:pos="8306"/>
      </w:tabs>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21FAA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7621FAA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F403C">
    <w:pPr>
      <w:pStyle w:val="22"/>
      <w:tabs>
        <w:tab w:val="center" w:pos="4153"/>
        <w:tab w:val="right"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D07C7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v:fill on="f" focussize="0,0"/>
              <v:stroke on="f"/>
              <v:imagedata o:title=""/>
              <o:lock v:ext="edit" aspectratio="f"/>
              <v:textbox inset="0mm,0mm,0mm,0mm" style="mso-fit-shape-to-text:t;">
                <w:txbxContent>
                  <w:p w14:paraId="11D07C7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8418">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A9DDF5D">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13</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1A9DDF5D">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13</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5312E">
    <w:pPr>
      <w:pStyle w:val="22"/>
      <w:tabs>
        <w:tab w:val="center" w:pos="4153"/>
        <w:tab w:val="right" w:pos="8306"/>
        <w:tab w:val="clear" w:pos="4140"/>
        <w:tab w:val="clear" w:pos="8300"/>
      </w:tabs>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2D696">
                          <w:pPr>
                            <w:pStyle w:val="22"/>
                            <w:tabs>
                              <w:tab w:val="center" w:pos="4153"/>
                              <w:tab w:val="right" w:pos="8306"/>
                              <w:tab w:val="clear" w:pos="4140"/>
                              <w:tab w:val="clear" w:pos="8300"/>
                            </w:tabs>
                            <w:jc w:val="center"/>
                          </w:pPr>
                          <w:r>
                            <w:fldChar w:fldCharType="begin"/>
                          </w:r>
                          <w:r>
                            <w:instrText xml:space="preserve"> PAGE   \* MERGEFORMAT </w:instrText>
                          </w:r>
                          <w:r>
                            <w:fldChar w:fldCharType="separate"/>
                          </w:r>
                          <w:r>
                            <w:rPr>
                              <w:lang w:val="zh-CN"/>
                            </w:rPr>
                            <w:t>26</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3C2D696">
                    <w:pPr>
                      <w:pStyle w:val="22"/>
                      <w:tabs>
                        <w:tab w:val="center" w:pos="4153"/>
                        <w:tab w:val="right" w:pos="8306"/>
                        <w:tab w:val="clear" w:pos="4140"/>
                        <w:tab w:val="clear" w:pos="8300"/>
                      </w:tabs>
                      <w:jc w:val="center"/>
                    </w:pPr>
                    <w:r>
                      <w:fldChar w:fldCharType="begin"/>
                    </w:r>
                    <w:r>
                      <w:instrText xml:space="preserve"> PAGE   \* MERGEFORMAT </w:instrText>
                    </w:r>
                    <w:r>
                      <w:fldChar w:fldCharType="separate"/>
                    </w:r>
                    <w:r>
                      <w:rPr>
                        <w:lang w:val="zh-CN"/>
                      </w:rPr>
                      <w:t>26</w:t>
                    </w:r>
                    <w:r>
                      <w:rPr>
                        <w:lang w:val="zh-CN"/>
                      </w:rPr>
                      <w:fldChar w:fldCharType="end"/>
                    </w:r>
                  </w:p>
                </w:txbxContent>
              </v:textbox>
            </v:shape>
          </w:pict>
        </mc:Fallback>
      </mc:AlternateContent>
    </w:r>
  </w:p>
  <w:p w14:paraId="38E561B8">
    <w:pPr>
      <w:pStyle w:val="22"/>
      <w:tabs>
        <w:tab w:val="center" w:pos="4153"/>
        <w:tab w:val="right" w:pos="8306"/>
        <w:tab w:val="clear" w:pos="4140"/>
        <w:tab w:val="clear" w:pos="830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17269">
    <w:pPr>
      <w:pStyle w:val="22"/>
      <w:tabs>
        <w:tab w:val="center" w:pos="4153"/>
        <w:tab w:val="right" w:pos="8306"/>
        <w:tab w:val="clear" w:pos="4140"/>
        <w:tab w:val="clear" w:pos="8300"/>
      </w:tabs>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05DA534">
                          <w:pPr>
                            <w:pStyle w:val="22"/>
                            <w:tabs>
                              <w:tab w:val="center" w:pos="4153"/>
                              <w:tab w:val="right" w:pos="8306"/>
                              <w:tab w:val="clear" w:pos="4140"/>
                              <w:tab w:val="clear" w:pos="8300"/>
                            </w:tabs>
                            <w:ind w:right="360"/>
                            <w:jc w:val="center"/>
                          </w:pPr>
                          <w:r>
                            <w:fldChar w:fldCharType="begin"/>
                          </w:r>
                          <w:r>
                            <w:rPr>
                              <w:rStyle w:val="41"/>
                            </w:rPr>
                            <w:instrText xml:space="preserve"> PAGE </w:instrText>
                          </w:r>
                          <w:r>
                            <w:fldChar w:fldCharType="separate"/>
                          </w:r>
                          <w:r>
                            <w:rPr>
                              <w:rStyle w:val="41"/>
                            </w:rPr>
                            <w:t>13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14:paraId="505DA534">
                    <w:pPr>
                      <w:pStyle w:val="22"/>
                      <w:tabs>
                        <w:tab w:val="center" w:pos="4153"/>
                        <w:tab w:val="right" w:pos="8306"/>
                        <w:tab w:val="clear" w:pos="4140"/>
                        <w:tab w:val="clear" w:pos="8300"/>
                      </w:tabs>
                      <w:ind w:right="360"/>
                      <w:jc w:val="center"/>
                    </w:pPr>
                    <w:r>
                      <w:fldChar w:fldCharType="begin"/>
                    </w:r>
                    <w:r>
                      <w:rPr>
                        <w:rStyle w:val="41"/>
                      </w:rPr>
                      <w:instrText xml:space="preserve"> PAGE </w:instrText>
                    </w:r>
                    <w:r>
                      <w:fldChar w:fldCharType="separate"/>
                    </w:r>
                    <w:r>
                      <w:rPr>
                        <w:rStyle w:val="41"/>
                      </w:rP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1F8BB">
    <w:pPr>
      <w:pStyle w:val="23"/>
      <w:tabs>
        <w:tab w:val="center" w:pos="4153"/>
        <w:tab w:val="right" w:pos="8306"/>
      </w:tabs>
      <w:ind w:firstLine="90" w:firstLineChars="50"/>
      <w:jc w:val="both"/>
    </w:pPr>
    <w:r>
      <w:rPr>
        <w:rFonts w:hint="eastAsia" w:eastAsia="PMingLiU"/>
        <w:lang w:eastAsia="zh-TW"/>
      </w:rPr>
      <w:t>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B10C">
    <w:pPr>
      <w:pStyle w:val="23"/>
      <w:pBdr>
        <w:bottom w:val="none" w:color="auto" w:sz="0" w:space="0"/>
      </w:pBdr>
      <w:tabs>
        <w:tab w:val="center" w:pos="4153"/>
        <w:tab w:val="right" w:pos="8306"/>
        <w:tab w:val="clear" w:pos="4140"/>
        <w:tab w:val="clear" w:pos="8300"/>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2827A"/>
    <w:multiLevelType w:val="singleLevel"/>
    <w:tmpl w:val="AF82827A"/>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4"/>
      <w:numFmt w:val="japaneseCounting"/>
      <w:pStyle w:val="12"/>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5"/>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abstractNum w:abstractNumId="3">
    <w:nsid w:val="270D4A16"/>
    <w:multiLevelType w:val="singleLevel"/>
    <w:tmpl w:val="270D4A16"/>
    <w:lvl w:ilvl="0" w:tentative="0">
      <w:start w:val="1"/>
      <w:numFmt w:val="decimal"/>
      <w:suff w:val="nothing"/>
      <w:lvlText w:val="%1."/>
      <w:lvlJc w:val="left"/>
      <w:pPr>
        <w:ind w:left="-2"/>
      </w:pPr>
      <w:rPr>
        <w:rFonts w:hint="default"/>
        <w:b/>
        <w:bCs/>
        <w:sz w:val="21"/>
        <w:szCs w:val="21"/>
      </w:rPr>
    </w:lvl>
  </w:abstractNum>
  <w:abstractNum w:abstractNumId="4">
    <w:nsid w:val="49FECD61"/>
    <w:multiLevelType w:val="singleLevel"/>
    <w:tmpl w:val="49FECD61"/>
    <w:lvl w:ilvl="0" w:tentative="0">
      <w:start w:val="3"/>
      <w:numFmt w:val="chineseCounting"/>
      <w:suff w:val="nothing"/>
      <w:lvlText w:val="%1、"/>
      <w:lvlJc w:val="left"/>
      <w:rPr>
        <w:rFonts w:hint="eastAsi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ZmQ5ODhjMGJhYTliYTY1Y2RlZGUwOWQzNDZhNTcifQ=="/>
  </w:docVars>
  <w:rsids>
    <w:rsidRoot w:val="00172A27"/>
    <w:rsid w:val="00003500"/>
    <w:rsid w:val="000036B1"/>
    <w:rsid w:val="00004783"/>
    <w:rsid w:val="00004B2C"/>
    <w:rsid w:val="000105BB"/>
    <w:rsid w:val="0001067D"/>
    <w:rsid w:val="00011392"/>
    <w:rsid w:val="00013654"/>
    <w:rsid w:val="000165B9"/>
    <w:rsid w:val="00023741"/>
    <w:rsid w:val="00032B60"/>
    <w:rsid w:val="00036E93"/>
    <w:rsid w:val="000372EE"/>
    <w:rsid w:val="000443E6"/>
    <w:rsid w:val="00044457"/>
    <w:rsid w:val="00050C0D"/>
    <w:rsid w:val="000510D3"/>
    <w:rsid w:val="00052B22"/>
    <w:rsid w:val="00053E69"/>
    <w:rsid w:val="00062DFF"/>
    <w:rsid w:val="00065DC9"/>
    <w:rsid w:val="000732A8"/>
    <w:rsid w:val="000739BD"/>
    <w:rsid w:val="00074F6D"/>
    <w:rsid w:val="0007677A"/>
    <w:rsid w:val="00076D34"/>
    <w:rsid w:val="000845AF"/>
    <w:rsid w:val="0009215F"/>
    <w:rsid w:val="000947DA"/>
    <w:rsid w:val="000A3F07"/>
    <w:rsid w:val="000A63AC"/>
    <w:rsid w:val="000A6894"/>
    <w:rsid w:val="000B019A"/>
    <w:rsid w:val="000B0C0D"/>
    <w:rsid w:val="000B14B6"/>
    <w:rsid w:val="000B3C5F"/>
    <w:rsid w:val="000B4975"/>
    <w:rsid w:val="000B49EF"/>
    <w:rsid w:val="000B5546"/>
    <w:rsid w:val="000C14D2"/>
    <w:rsid w:val="000D0C09"/>
    <w:rsid w:val="000D1232"/>
    <w:rsid w:val="000D2F75"/>
    <w:rsid w:val="000D4B39"/>
    <w:rsid w:val="000D4B53"/>
    <w:rsid w:val="000D67AA"/>
    <w:rsid w:val="000E0D29"/>
    <w:rsid w:val="000E344A"/>
    <w:rsid w:val="000F386C"/>
    <w:rsid w:val="00106F56"/>
    <w:rsid w:val="001072E8"/>
    <w:rsid w:val="001075D4"/>
    <w:rsid w:val="00107E77"/>
    <w:rsid w:val="001133F6"/>
    <w:rsid w:val="001172EF"/>
    <w:rsid w:val="00133F83"/>
    <w:rsid w:val="00134620"/>
    <w:rsid w:val="001365CB"/>
    <w:rsid w:val="00137B4D"/>
    <w:rsid w:val="00140ED2"/>
    <w:rsid w:val="001444D5"/>
    <w:rsid w:val="0015006B"/>
    <w:rsid w:val="00151659"/>
    <w:rsid w:val="00152E5A"/>
    <w:rsid w:val="00155D6C"/>
    <w:rsid w:val="001567CE"/>
    <w:rsid w:val="00156C49"/>
    <w:rsid w:val="00157253"/>
    <w:rsid w:val="00165311"/>
    <w:rsid w:val="00167E62"/>
    <w:rsid w:val="00175E75"/>
    <w:rsid w:val="0017760F"/>
    <w:rsid w:val="00181DDD"/>
    <w:rsid w:val="001871A9"/>
    <w:rsid w:val="00193F26"/>
    <w:rsid w:val="001A2FC7"/>
    <w:rsid w:val="001A50FF"/>
    <w:rsid w:val="001B0384"/>
    <w:rsid w:val="001B344C"/>
    <w:rsid w:val="001B3F82"/>
    <w:rsid w:val="001B3FF3"/>
    <w:rsid w:val="001B4597"/>
    <w:rsid w:val="001B46E6"/>
    <w:rsid w:val="001B63A4"/>
    <w:rsid w:val="001B7446"/>
    <w:rsid w:val="001C183E"/>
    <w:rsid w:val="001C5B91"/>
    <w:rsid w:val="001C772E"/>
    <w:rsid w:val="001D0CCF"/>
    <w:rsid w:val="001D5022"/>
    <w:rsid w:val="001D6FB5"/>
    <w:rsid w:val="001F5569"/>
    <w:rsid w:val="001F629C"/>
    <w:rsid w:val="00203D37"/>
    <w:rsid w:val="0020613C"/>
    <w:rsid w:val="00207FA5"/>
    <w:rsid w:val="00210A6A"/>
    <w:rsid w:val="002126B6"/>
    <w:rsid w:val="0022119E"/>
    <w:rsid w:val="0022181C"/>
    <w:rsid w:val="00224D79"/>
    <w:rsid w:val="002270E9"/>
    <w:rsid w:val="0023142B"/>
    <w:rsid w:val="00233C02"/>
    <w:rsid w:val="00242ED7"/>
    <w:rsid w:val="00245AAB"/>
    <w:rsid w:val="00246C30"/>
    <w:rsid w:val="002472D2"/>
    <w:rsid w:val="00251A6B"/>
    <w:rsid w:val="00256A72"/>
    <w:rsid w:val="00263701"/>
    <w:rsid w:val="00266FDD"/>
    <w:rsid w:val="00271124"/>
    <w:rsid w:val="00271BB8"/>
    <w:rsid w:val="002732A0"/>
    <w:rsid w:val="002740AF"/>
    <w:rsid w:val="0027667D"/>
    <w:rsid w:val="0027668D"/>
    <w:rsid w:val="00285D09"/>
    <w:rsid w:val="002862E1"/>
    <w:rsid w:val="00292231"/>
    <w:rsid w:val="002947A9"/>
    <w:rsid w:val="00295091"/>
    <w:rsid w:val="0029671B"/>
    <w:rsid w:val="002A00CA"/>
    <w:rsid w:val="002A3A57"/>
    <w:rsid w:val="002B3162"/>
    <w:rsid w:val="002D4A46"/>
    <w:rsid w:val="002D5E12"/>
    <w:rsid w:val="002E6238"/>
    <w:rsid w:val="002F1CF0"/>
    <w:rsid w:val="002F21DC"/>
    <w:rsid w:val="002F26F6"/>
    <w:rsid w:val="00304750"/>
    <w:rsid w:val="00304883"/>
    <w:rsid w:val="00304CE2"/>
    <w:rsid w:val="00312ED4"/>
    <w:rsid w:val="0031403E"/>
    <w:rsid w:val="00315163"/>
    <w:rsid w:val="00315F55"/>
    <w:rsid w:val="003353BF"/>
    <w:rsid w:val="0034388B"/>
    <w:rsid w:val="00347265"/>
    <w:rsid w:val="00353582"/>
    <w:rsid w:val="00360832"/>
    <w:rsid w:val="00360C7B"/>
    <w:rsid w:val="00361878"/>
    <w:rsid w:val="0036405A"/>
    <w:rsid w:val="00364866"/>
    <w:rsid w:val="003706E2"/>
    <w:rsid w:val="00371413"/>
    <w:rsid w:val="00376CB2"/>
    <w:rsid w:val="00377018"/>
    <w:rsid w:val="00386E8F"/>
    <w:rsid w:val="003874A1"/>
    <w:rsid w:val="00391908"/>
    <w:rsid w:val="00393824"/>
    <w:rsid w:val="00395FE0"/>
    <w:rsid w:val="003A29A8"/>
    <w:rsid w:val="003A4F61"/>
    <w:rsid w:val="003A60E3"/>
    <w:rsid w:val="003A66D8"/>
    <w:rsid w:val="003B0C4D"/>
    <w:rsid w:val="003B17C5"/>
    <w:rsid w:val="003B2756"/>
    <w:rsid w:val="003B4C34"/>
    <w:rsid w:val="003C507D"/>
    <w:rsid w:val="003E5C69"/>
    <w:rsid w:val="003E7A34"/>
    <w:rsid w:val="003F1805"/>
    <w:rsid w:val="003F2839"/>
    <w:rsid w:val="003F4135"/>
    <w:rsid w:val="003F417C"/>
    <w:rsid w:val="00401846"/>
    <w:rsid w:val="00406C51"/>
    <w:rsid w:val="004130D9"/>
    <w:rsid w:val="00414FB6"/>
    <w:rsid w:val="00415BE9"/>
    <w:rsid w:val="00420EF7"/>
    <w:rsid w:val="00421B0B"/>
    <w:rsid w:val="00423C6D"/>
    <w:rsid w:val="00425CA6"/>
    <w:rsid w:val="004332F0"/>
    <w:rsid w:val="00442184"/>
    <w:rsid w:val="00445E8D"/>
    <w:rsid w:val="004564D9"/>
    <w:rsid w:val="004616F6"/>
    <w:rsid w:val="004662A4"/>
    <w:rsid w:val="00466F20"/>
    <w:rsid w:val="0047153A"/>
    <w:rsid w:val="004859BA"/>
    <w:rsid w:val="0049073F"/>
    <w:rsid w:val="00491EB5"/>
    <w:rsid w:val="004956BD"/>
    <w:rsid w:val="004A08F1"/>
    <w:rsid w:val="004B2597"/>
    <w:rsid w:val="004B4041"/>
    <w:rsid w:val="004B50AE"/>
    <w:rsid w:val="004C0102"/>
    <w:rsid w:val="004C0719"/>
    <w:rsid w:val="004C5012"/>
    <w:rsid w:val="004C5840"/>
    <w:rsid w:val="004C7FC4"/>
    <w:rsid w:val="004D0A67"/>
    <w:rsid w:val="004D4AEB"/>
    <w:rsid w:val="004E4054"/>
    <w:rsid w:val="004E73B7"/>
    <w:rsid w:val="004F21E7"/>
    <w:rsid w:val="004F372D"/>
    <w:rsid w:val="004F4C1D"/>
    <w:rsid w:val="00502F31"/>
    <w:rsid w:val="00503992"/>
    <w:rsid w:val="00503B4C"/>
    <w:rsid w:val="005049A2"/>
    <w:rsid w:val="00505431"/>
    <w:rsid w:val="0050795E"/>
    <w:rsid w:val="00511565"/>
    <w:rsid w:val="0051396A"/>
    <w:rsid w:val="00516073"/>
    <w:rsid w:val="00517C89"/>
    <w:rsid w:val="00524FBA"/>
    <w:rsid w:val="00526B56"/>
    <w:rsid w:val="00533411"/>
    <w:rsid w:val="005466E2"/>
    <w:rsid w:val="00546845"/>
    <w:rsid w:val="005539A0"/>
    <w:rsid w:val="00557EB9"/>
    <w:rsid w:val="0056233D"/>
    <w:rsid w:val="005644E4"/>
    <w:rsid w:val="00567A1B"/>
    <w:rsid w:val="00584926"/>
    <w:rsid w:val="00591E04"/>
    <w:rsid w:val="005A0FAD"/>
    <w:rsid w:val="005A7C8B"/>
    <w:rsid w:val="005B4B40"/>
    <w:rsid w:val="005B4EB0"/>
    <w:rsid w:val="005B5690"/>
    <w:rsid w:val="005C0B53"/>
    <w:rsid w:val="005C2BFC"/>
    <w:rsid w:val="005C49CC"/>
    <w:rsid w:val="005C6942"/>
    <w:rsid w:val="005D2825"/>
    <w:rsid w:val="005E3DF9"/>
    <w:rsid w:val="005E5939"/>
    <w:rsid w:val="005F08BB"/>
    <w:rsid w:val="005F0AA4"/>
    <w:rsid w:val="005F1305"/>
    <w:rsid w:val="005F2B9B"/>
    <w:rsid w:val="005F6309"/>
    <w:rsid w:val="005F6F1C"/>
    <w:rsid w:val="005F6FCD"/>
    <w:rsid w:val="00601E3A"/>
    <w:rsid w:val="00607381"/>
    <w:rsid w:val="006073EC"/>
    <w:rsid w:val="00610597"/>
    <w:rsid w:val="006140F3"/>
    <w:rsid w:val="00617A7A"/>
    <w:rsid w:val="00620DA7"/>
    <w:rsid w:val="00621C19"/>
    <w:rsid w:val="00622B29"/>
    <w:rsid w:val="00622C61"/>
    <w:rsid w:val="0063172C"/>
    <w:rsid w:val="00635D77"/>
    <w:rsid w:val="00641EC1"/>
    <w:rsid w:val="006427E2"/>
    <w:rsid w:val="00654646"/>
    <w:rsid w:val="00656F05"/>
    <w:rsid w:val="00670B0E"/>
    <w:rsid w:val="0067395D"/>
    <w:rsid w:val="00675198"/>
    <w:rsid w:val="006762BD"/>
    <w:rsid w:val="00680B00"/>
    <w:rsid w:val="006829FE"/>
    <w:rsid w:val="0068743F"/>
    <w:rsid w:val="006A2149"/>
    <w:rsid w:val="006A7C1D"/>
    <w:rsid w:val="006B2C9E"/>
    <w:rsid w:val="006B639F"/>
    <w:rsid w:val="006B7FC9"/>
    <w:rsid w:val="006C0F26"/>
    <w:rsid w:val="006C23A2"/>
    <w:rsid w:val="006C5D85"/>
    <w:rsid w:val="006C6A66"/>
    <w:rsid w:val="006D0D49"/>
    <w:rsid w:val="006D4AC5"/>
    <w:rsid w:val="006D5248"/>
    <w:rsid w:val="006D572F"/>
    <w:rsid w:val="006D6E51"/>
    <w:rsid w:val="006E4A62"/>
    <w:rsid w:val="006E6D04"/>
    <w:rsid w:val="00701CC3"/>
    <w:rsid w:val="00702224"/>
    <w:rsid w:val="00705C5C"/>
    <w:rsid w:val="00705DCF"/>
    <w:rsid w:val="0071434C"/>
    <w:rsid w:val="00734AB5"/>
    <w:rsid w:val="007508BE"/>
    <w:rsid w:val="0075476C"/>
    <w:rsid w:val="00755970"/>
    <w:rsid w:val="00757273"/>
    <w:rsid w:val="007605DB"/>
    <w:rsid w:val="0076594B"/>
    <w:rsid w:val="00771B68"/>
    <w:rsid w:val="00780BEF"/>
    <w:rsid w:val="00781A5C"/>
    <w:rsid w:val="007839BC"/>
    <w:rsid w:val="00792FAB"/>
    <w:rsid w:val="00793630"/>
    <w:rsid w:val="00795A76"/>
    <w:rsid w:val="00795F33"/>
    <w:rsid w:val="00796974"/>
    <w:rsid w:val="007A1E64"/>
    <w:rsid w:val="007A3B5A"/>
    <w:rsid w:val="007A47AE"/>
    <w:rsid w:val="007B2139"/>
    <w:rsid w:val="007B364D"/>
    <w:rsid w:val="007B4A78"/>
    <w:rsid w:val="007B7B1F"/>
    <w:rsid w:val="007B7D28"/>
    <w:rsid w:val="007C76AA"/>
    <w:rsid w:val="007D015E"/>
    <w:rsid w:val="007D0AB5"/>
    <w:rsid w:val="007D25BE"/>
    <w:rsid w:val="007D3523"/>
    <w:rsid w:val="007D3C76"/>
    <w:rsid w:val="007E2B20"/>
    <w:rsid w:val="007E3556"/>
    <w:rsid w:val="007F49B9"/>
    <w:rsid w:val="007F7D62"/>
    <w:rsid w:val="008257E5"/>
    <w:rsid w:val="008363D4"/>
    <w:rsid w:val="008374CF"/>
    <w:rsid w:val="00837AE4"/>
    <w:rsid w:val="00842EE8"/>
    <w:rsid w:val="00847622"/>
    <w:rsid w:val="008504AF"/>
    <w:rsid w:val="00851286"/>
    <w:rsid w:val="00854331"/>
    <w:rsid w:val="00870FB8"/>
    <w:rsid w:val="0087139A"/>
    <w:rsid w:val="00872149"/>
    <w:rsid w:val="0087251F"/>
    <w:rsid w:val="0088000B"/>
    <w:rsid w:val="00882363"/>
    <w:rsid w:val="00895206"/>
    <w:rsid w:val="00897259"/>
    <w:rsid w:val="008A005F"/>
    <w:rsid w:val="008A1974"/>
    <w:rsid w:val="008B1065"/>
    <w:rsid w:val="008B44E2"/>
    <w:rsid w:val="008B4C94"/>
    <w:rsid w:val="008B4F07"/>
    <w:rsid w:val="008C15D6"/>
    <w:rsid w:val="008C4CB9"/>
    <w:rsid w:val="008C6B0B"/>
    <w:rsid w:val="008C73F8"/>
    <w:rsid w:val="008C7935"/>
    <w:rsid w:val="008D5A40"/>
    <w:rsid w:val="008D5F9B"/>
    <w:rsid w:val="008E00B1"/>
    <w:rsid w:val="008E1131"/>
    <w:rsid w:val="008E3FB3"/>
    <w:rsid w:val="008E5CF6"/>
    <w:rsid w:val="008F0E5D"/>
    <w:rsid w:val="008F356C"/>
    <w:rsid w:val="008F431F"/>
    <w:rsid w:val="008F6194"/>
    <w:rsid w:val="0090034F"/>
    <w:rsid w:val="00905E20"/>
    <w:rsid w:val="0091552A"/>
    <w:rsid w:val="0092047B"/>
    <w:rsid w:val="00920750"/>
    <w:rsid w:val="009209BC"/>
    <w:rsid w:val="009224FE"/>
    <w:rsid w:val="00922C0F"/>
    <w:rsid w:val="00923BAF"/>
    <w:rsid w:val="00925F01"/>
    <w:rsid w:val="00926ECF"/>
    <w:rsid w:val="009271CE"/>
    <w:rsid w:val="00930024"/>
    <w:rsid w:val="0093095F"/>
    <w:rsid w:val="00930DDB"/>
    <w:rsid w:val="00930ED8"/>
    <w:rsid w:val="009374BB"/>
    <w:rsid w:val="009423DF"/>
    <w:rsid w:val="00942AA5"/>
    <w:rsid w:val="00943142"/>
    <w:rsid w:val="00945F1C"/>
    <w:rsid w:val="00946762"/>
    <w:rsid w:val="009468A8"/>
    <w:rsid w:val="00957249"/>
    <w:rsid w:val="009630C0"/>
    <w:rsid w:val="00963B13"/>
    <w:rsid w:val="00972E46"/>
    <w:rsid w:val="0097351D"/>
    <w:rsid w:val="00982EBE"/>
    <w:rsid w:val="00985500"/>
    <w:rsid w:val="009864F8"/>
    <w:rsid w:val="0099233F"/>
    <w:rsid w:val="00996FCC"/>
    <w:rsid w:val="009A2F84"/>
    <w:rsid w:val="009A4505"/>
    <w:rsid w:val="009A4831"/>
    <w:rsid w:val="009A5CBC"/>
    <w:rsid w:val="009B49B9"/>
    <w:rsid w:val="009B6E0A"/>
    <w:rsid w:val="009C15CF"/>
    <w:rsid w:val="009C329A"/>
    <w:rsid w:val="009C5297"/>
    <w:rsid w:val="009D5033"/>
    <w:rsid w:val="009D639A"/>
    <w:rsid w:val="009E04B8"/>
    <w:rsid w:val="009E07EB"/>
    <w:rsid w:val="009E25C2"/>
    <w:rsid w:val="009E6431"/>
    <w:rsid w:val="009E6E97"/>
    <w:rsid w:val="009F0B6C"/>
    <w:rsid w:val="009F5412"/>
    <w:rsid w:val="00A00F8A"/>
    <w:rsid w:val="00A04A42"/>
    <w:rsid w:val="00A06D79"/>
    <w:rsid w:val="00A10306"/>
    <w:rsid w:val="00A12079"/>
    <w:rsid w:val="00A156E9"/>
    <w:rsid w:val="00A20EF0"/>
    <w:rsid w:val="00A2301F"/>
    <w:rsid w:val="00A23576"/>
    <w:rsid w:val="00A24ACF"/>
    <w:rsid w:val="00A27215"/>
    <w:rsid w:val="00A3470B"/>
    <w:rsid w:val="00A36323"/>
    <w:rsid w:val="00A37C17"/>
    <w:rsid w:val="00A37E78"/>
    <w:rsid w:val="00A40385"/>
    <w:rsid w:val="00A524B5"/>
    <w:rsid w:val="00A5279B"/>
    <w:rsid w:val="00A561E3"/>
    <w:rsid w:val="00A573DF"/>
    <w:rsid w:val="00A60DF2"/>
    <w:rsid w:val="00A619A2"/>
    <w:rsid w:val="00A64326"/>
    <w:rsid w:val="00A64A2F"/>
    <w:rsid w:val="00A812F2"/>
    <w:rsid w:val="00A8240B"/>
    <w:rsid w:val="00A83AD2"/>
    <w:rsid w:val="00A8439F"/>
    <w:rsid w:val="00A85002"/>
    <w:rsid w:val="00A873A4"/>
    <w:rsid w:val="00A905D6"/>
    <w:rsid w:val="00AA2769"/>
    <w:rsid w:val="00AA66C9"/>
    <w:rsid w:val="00AB67CB"/>
    <w:rsid w:val="00AB69CC"/>
    <w:rsid w:val="00AB6BFA"/>
    <w:rsid w:val="00AB7019"/>
    <w:rsid w:val="00AC1C04"/>
    <w:rsid w:val="00AC3CEA"/>
    <w:rsid w:val="00AC3E8F"/>
    <w:rsid w:val="00AC4302"/>
    <w:rsid w:val="00AC458F"/>
    <w:rsid w:val="00AC4CAF"/>
    <w:rsid w:val="00AC4F58"/>
    <w:rsid w:val="00AC7C76"/>
    <w:rsid w:val="00AD5DD6"/>
    <w:rsid w:val="00AE1728"/>
    <w:rsid w:val="00AE5F0A"/>
    <w:rsid w:val="00AF1302"/>
    <w:rsid w:val="00AF301B"/>
    <w:rsid w:val="00AF32A3"/>
    <w:rsid w:val="00AF3943"/>
    <w:rsid w:val="00AF440F"/>
    <w:rsid w:val="00B01E66"/>
    <w:rsid w:val="00B04DBD"/>
    <w:rsid w:val="00B07B4E"/>
    <w:rsid w:val="00B1281C"/>
    <w:rsid w:val="00B14B9D"/>
    <w:rsid w:val="00B24CF1"/>
    <w:rsid w:val="00B33B57"/>
    <w:rsid w:val="00B33E01"/>
    <w:rsid w:val="00B35FA3"/>
    <w:rsid w:val="00B36755"/>
    <w:rsid w:val="00B37811"/>
    <w:rsid w:val="00B41A83"/>
    <w:rsid w:val="00B43817"/>
    <w:rsid w:val="00B51F81"/>
    <w:rsid w:val="00B52001"/>
    <w:rsid w:val="00B541BA"/>
    <w:rsid w:val="00B54FDF"/>
    <w:rsid w:val="00B55827"/>
    <w:rsid w:val="00B55D54"/>
    <w:rsid w:val="00B57434"/>
    <w:rsid w:val="00B62455"/>
    <w:rsid w:val="00B65B8B"/>
    <w:rsid w:val="00B842C4"/>
    <w:rsid w:val="00B91F0A"/>
    <w:rsid w:val="00B92F99"/>
    <w:rsid w:val="00B9576E"/>
    <w:rsid w:val="00B96A52"/>
    <w:rsid w:val="00BA0CA6"/>
    <w:rsid w:val="00BA48F7"/>
    <w:rsid w:val="00BA49F1"/>
    <w:rsid w:val="00BA4F29"/>
    <w:rsid w:val="00BA594D"/>
    <w:rsid w:val="00BB0944"/>
    <w:rsid w:val="00BB2B5A"/>
    <w:rsid w:val="00BB404A"/>
    <w:rsid w:val="00BB5382"/>
    <w:rsid w:val="00BB611C"/>
    <w:rsid w:val="00BD151E"/>
    <w:rsid w:val="00BD4257"/>
    <w:rsid w:val="00BE29DB"/>
    <w:rsid w:val="00BE512E"/>
    <w:rsid w:val="00BF3CAD"/>
    <w:rsid w:val="00BF6934"/>
    <w:rsid w:val="00C00491"/>
    <w:rsid w:val="00C026B9"/>
    <w:rsid w:val="00C03AA9"/>
    <w:rsid w:val="00C03EC5"/>
    <w:rsid w:val="00C07669"/>
    <w:rsid w:val="00C12DE3"/>
    <w:rsid w:val="00C1383C"/>
    <w:rsid w:val="00C138B5"/>
    <w:rsid w:val="00C1421C"/>
    <w:rsid w:val="00C14B91"/>
    <w:rsid w:val="00C24B57"/>
    <w:rsid w:val="00C40BE2"/>
    <w:rsid w:val="00C430EF"/>
    <w:rsid w:val="00C43B12"/>
    <w:rsid w:val="00C5209E"/>
    <w:rsid w:val="00C5411F"/>
    <w:rsid w:val="00C54177"/>
    <w:rsid w:val="00C548BB"/>
    <w:rsid w:val="00C55352"/>
    <w:rsid w:val="00C720B4"/>
    <w:rsid w:val="00C80E91"/>
    <w:rsid w:val="00C817F1"/>
    <w:rsid w:val="00C839D2"/>
    <w:rsid w:val="00C84847"/>
    <w:rsid w:val="00C8514C"/>
    <w:rsid w:val="00C85CF7"/>
    <w:rsid w:val="00C90B47"/>
    <w:rsid w:val="00C91CEF"/>
    <w:rsid w:val="00C95A03"/>
    <w:rsid w:val="00CA5A60"/>
    <w:rsid w:val="00CB5065"/>
    <w:rsid w:val="00CB59E2"/>
    <w:rsid w:val="00CC349B"/>
    <w:rsid w:val="00CF0111"/>
    <w:rsid w:val="00CF2483"/>
    <w:rsid w:val="00CF40E5"/>
    <w:rsid w:val="00D01030"/>
    <w:rsid w:val="00D105A1"/>
    <w:rsid w:val="00D17B46"/>
    <w:rsid w:val="00D21774"/>
    <w:rsid w:val="00D23A8A"/>
    <w:rsid w:val="00D25923"/>
    <w:rsid w:val="00D26D9F"/>
    <w:rsid w:val="00D32DBE"/>
    <w:rsid w:val="00D379C2"/>
    <w:rsid w:val="00D42C5D"/>
    <w:rsid w:val="00D45D88"/>
    <w:rsid w:val="00D466B0"/>
    <w:rsid w:val="00D47690"/>
    <w:rsid w:val="00D478D9"/>
    <w:rsid w:val="00D50150"/>
    <w:rsid w:val="00D53073"/>
    <w:rsid w:val="00D560DC"/>
    <w:rsid w:val="00D56F7D"/>
    <w:rsid w:val="00D578D2"/>
    <w:rsid w:val="00D60F9D"/>
    <w:rsid w:val="00D62DA5"/>
    <w:rsid w:val="00D70890"/>
    <w:rsid w:val="00D73F15"/>
    <w:rsid w:val="00D75245"/>
    <w:rsid w:val="00D9387A"/>
    <w:rsid w:val="00D94B1D"/>
    <w:rsid w:val="00DA352E"/>
    <w:rsid w:val="00DA490A"/>
    <w:rsid w:val="00DA767A"/>
    <w:rsid w:val="00DB0A97"/>
    <w:rsid w:val="00DB0C1C"/>
    <w:rsid w:val="00DB10BF"/>
    <w:rsid w:val="00DC4ACA"/>
    <w:rsid w:val="00DC5845"/>
    <w:rsid w:val="00DC5AD4"/>
    <w:rsid w:val="00DC6DF2"/>
    <w:rsid w:val="00DE25F8"/>
    <w:rsid w:val="00DE76BC"/>
    <w:rsid w:val="00DF5774"/>
    <w:rsid w:val="00DF6493"/>
    <w:rsid w:val="00E04F06"/>
    <w:rsid w:val="00E0778D"/>
    <w:rsid w:val="00E145CA"/>
    <w:rsid w:val="00E21DE1"/>
    <w:rsid w:val="00E21FD7"/>
    <w:rsid w:val="00E25100"/>
    <w:rsid w:val="00E2518C"/>
    <w:rsid w:val="00E2555E"/>
    <w:rsid w:val="00E25BB6"/>
    <w:rsid w:val="00E26FEB"/>
    <w:rsid w:val="00E4024C"/>
    <w:rsid w:val="00E42A72"/>
    <w:rsid w:val="00E64388"/>
    <w:rsid w:val="00E724CF"/>
    <w:rsid w:val="00E75FDF"/>
    <w:rsid w:val="00E9157D"/>
    <w:rsid w:val="00EA06CD"/>
    <w:rsid w:val="00EA40E8"/>
    <w:rsid w:val="00EA5C81"/>
    <w:rsid w:val="00EB3DE7"/>
    <w:rsid w:val="00EB7BC9"/>
    <w:rsid w:val="00EC171D"/>
    <w:rsid w:val="00EC6F04"/>
    <w:rsid w:val="00ED016E"/>
    <w:rsid w:val="00ED3D4D"/>
    <w:rsid w:val="00ED4275"/>
    <w:rsid w:val="00ED5161"/>
    <w:rsid w:val="00ED5986"/>
    <w:rsid w:val="00ED7FC9"/>
    <w:rsid w:val="00EE524E"/>
    <w:rsid w:val="00EF5F30"/>
    <w:rsid w:val="00F010BC"/>
    <w:rsid w:val="00F059BD"/>
    <w:rsid w:val="00F05CA3"/>
    <w:rsid w:val="00F07370"/>
    <w:rsid w:val="00F10102"/>
    <w:rsid w:val="00F1150D"/>
    <w:rsid w:val="00F13FAD"/>
    <w:rsid w:val="00F14C66"/>
    <w:rsid w:val="00F14FE1"/>
    <w:rsid w:val="00F22DC4"/>
    <w:rsid w:val="00F24A46"/>
    <w:rsid w:val="00F2592F"/>
    <w:rsid w:val="00F27441"/>
    <w:rsid w:val="00F3089E"/>
    <w:rsid w:val="00F41B56"/>
    <w:rsid w:val="00F50EEF"/>
    <w:rsid w:val="00F52A5C"/>
    <w:rsid w:val="00F5713F"/>
    <w:rsid w:val="00F577B8"/>
    <w:rsid w:val="00F62035"/>
    <w:rsid w:val="00F662C9"/>
    <w:rsid w:val="00F6665B"/>
    <w:rsid w:val="00F703F8"/>
    <w:rsid w:val="00F71311"/>
    <w:rsid w:val="00F71A56"/>
    <w:rsid w:val="00F72360"/>
    <w:rsid w:val="00F73D61"/>
    <w:rsid w:val="00F766FF"/>
    <w:rsid w:val="00F81051"/>
    <w:rsid w:val="00F978C2"/>
    <w:rsid w:val="00FA033B"/>
    <w:rsid w:val="00FA578A"/>
    <w:rsid w:val="00FA67F2"/>
    <w:rsid w:val="00FA6BFC"/>
    <w:rsid w:val="00FA7195"/>
    <w:rsid w:val="00FB4246"/>
    <w:rsid w:val="00FC33A9"/>
    <w:rsid w:val="00FD0F42"/>
    <w:rsid w:val="00FD12C7"/>
    <w:rsid w:val="00FD160F"/>
    <w:rsid w:val="00FD758B"/>
    <w:rsid w:val="00FE3931"/>
    <w:rsid w:val="00FF00E7"/>
    <w:rsid w:val="00FF39FD"/>
    <w:rsid w:val="00FF5296"/>
    <w:rsid w:val="00FF5605"/>
    <w:rsid w:val="00FF79DE"/>
    <w:rsid w:val="0103164E"/>
    <w:rsid w:val="01050F22"/>
    <w:rsid w:val="010B405F"/>
    <w:rsid w:val="01121891"/>
    <w:rsid w:val="01161381"/>
    <w:rsid w:val="01253372"/>
    <w:rsid w:val="0132783D"/>
    <w:rsid w:val="013D4B60"/>
    <w:rsid w:val="013E5A8C"/>
    <w:rsid w:val="01423F24"/>
    <w:rsid w:val="014A2DD9"/>
    <w:rsid w:val="014A4B87"/>
    <w:rsid w:val="01545A05"/>
    <w:rsid w:val="01830099"/>
    <w:rsid w:val="018E7169"/>
    <w:rsid w:val="019329D2"/>
    <w:rsid w:val="0194674A"/>
    <w:rsid w:val="01AC5842"/>
    <w:rsid w:val="01BD17FD"/>
    <w:rsid w:val="01C34939"/>
    <w:rsid w:val="01CD7566"/>
    <w:rsid w:val="01D54D98"/>
    <w:rsid w:val="01D803E5"/>
    <w:rsid w:val="01D8357C"/>
    <w:rsid w:val="01EE5E5A"/>
    <w:rsid w:val="01F33470"/>
    <w:rsid w:val="021448C1"/>
    <w:rsid w:val="021B4775"/>
    <w:rsid w:val="021D673F"/>
    <w:rsid w:val="0224362A"/>
    <w:rsid w:val="022950E4"/>
    <w:rsid w:val="022C24DE"/>
    <w:rsid w:val="022F3E0B"/>
    <w:rsid w:val="02357F37"/>
    <w:rsid w:val="02465A96"/>
    <w:rsid w:val="02565064"/>
    <w:rsid w:val="02624152"/>
    <w:rsid w:val="02631873"/>
    <w:rsid w:val="026B1259"/>
    <w:rsid w:val="026C4FD1"/>
    <w:rsid w:val="026D3223"/>
    <w:rsid w:val="028A3112"/>
    <w:rsid w:val="02A66735"/>
    <w:rsid w:val="02A76009"/>
    <w:rsid w:val="02A97FD3"/>
    <w:rsid w:val="02B40E52"/>
    <w:rsid w:val="02B56978"/>
    <w:rsid w:val="02BA3F8E"/>
    <w:rsid w:val="02BD75DA"/>
    <w:rsid w:val="02CB7559"/>
    <w:rsid w:val="02D0730E"/>
    <w:rsid w:val="02DD6E97"/>
    <w:rsid w:val="02E62FD5"/>
    <w:rsid w:val="02E96621"/>
    <w:rsid w:val="02EF3E7D"/>
    <w:rsid w:val="02FF5E45"/>
    <w:rsid w:val="031A4A2D"/>
    <w:rsid w:val="031A67DB"/>
    <w:rsid w:val="032633D2"/>
    <w:rsid w:val="033B1182"/>
    <w:rsid w:val="033C0E47"/>
    <w:rsid w:val="03575D3D"/>
    <w:rsid w:val="036068E4"/>
    <w:rsid w:val="03630182"/>
    <w:rsid w:val="037800D1"/>
    <w:rsid w:val="038509C9"/>
    <w:rsid w:val="03936CB9"/>
    <w:rsid w:val="03962305"/>
    <w:rsid w:val="03993BA4"/>
    <w:rsid w:val="039E11BA"/>
    <w:rsid w:val="03A2514E"/>
    <w:rsid w:val="03A74512"/>
    <w:rsid w:val="03A964DC"/>
    <w:rsid w:val="03BE7AAE"/>
    <w:rsid w:val="03D1158F"/>
    <w:rsid w:val="03D177E1"/>
    <w:rsid w:val="03E12C8F"/>
    <w:rsid w:val="03E63A70"/>
    <w:rsid w:val="04021749"/>
    <w:rsid w:val="040556DD"/>
    <w:rsid w:val="04097E63"/>
    <w:rsid w:val="040A2CF3"/>
    <w:rsid w:val="041B0A5C"/>
    <w:rsid w:val="041D47D5"/>
    <w:rsid w:val="041F054D"/>
    <w:rsid w:val="043B2EAD"/>
    <w:rsid w:val="045A3333"/>
    <w:rsid w:val="047343F5"/>
    <w:rsid w:val="04781A0B"/>
    <w:rsid w:val="047A1C27"/>
    <w:rsid w:val="04891E6A"/>
    <w:rsid w:val="04936845"/>
    <w:rsid w:val="049A75AA"/>
    <w:rsid w:val="049F51EA"/>
    <w:rsid w:val="04A24CDA"/>
    <w:rsid w:val="04AB3B8E"/>
    <w:rsid w:val="04E86B91"/>
    <w:rsid w:val="04F05330"/>
    <w:rsid w:val="04FA4B16"/>
    <w:rsid w:val="05031AF8"/>
    <w:rsid w:val="050F6813"/>
    <w:rsid w:val="051946BF"/>
    <w:rsid w:val="052849AD"/>
    <w:rsid w:val="053E0EA6"/>
    <w:rsid w:val="0543026B"/>
    <w:rsid w:val="05445D91"/>
    <w:rsid w:val="054963DC"/>
    <w:rsid w:val="054A15F9"/>
    <w:rsid w:val="054B5371"/>
    <w:rsid w:val="054D733B"/>
    <w:rsid w:val="054F4E62"/>
    <w:rsid w:val="05575AC4"/>
    <w:rsid w:val="055A7363"/>
    <w:rsid w:val="056A57F8"/>
    <w:rsid w:val="056D178C"/>
    <w:rsid w:val="05755D10"/>
    <w:rsid w:val="057C377D"/>
    <w:rsid w:val="05907523"/>
    <w:rsid w:val="05A35726"/>
    <w:rsid w:val="05BD626F"/>
    <w:rsid w:val="05E355AA"/>
    <w:rsid w:val="05E579E8"/>
    <w:rsid w:val="05FE4192"/>
    <w:rsid w:val="05FE5C3A"/>
    <w:rsid w:val="06071298"/>
    <w:rsid w:val="060F6696"/>
    <w:rsid w:val="061D286A"/>
    <w:rsid w:val="06224324"/>
    <w:rsid w:val="062260D2"/>
    <w:rsid w:val="06336531"/>
    <w:rsid w:val="064029FC"/>
    <w:rsid w:val="064E5119"/>
    <w:rsid w:val="064F49ED"/>
    <w:rsid w:val="06500E91"/>
    <w:rsid w:val="06533545"/>
    <w:rsid w:val="065B3392"/>
    <w:rsid w:val="065D535C"/>
    <w:rsid w:val="06622973"/>
    <w:rsid w:val="0664493D"/>
    <w:rsid w:val="066E30C6"/>
    <w:rsid w:val="067276B4"/>
    <w:rsid w:val="067B3A34"/>
    <w:rsid w:val="06897EFF"/>
    <w:rsid w:val="06905732"/>
    <w:rsid w:val="06952D48"/>
    <w:rsid w:val="069F3BC7"/>
    <w:rsid w:val="06AE3E0A"/>
    <w:rsid w:val="06BD229F"/>
    <w:rsid w:val="06C23411"/>
    <w:rsid w:val="06C4362D"/>
    <w:rsid w:val="06C74ECC"/>
    <w:rsid w:val="06D66EBD"/>
    <w:rsid w:val="0708351A"/>
    <w:rsid w:val="070B125C"/>
    <w:rsid w:val="07133C6D"/>
    <w:rsid w:val="07140111"/>
    <w:rsid w:val="072365A6"/>
    <w:rsid w:val="07293490"/>
    <w:rsid w:val="073D7647"/>
    <w:rsid w:val="074F4C03"/>
    <w:rsid w:val="07510E9A"/>
    <w:rsid w:val="0757624F"/>
    <w:rsid w:val="076444C8"/>
    <w:rsid w:val="07666493"/>
    <w:rsid w:val="0777244E"/>
    <w:rsid w:val="07797F74"/>
    <w:rsid w:val="07862691"/>
    <w:rsid w:val="078B414B"/>
    <w:rsid w:val="07943000"/>
    <w:rsid w:val="079A613C"/>
    <w:rsid w:val="079D726B"/>
    <w:rsid w:val="07A82607"/>
    <w:rsid w:val="07AA2823"/>
    <w:rsid w:val="07B92E8A"/>
    <w:rsid w:val="07BA233A"/>
    <w:rsid w:val="07C66F31"/>
    <w:rsid w:val="07D57174"/>
    <w:rsid w:val="07DE071F"/>
    <w:rsid w:val="07DF13ED"/>
    <w:rsid w:val="07FE7AC6"/>
    <w:rsid w:val="08002443"/>
    <w:rsid w:val="080041F1"/>
    <w:rsid w:val="08063664"/>
    <w:rsid w:val="080C528C"/>
    <w:rsid w:val="080C703A"/>
    <w:rsid w:val="081163FE"/>
    <w:rsid w:val="08135DD7"/>
    <w:rsid w:val="08326375"/>
    <w:rsid w:val="083D4E69"/>
    <w:rsid w:val="083E11BD"/>
    <w:rsid w:val="08406CE4"/>
    <w:rsid w:val="08430582"/>
    <w:rsid w:val="085B1D6F"/>
    <w:rsid w:val="085C6899"/>
    <w:rsid w:val="085E53BC"/>
    <w:rsid w:val="08602EE2"/>
    <w:rsid w:val="087B7D1C"/>
    <w:rsid w:val="0882554E"/>
    <w:rsid w:val="08872B64"/>
    <w:rsid w:val="088C1F29"/>
    <w:rsid w:val="08962DDD"/>
    <w:rsid w:val="08A13C26"/>
    <w:rsid w:val="08AC25CB"/>
    <w:rsid w:val="08B33959"/>
    <w:rsid w:val="08BD0334"/>
    <w:rsid w:val="08BF40AC"/>
    <w:rsid w:val="08C469A0"/>
    <w:rsid w:val="08C94F2B"/>
    <w:rsid w:val="08CC0577"/>
    <w:rsid w:val="08DC4C5E"/>
    <w:rsid w:val="08DD4532"/>
    <w:rsid w:val="08E104C7"/>
    <w:rsid w:val="08EC0C19"/>
    <w:rsid w:val="08ED4DD6"/>
    <w:rsid w:val="08EF118D"/>
    <w:rsid w:val="08F14B17"/>
    <w:rsid w:val="08F16230"/>
    <w:rsid w:val="08F33D56"/>
    <w:rsid w:val="09045F63"/>
    <w:rsid w:val="090E6DE2"/>
    <w:rsid w:val="091343F8"/>
    <w:rsid w:val="092E2C7C"/>
    <w:rsid w:val="0932268F"/>
    <w:rsid w:val="09376339"/>
    <w:rsid w:val="093C359F"/>
    <w:rsid w:val="093F0D49"/>
    <w:rsid w:val="09475E50"/>
    <w:rsid w:val="094C3466"/>
    <w:rsid w:val="094D790A"/>
    <w:rsid w:val="095073FA"/>
    <w:rsid w:val="095567BF"/>
    <w:rsid w:val="096207EF"/>
    <w:rsid w:val="09896468"/>
    <w:rsid w:val="098A290C"/>
    <w:rsid w:val="098F1CD1"/>
    <w:rsid w:val="09906519"/>
    <w:rsid w:val="099866AB"/>
    <w:rsid w:val="09992B4F"/>
    <w:rsid w:val="09AA4D5C"/>
    <w:rsid w:val="09AB63DF"/>
    <w:rsid w:val="09D41DD9"/>
    <w:rsid w:val="09D45935"/>
    <w:rsid w:val="09DB3168"/>
    <w:rsid w:val="09E4606F"/>
    <w:rsid w:val="0A0A57FB"/>
    <w:rsid w:val="0A140428"/>
    <w:rsid w:val="0A285C81"/>
    <w:rsid w:val="0A287A2F"/>
    <w:rsid w:val="0A331619"/>
    <w:rsid w:val="0A3B3C06"/>
    <w:rsid w:val="0A4C5E14"/>
    <w:rsid w:val="0A4C7BC2"/>
    <w:rsid w:val="0A4D56E8"/>
    <w:rsid w:val="0A5D3B7D"/>
    <w:rsid w:val="0A5E78F5"/>
    <w:rsid w:val="0A640777"/>
    <w:rsid w:val="0A652A31"/>
    <w:rsid w:val="0A6B1C9E"/>
    <w:rsid w:val="0A8F6925"/>
    <w:rsid w:val="0AA47989"/>
    <w:rsid w:val="0AB67C5B"/>
    <w:rsid w:val="0AB87005"/>
    <w:rsid w:val="0AC0235E"/>
    <w:rsid w:val="0ACB4F8A"/>
    <w:rsid w:val="0ACE05D7"/>
    <w:rsid w:val="0AD11E75"/>
    <w:rsid w:val="0AE53B72"/>
    <w:rsid w:val="0AEC5484"/>
    <w:rsid w:val="0AF142C5"/>
    <w:rsid w:val="0AF73FD1"/>
    <w:rsid w:val="0B1A381C"/>
    <w:rsid w:val="0B1B1342"/>
    <w:rsid w:val="0B2428ED"/>
    <w:rsid w:val="0B2E376B"/>
    <w:rsid w:val="0B5C2086"/>
    <w:rsid w:val="0B6C0A55"/>
    <w:rsid w:val="0B772A1C"/>
    <w:rsid w:val="0B7A69B0"/>
    <w:rsid w:val="0B923CFA"/>
    <w:rsid w:val="0B9C2483"/>
    <w:rsid w:val="0BA354C3"/>
    <w:rsid w:val="0BAC014B"/>
    <w:rsid w:val="0BB2614A"/>
    <w:rsid w:val="0BB93035"/>
    <w:rsid w:val="0BC0059A"/>
    <w:rsid w:val="0BC11EE9"/>
    <w:rsid w:val="0BCB4B16"/>
    <w:rsid w:val="0BED0F30"/>
    <w:rsid w:val="0BF16C73"/>
    <w:rsid w:val="0BF26547"/>
    <w:rsid w:val="0BF40511"/>
    <w:rsid w:val="0C000C64"/>
    <w:rsid w:val="0C02165E"/>
    <w:rsid w:val="0C0369A6"/>
    <w:rsid w:val="0C107BA8"/>
    <w:rsid w:val="0C1464BD"/>
    <w:rsid w:val="0C19141A"/>
    <w:rsid w:val="0C2506CA"/>
    <w:rsid w:val="0C37664F"/>
    <w:rsid w:val="0C4D5E73"/>
    <w:rsid w:val="0C517711"/>
    <w:rsid w:val="0C523489"/>
    <w:rsid w:val="0C590374"/>
    <w:rsid w:val="0C5E1E2E"/>
    <w:rsid w:val="0C632FA1"/>
    <w:rsid w:val="0C711B61"/>
    <w:rsid w:val="0C7C5C90"/>
    <w:rsid w:val="0C7D22B4"/>
    <w:rsid w:val="0C801DA5"/>
    <w:rsid w:val="0C864D53"/>
    <w:rsid w:val="0C867851"/>
    <w:rsid w:val="0C923886"/>
    <w:rsid w:val="0C937D2A"/>
    <w:rsid w:val="0C945850"/>
    <w:rsid w:val="0C970296"/>
    <w:rsid w:val="0C9D4705"/>
    <w:rsid w:val="0CA27745"/>
    <w:rsid w:val="0CA912FB"/>
    <w:rsid w:val="0CAE6912"/>
    <w:rsid w:val="0CB87F1B"/>
    <w:rsid w:val="0CBD6B55"/>
    <w:rsid w:val="0CBE467B"/>
    <w:rsid w:val="0CC53C5B"/>
    <w:rsid w:val="0CD16FA1"/>
    <w:rsid w:val="0CD81BE1"/>
    <w:rsid w:val="0CDE6ACB"/>
    <w:rsid w:val="0CE12BAF"/>
    <w:rsid w:val="0D044784"/>
    <w:rsid w:val="0D0E115E"/>
    <w:rsid w:val="0D103128"/>
    <w:rsid w:val="0D183D8B"/>
    <w:rsid w:val="0D200E92"/>
    <w:rsid w:val="0D2210AE"/>
    <w:rsid w:val="0D2941EA"/>
    <w:rsid w:val="0D316917"/>
    <w:rsid w:val="0D335069"/>
    <w:rsid w:val="0D350DE1"/>
    <w:rsid w:val="0D35493D"/>
    <w:rsid w:val="0D4D75F3"/>
    <w:rsid w:val="0D4E1D51"/>
    <w:rsid w:val="0D533015"/>
    <w:rsid w:val="0D696CDD"/>
    <w:rsid w:val="0D847E39"/>
    <w:rsid w:val="0D8B6C53"/>
    <w:rsid w:val="0D961154"/>
    <w:rsid w:val="0D9C676A"/>
    <w:rsid w:val="0D9D24E2"/>
    <w:rsid w:val="0DA33F9D"/>
    <w:rsid w:val="0DA47D15"/>
    <w:rsid w:val="0DAA6242"/>
    <w:rsid w:val="0DAD4E1B"/>
    <w:rsid w:val="0DB8731C"/>
    <w:rsid w:val="0DCD1019"/>
    <w:rsid w:val="0DD71E98"/>
    <w:rsid w:val="0DDE75AF"/>
    <w:rsid w:val="0DE87C01"/>
    <w:rsid w:val="0DEB4982"/>
    <w:rsid w:val="0DEF71E2"/>
    <w:rsid w:val="0E097B78"/>
    <w:rsid w:val="0E100F06"/>
    <w:rsid w:val="0E177DB4"/>
    <w:rsid w:val="0E2A646C"/>
    <w:rsid w:val="0E3A7EF6"/>
    <w:rsid w:val="0E4A08BC"/>
    <w:rsid w:val="0E545297"/>
    <w:rsid w:val="0E552DBD"/>
    <w:rsid w:val="0E7771D7"/>
    <w:rsid w:val="0E852257"/>
    <w:rsid w:val="0E883192"/>
    <w:rsid w:val="0E900C18"/>
    <w:rsid w:val="0E99714E"/>
    <w:rsid w:val="0EA31D7A"/>
    <w:rsid w:val="0EB14497"/>
    <w:rsid w:val="0EB81C86"/>
    <w:rsid w:val="0EC266A4"/>
    <w:rsid w:val="0EC95C85"/>
    <w:rsid w:val="0ECE329B"/>
    <w:rsid w:val="0ED4462A"/>
    <w:rsid w:val="0EE91E83"/>
    <w:rsid w:val="0EFA4090"/>
    <w:rsid w:val="0EFD76DC"/>
    <w:rsid w:val="0F07055B"/>
    <w:rsid w:val="0F0C791F"/>
    <w:rsid w:val="0F0E19B1"/>
    <w:rsid w:val="0F0E3698"/>
    <w:rsid w:val="0F276507"/>
    <w:rsid w:val="0F2A5FF8"/>
    <w:rsid w:val="0F44355D"/>
    <w:rsid w:val="0F4672D5"/>
    <w:rsid w:val="0F492922"/>
    <w:rsid w:val="0F4C0664"/>
    <w:rsid w:val="0F5F5CA1"/>
    <w:rsid w:val="0F625791"/>
    <w:rsid w:val="0F6E05DA"/>
    <w:rsid w:val="0F756041"/>
    <w:rsid w:val="0F7E5CE7"/>
    <w:rsid w:val="0F8120BC"/>
    <w:rsid w:val="0F984E8D"/>
    <w:rsid w:val="0FAD7CAC"/>
    <w:rsid w:val="0FAE4E7B"/>
    <w:rsid w:val="0FAE6C29"/>
    <w:rsid w:val="0FB6788B"/>
    <w:rsid w:val="0FC24FD2"/>
    <w:rsid w:val="0FC621C4"/>
    <w:rsid w:val="0FC95811"/>
    <w:rsid w:val="0FDF67C4"/>
    <w:rsid w:val="0FE12B5A"/>
    <w:rsid w:val="0FE268D2"/>
    <w:rsid w:val="0FE32D76"/>
    <w:rsid w:val="0FE60171"/>
    <w:rsid w:val="0FEE3C40"/>
    <w:rsid w:val="0FF02D9D"/>
    <w:rsid w:val="0FF76461"/>
    <w:rsid w:val="0FFC3E38"/>
    <w:rsid w:val="10036F74"/>
    <w:rsid w:val="10042CED"/>
    <w:rsid w:val="10120F66"/>
    <w:rsid w:val="10260EB5"/>
    <w:rsid w:val="10284C2D"/>
    <w:rsid w:val="1031101D"/>
    <w:rsid w:val="10315202"/>
    <w:rsid w:val="1041176A"/>
    <w:rsid w:val="1053332C"/>
    <w:rsid w:val="105477D0"/>
    <w:rsid w:val="10581601"/>
    <w:rsid w:val="105E064F"/>
    <w:rsid w:val="1067787C"/>
    <w:rsid w:val="107439CE"/>
    <w:rsid w:val="107734BE"/>
    <w:rsid w:val="107A6B0B"/>
    <w:rsid w:val="10953945"/>
    <w:rsid w:val="109B53FF"/>
    <w:rsid w:val="10AD0C8E"/>
    <w:rsid w:val="10B71B0D"/>
    <w:rsid w:val="10BC7123"/>
    <w:rsid w:val="10C0356C"/>
    <w:rsid w:val="10C466DE"/>
    <w:rsid w:val="10CA5CE4"/>
    <w:rsid w:val="10CC55B8"/>
    <w:rsid w:val="10DB4392"/>
    <w:rsid w:val="10E072B6"/>
    <w:rsid w:val="10E5667A"/>
    <w:rsid w:val="10E741A0"/>
    <w:rsid w:val="10EC7A09"/>
    <w:rsid w:val="10ED552F"/>
    <w:rsid w:val="10F468BD"/>
    <w:rsid w:val="10F51CCB"/>
    <w:rsid w:val="112278CE"/>
    <w:rsid w:val="1125116C"/>
    <w:rsid w:val="11254CC9"/>
    <w:rsid w:val="113E3FDC"/>
    <w:rsid w:val="114C52E5"/>
    <w:rsid w:val="115A7068"/>
    <w:rsid w:val="115C76E5"/>
    <w:rsid w:val="115F642C"/>
    <w:rsid w:val="116C28F7"/>
    <w:rsid w:val="11780E78"/>
    <w:rsid w:val="117B2B3A"/>
    <w:rsid w:val="117C68F9"/>
    <w:rsid w:val="118714DF"/>
    <w:rsid w:val="118C0FA3"/>
    <w:rsid w:val="118E286E"/>
    <w:rsid w:val="11904838"/>
    <w:rsid w:val="11951E4E"/>
    <w:rsid w:val="119A3908"/>
    <w:rsid w:val="11A976A8"/>
    <w:rsid w:val="11AE1162"/>
    <w:rsid w:val="11B12A00"/>
    <w:rsid w:val="11BB3757"/>
    <w:rsid w:val="11BB73DB"/>
    <w:rsid w:val="11BD75F7"/>
    <w:rsid w:val="11BF435B"/>
    <w:rsid w:val="11C11F49"/>
    <w:rsid w:val="11C72224"/>
    <w:rsid w:val="11D0732A"/>
    <w:rsid w:val="11D32976"/>
    <w:rsid w:val="11DE03FE"/>
    <w:rsid w:val="11DE5F31"/>
    <w:rsid w:val="11FF551A"/>
    <w:rsid w:val="120D40DA"/>
    <w:rsid w:val="12130FC5"/>
    <w:rsid w:val="121865DB"/>
    <w:rsid w:val="121F796A"/>
    <w:rsid w:val="122412BD"/>
    <w:rsid w:val="12260CF8"/>
    <w:rsid w:val="12354647"/>
    <w:rsid w:val="123553DF"/>
    <w:rsid w:val="12375B71"/>
    <w:rsid w:val="123C2565"/>
    <w:rsid w:val="123C676E"/>
    <w:rsid w:val="12447199"/>
    <w:rsid w:val="12486EC1"/>
    <w:rsid w:val="124B075F"/>
    <w:rsid w:val="124B4C03"/>
    <w:rsid w:val="124D2729"/>
    <w:rsid w:val="125735A8"/>
    <w:rsid w:val="125F420A"/>
    <w:rsid w:val="12655CC4"/>
    <w:rsid w:val="126A32DB"/>
    <w:rsid w:val="12855BBF"/>
    <w:rsid w:val="128D521B"/>
    <w:rsid w:val="12955E7E"/>
    <w:rsid w:val="12A06CFD"/>
    <w:rsid w:val="12A460C1"/>
    <w:rsid w:val="12A82075"/>
    <w:rsid w:val="12A85BB1"/>
    <w:rsid w:val="12B47007"/>
    <w:rsid w:val="12C10A21"/>
    <w:rsid w:val="12C527A4"/>
    <w:rsid w:val="12D70244"/>
    <w:rsid w:val="12E36BE9"/>
    <w:rsid w:val="12E60488"/>
    <w:rsid w:val="12F26E2C"/>
    <w:rsid w:val="12FB2185"/>
    <w:rsid w:val="130D1EB8"/>
    <w:rsid w:val="13141499"/>
    <w:rsid w:val="131E7C21"/>
    <w:rsid w:val="1324792E"/>
    <w:rsid w:val="13301948"/>
    <w:rsid w:val="133B6A25"/>
    <w:rsid w:val="134E57BA"/>
    <w:rsid w:val="13517FF7"/>
    <w:rsid w:val="135E44C2"/>
    <w:rsid w:val="136208F2"/>
    <w:rsid w:val="13693592"/>
    <w:rsid w:val="136A730B"/>
    <w:rsid w:val="13750189"/>
    <w:rsid w:val="13855EF2"/>
    <w:rsid w:val="13874694"/>
    <w:rsid w:val="13961EAE"/>
    <w:rsid w:val="139A7BF0"/>
    <w:rsid w:val="139B74C4"/>
    <w:rsid w:val="139D4FEA"/>
    <w:rsid w:val="13A50B07"/>
    <w:rsid w:val="13A520F1"/>
    <w:rsid w:val="13B30CB1"/>
    <w:rsid w:val="13BB7B66"/>
    <w:rsid w:val="13C22CA3"/>
    <w:rsid w:val="13C24A51"/>
    <w:rsid w:val="13CA1B57"/>
    <w:rsid w:val="13CC58CF"/>
    <w:rsid w:val="13CD0840"/>
    <w:rsid w:val="13CE1647"/>
    <w:rsid w:val="13CF716E"/>
    <w:rsid w:val="13D12EE6"/>
    <w:rsid w:val="13DB5B12"/>
    <w:rsid w:val="13E26EA1"/>
    <w:rsid w:val="13E60D9B"/>
    <w:rsid w:val="13F60B9E"/>
    <w:rsid w:val="13F90EA8"/>
    <w:rsid w:val="13FD3CDB"/>
    <w:rsid w:val="13FF4DA6"/>
    <w:rsid w:val="14101C60"/>
    <w:rsid w:val="14180B15"/>
    <w:rsid w:val="141B23B3"/>
    <w:rsid w:val="142179C9"/>
    <w:rsid w:val="14244083"/>
    <w:rsid w:val="143A4F2F"/>
    <w:rsid w:val="143C2A55"/>
    <w:rsid w:val="143D057B"/>
    <w:rsid w:val="14494355"/>
    <w:rsid w:val="147026FF"/>
    <w:rsid w:val="147D06D8"/>
    <w:rsid w:val="1481490C"/>
    <w:rsid w:val="14830684"/>
    <w:rsid w:val="148937C0"/>
    <w:rsid w:val="148B12E6"/>
    <w:rsid w:val="14904B4F"/>
    <w:rsid w:val="14956609"/>
    <w:rsid w:val="14972381"/>
    <w:rsid w:val="14A01236"/>
    <w:rsid w:val="14A44E1C"/>
    <w:rsid w:val="14B06F9F"/>
    <w:rsid w:val="14B20F69"/>
    <w:rsid w:val="14B22D17"/>
    <w:rsid w:val="14BF5434"/>
    <w:rsid w:val="14C667C2"/>
    <w:rsid w:val="14CC3796"/>
    <w:rsid w:val="14D56A06"/>
    <w:rsid w:val="14D7277E"/>
    <w:rsid w:val="14E37374"/>
    <w:rsid w:val="14EF7AC7"/>
    <w:rsid w:val="15023C9F"/>
    <w:rsid w:val="15080B89"/>
    <w:rsid w:val="150D2643"/>
    <w:rsid w:val="15175270"/>
    <w:rsid w:val="15215E1A"/>
    <w:rsid w:val="153E3A1B"/>
    <w:rsid w:val="154A11A2"/>
    <w:rsid w:val="154F0566"/>
    <w:rsid w:val="15590B5F"/>
    <w:rsid w:val="15634011"/>
    <w:rsid w:val="15655FDB"/>
    <w:rsid w:val="15681628"/>
    <w:rsid w:val="156C1118"/>
    <w:rsid w:val="157955E3"/>
    <w:rsid w:val="158666B5"/>
    <w:rsid w:val="15867E05"/>
    <w:rsid w:val="158721E5"/>
    <w:rsid w:val="158D108E"/>
    <w:rsid w:val="15AB3F87"/>
    <w:rsid w:val="15B36D47"/>
    <w:rsid w:val="15CC1BB7"/>
    <w:rsid w:val="15DA4676"/>
    <w:rsid w:val="15DD2016"/>
    <w:rsid w:val="15DD3DC4"/>
    <w:rsid w:val="15E05662"/>
    <w:rsid w:val="15EB4733"/>
    <w:rsid w:val="15EC04AB"/>
    <w:rsid w:val="160457F4"/>
    <w:rsid w:val="16133C89"/>
    <w:rsid w:val="161F43DC"/>
    <w:rsid w:val="16273291"/>
    <w:rsid w:val="162B0FD3"/>
    <w:rsid w:val="16302145"/>
    <w:rsid w:val="164B51D1"/>
    <w:rsid w:val="164B6F7F"/>
    <w:rsid w:val="165C73DE"/>
    <w:rsid w:val="167E0875"/>
    <w:rsid w:val="16976668"/>
    <w:rsid w:val="16A13043"/>
    <w:rsid w:val="16A86180"/>
    <w:rsid w:val="16AE156A"/>
    <w:rsid w:val="16AE750E"/>
    <w:rsid w:val="16BF34C9"/>
    <w:rsid w:val="16CA259A"/>
    <w:rsid w:val="16CA3CE6"/>
    <w:rsid w:val="16CF7BB0"/>
    <w:rsid w:val="16D03928"/>
    <w:rsid w:val="16D43419"/>
    <w:rsid w:val="16D451C7"/>
    <w:rsid w:val="1703785A"/>
    <w:rsid w:val="170415AA"/>
    <w:rsid w:val="170829E4"/>
    <w:rsid w:val="170C727C"/>
    <w:rsid w:val="173C2D6C"/>
    <w:rsid w:val="17555BDC"/>
    <w:rsid w:val="176302F9"/>
    <w:rsid w:val="1772485E"/>
    <w:rsid w:val="177B1AE6"/>
    <w:rsid w:val="177D4EC7"/>
    <w:rsid w:val="17822E75"/>
    <w:rsid w:val="17852965"/>
    <w:rsid w:val="178A2087"/>
    <w:rsid w:val="178D5376"/>
    <w:rsid w:val="17914300"/>
    <w:rsid w:val="17986848"/>
    <w:rsid w:val="17A252C5"/>
    <w:rsid w:val="17B03764"/>
    <w:rsid w:val="17B1375A"/>
    <w:rsid w:val="17B7308E"/>
    <w:rsid w:val="17D11C8B"/>
    <w:rsid w:val="17D64F6F"/>
    <w:rsid w:val="17EA0A1A"/>
    <w:rsid w:val="17F536DC"/>
    <w:rsid w:val="17FE0021"/>
    <w:rsid w:val="17FF6273"/>
    <w:rsid w:val="18131D1F"/>
    <w:rsid w:val="18185587"/>
    <w:rsid w:val="18277578"/>
    <w:rsid w:val="182A0E16"/>
    <w:rsid w:val="18335F1D"/>
    <w:rsid w:val="185145F5"/>
    <w:rsid w:val="18522553"/>
    <w:rsid w:val="185760AF"/>
    <w:rsid w:val="185D2F9A"/>
    <w:rsid w:val="18616F2E"/>
    <w:rsid w:val="18695DE3"/>
    <w:rsid w:val="186E33F9"/>
    <w:rsid w:val="18716A45"/>
    <w:rsid w:val="187327BD"/>
    <w:rsid w:val="187529D9"/>
    <w:rsid w:val="187B0A12"/>
    <w:rsid w:val="18822A00"/>
    <w:rsid w:val="18826EA4"/>
    <w:rsid w:val="189F1804"/>
    <w:rsid w:val="18A137CE"/>
    <w:rsid w:val="18A230A3"/>
    <w:rsid w:val="18B359C5"/>
    <w:rsid w:val="18C474BD"/>
    <w:rsid w:val="18C64FE3"/>
    <w:rsid w:val="18CD45C3"/>
    <w:rsid w:val="18CE52D6"/>
    <w:rsid w:val="18D019BE"/>
    <w:rsid w:val="18D21BDA"/>
    <w:rsid w:val="19080C81"/>
    <w:rsid w:val="190D676E"/>
    <w:rsid w:val="19263CD4"/>
    <w:rsid w:val="193D1FA8"/>
    <w:rsid w:val="19406B43"/>
    <w:rsid w:val="19551E2D"/>
    <w:rsid w:val="196640D0"/>
    <w:rsid w:val="196A1E12"/>
    <w:rsid w:val="19792055"/>
    <w:rsid w:val="19874772"/>
    <w:rsid w:val="19892176"/>
    <w:rsid w:val="1997610B"/>
    <w:rsid w:val="19AF7D62"/>
    <w:rsid w:val="19B117EF"/>
    <w:rsid w:val="19C57049"/>
    <w:rsid w:val="19CE05F3"/>
    <w:rsid w:val="19D5497B"/>
    <w:rsid w:val="19ED020C"/>
    <w:rsid w:val="19F94F44"/>
    <w:rsid w:val="1A141D7E"/>
    <w:rsid w:val="1A18186E"/>
    <w:rsid w:val="1A2024D1"/>
    <w:rsid w:val="1A22449B"/>
    <w:rsid w:val="1A2C70C8"/>
    <w:rsid w:val="1A2E2E40"/>
    <w:rsid w:val="1A2E4BEE"/>
    <w:rsid w:val="1A393593"/>
    <w:rsid w:val="1A442663"/>
    <w:rsid w:val="1A475CB0"/>
    <w:rsid w:val="1A4F2DB6"/>
    <w:rsid w:val="1A5403CD"/>
    <w:rsid w:val="1A7B3BAB"/>
    <w:rsid w:val="1A7F369B"/>
    <w:rsid w:val="1A807414"/>
    <w:rsid w:val="1A856BB0"/>
    <w:rsid w:val="1A864A2A"/>
    <w:rsid w:val="1A8707A2"/>
    <w:rsid w:val="1A996BA6"/>
    <w:rsid w:val="1A9C29CA"/>
    <w:rsid w:val="1A9D5276"/>
    <w:rsid w:val="1AD35795"/>
    <w:rsid w:val="1AE479A2"/>
    <w:rsid w:val="1B06199E"/>
    <w:rsid w:val="1B083691"/>
    <w:rsid w:val="1B0A4705"/>
    <w:rsid w:val="1B171B26"/>
    <w:rsid w:val="1B1C713C"/>
    <w:rsid w:val="1B1E1106"/>
    <w:rsid w:val="1B24793F"/>
    <w:rsid w:val="1B446693"/>
    <w:rsid w:val="1B4548E5"/>
    <w:rsid w:val="1B4B17D0"/>
    <w:rsid w:val="1B4D72F6"/>
    <w:rsid w:val="1B6B3C20"/>
    <w:rsid w:val="1B754A9E"/>
    <w:rsid w:val="1B776A68"/>
    <w:rsid w:val="1B860A99"/>
    <w:rsid w:val="1B884DC4"/>
    <w:rsid w:val="1B99253B"/>
    <w:rsid w:val="1BB6133F"/>
    <w:rsid w:val="1BD01CD5"/>
    <w:rsid w:val="1BDE43F2"/>
    <w:rsid w:val="1BE0016A"/>
    <w:rsid w:val="1BEB27A3"/>
    <w:rsid w:val="1C0D4CD7"/>
    <w:rsid w:val="1C0F6CA1"/>
    <w:rsid w:val="1C116575"/>
    <w:rsid w:val="1C1B73F4"/>
    <w:rsid w:val="1C1F4874"/>
    <w:rsid w:val="1C21339E"/>
    <w:rsid w:val="1C295FB5"/>
    <w:rsid w:val="1C2F10F1"/>
    <w:rsid w:val="1C353ED6"/>
    <w:rsid w:val="1C3861F8"/>
    <w:rsid w:val="1C395ACC"/>
    <w:rsid w:val="1C3D28C4"/>
    <w:rsid w:val="1C3D736A"/>
    <w:rsid w:val="1C3E3F31"/>
    <w:rsid w:val="1C4E5993"/>
    <w:rsid w:val="1C4F52EF"/>
    <w:rsid w:val="1C532879"/>
    <w:rsid w:val="1C676ADD"/>
    <w:rsid w:val="1C737230"/>
    <w:rsid w:val="1C77062D"/>
    <w:rsid w:val="1C7B7E93"/>
    <w:rsid w:val="1C844F99"/>
    <w:rsid w:val="1C984EE8"/>
    <w:rsid w:val="1C986C96"/>
    <w:rsid w:val="1C9A0C60"/>
    <w:rsid w:val="1CA05B4B"/>
    <w:rsid w:val="1CA22EBC"/>
    <w:rsid w:val="1CA23671"/>
    <w:rsid w:val="1CAD0994"/>
    <w:rsid w:val="1CB30F21"/>
    <w:rsid w:val="1CBD04AB"/>
    <w:rsid w:val="1CBD2FEC"/>
    <w:rsid w:val="1CC161ED"/>
    <w:rsid w:val="1CC730D8"/>
    <w:rsid w:val="1CDC787A"/>
    <w:rsid w:val="1CE367E1"/>
    <w:rsid w:val="1CE41EDC"/>
    <w:rsid w:val="1D091942"/>
    <w:rsid w:val="1D0D1432"/>
    <w:rsid w:val="1D110191"/>
    <w:rsid w:val="1D116F6D"/>
    <w:rsid w:val="1D13456F"/>
    <w:rsid w:val="1D1D0F4A"/>
    <w:rsid w:val="1D214EDE"/>
    <w:rsid w:val="1D230C56"/>
    <w:rsid w:val="1D291FE4"/>
    <w:rsid w:val="1D554B87"/>
    <w:rsid w:val="1D5A03F0"/>
    <w:rsid w:val="1D5F1562"/>
    <w:rsid w:val="1D5F18A9"/>
    <w:rsid w:val="1D61177E"/>
    <w:rsid w:val="1D6152DA"/>
    <w:rsid w:val="1D772D50"/>
    <w:rsid w:val="1D774AFE"/>
    <w:rsid w:val="1D7A639C"/>
    <w:rsid w:val="1D8B2357"/>
    <w:rsid w:val="1D8D4321"/>
    <w:rsid w:val="1D8D60CF"/>
    <w:rsid w:val="1D9E02DC"/>
    <w:rsid w:val="1DA17DCD"/>
    <w:rsid w:val="1DAA4ED3"/>
    <w:rsid w:val="1DCD0BC2"/>
    <w:rsid w:val="1DCD471E"/>
    <w:rsid w:val="1DD2442A"/>
    <w:rsid w:val="1DDC2BB3"/>
    <w:rsid w:val="1DDE4B7D"/>
    <w:rsid w:val="1DF95513"/>
    <w:rsid w:val="1E036392"/>
    <w:rsid w:val="1E05210A"/>
    <w:rsid w:val="1E0D0FBE"/>
    <w:rsid w:val="1E14059F"/>
    <w:rsid w:val="1E162569"/>
    <w:rsid w:val="1E1B192D"/>
    <w:rsid w:val="1E2D340E"/>
    <w:rsid w:val="1E42335E"/>
    <w:rsid w:val="1E4C5F8A"/>
    <w:rsid w:val="1E537319"/>
    <w:rsid w:val="1E561D3A"/>
    <w:rsid w:val="1E5828D6"/>
    <w:rsid w:val="1E605592"/>
    <w:rsid w:val="1E62130A"/>
    <w:rsid w:val="1E6908EA"/>
    <w:rsid w:val="1E71779F"/>
    <w:rsid w:val="1E731769"/>
    <w:rsid w:val="1E737FBB"/>
    <w:rsid w:val="1E7840F1"/>
    <w:rsid w:val="1E85149C"/>
    <w:rsid w:val="1E854FF8"/>
    <w:rsid w:val="1E876FC3"/>
    <w:rsid w:val="1E8A0861"/>
    <w:rsid w:val="1E8C282B"/>
    <w:rsid w:val="1E8E0351"/>
    <w:rsid w:val="1E91567A"/>
    <w:rsid w:val="1E935967"/>
    <w:rsid w:val="1E94348E"/>
    <w:rsid w:val="1E960FB4"/>
    <w:rsid w:val="1E9F0D6A"/>
    <w:rsid w:val="1EA96F39"/>
    <w:rsid w:val="1EAE09F3"/>
    <w:rsid w:val="1EBA012E"/>
    <w:rsid w:val="1EBA1146"/>
    <w:rsid w:val="1EC21DA9"/>
    <w:rsid w:val="1EC6380E"/>
    <w:rsid w:val="1ED76968"/>
    <w:rsid w:val="1EDA01AA"/>
    <w:rsid w:val="1EDF0BAD"/>
    <w:rsid w:val="1EF65EF6"/>
    <w:rsid w:val="1EF67CA4"/>
    <w:rsid w:val="1EFA1543"/>
    <w:rsid w:val="1F0028D1"/>
    <w:rsid w:val="1F022AED"/>
    <w:rsid w:val="1F02489B"/>
    <w:rsid w:val="1F095C2A"/>
    <w:rsid w:val="1F0F41F0"/>
    <w:rsid w:val="1F170835"/>
    <w:rsid w:val="1F176598"/>
    <w:rsid w:val="1F26058A"/>
    <w:rsid w:val="1F3233D2"/>
    <w:rsid w:val="1F327753"/>
    <w:rsid w:val="1F332CA6"/>
    <w:rsid w:val="1F3F789D"/>
    <w:rsid w:val="1F486752"/>
    <w:rsid w:val="1F505606"/>
    <w:rsid w:val="1F5F3A9B"/>
    <w:rsid w:val="1F615A66"/>
    <w:rsid w:val="1F66307C"/>
    <w:rsid w:val="1F6D440A"/>
    <w:rsid w:val="1F707A57"/>
    <w:rsid w:val="1F7233D5"/>
    <w:rsid w:val="1F7D3F22"/>
    <w:rsid w:val="1F8B2AE2"/>
    <w:rsid w:val="1F99183C"/>
    <w:rsid w:val="1F9A2D26"/>
    <w:rsid w:val="1FAA740D"/>
    <w:rsid w:val="1FAD4807"/>
    <w:rsid w:val="1FB913FE"/>
    <w:rsid w:val="1FBC0EEE"/>
    <w:rsid w:val="1FD93E60"/>
    <w:rsid w:val="1FDB4421"/>
    <w:rsid w:val="1FDE0E64"/>
    <w:rsid w:val="1FDE2C12"/>
    <w:rsid w:val="1FE87F35"/>
    <w:rsid w:val="1FEB532F"/>
    <w:rsid w:val="1FEE73CA"/>
    <w:rsid w:val="1FEE7A64"/>
    <w:rsid w:val="1FF24910"/>
    <w:rsid w:val="20000DDB"/>
    <w:rsid w:val="20142AD8"/>
    <w:rsid w:val="2020322B"/>
    <w:rsid w:val="20256A93"/>
    <w:rsid w:val="20340A84"/>
    <w:rsid w:val="20346CD6"/>
    <w:rsid w:val="20476A09"/>
    <w:rsid w:val="204C58AF"/>
    <w:rsid w:val="20586E69"/>
    <w:rsid w:val="2059498F"/>
    <w:rsid w:val="206A51C4"/>
    <w:rsid w:val="206F7D0E"/>
    <w:rsid w:val="2079293B"/>
    <w:rsid w:val="20803CC9"/>
    <w:rsid w:val="208732AA"/>
    <w:rsid w:val="208F215E"/>
    <w:rsid w:val="209854B7"/>
    <w:rsid w:val="209D0D1F"/>
    <w:rsid w:val="20A34F62"/>
    <w:rsid w:val="20AE4CDA"/>
    <w:rsid w:val="20B66BBF"/>
    <w:rsid w:val="20C22D60"/>
    <w:rsid w:val="20C92A4A"/>
    <w:rsid w:val="20CA13E8"/>
    <w:rsid w:val="20D9162C"/>
    <w:rsid w:val="20DB53A4"/>
    <w:rsid w:val="20E34258"/>
    <w:rsid w:val="20E64474"/>
    <w:rsid w:val="20F06820"/>
    <w:rsid w:val="20F14BC7"/>
    <w:rsid w:val="20F52909"/>
    <w:rsid w:val="20FB5A46"/>
    <w:rsid w:val="210466A8"/>
    <w:rsid w:val="210668C5"/>
    <w:rsid w:val="211803A6"/>
    <w:rsid w:val="211B7E4D"/>
    <w:rsid w:val="211C7457"/>
    <w:rsid w:val="21240AF9"/>
    <w:rsid w:val="2131530E"/>
    <w:rsid w:val="214F1F02"/>
    <w:rsid w:val="21505633"/>
    <w:rsid w:val="215313DE"/>
    <w:rsid w:val="21535882"/>
    <w:rsid w:val="215C4503"/>
    <w:rsid w:val="215C4736"/>
    <w:rsid w:val="21627873"/>
    <w:rsid w:val="217575A6"/>
    <w:rsid w:val="21837F15"/>
    <w:rsid w:val="218767FE"/>
    <w:rsid w:val="218D48F0"/>
    <w:rsid w:val="219236CE"/>
    <w:rsid w:val="219263AA"/>
    <w:rsid w:val="219C4B33"/>
    <w:rsid w:val="219F0AC7"/>
    <w:rsid w:val="219F2875"/>
    <w:rsid w:val="21AB2FC8"/>
    <w:rsid w:val="21E169EA"/>
    <w:rsid w:val="21E309B4"/>
    <w:rsid w:val="22043024"/>
    <w:rsid w:val="22093F32"/>
    <w:rsid w:val="2210107D"/>
    <w:rsid w:val="22145011"/>
    <w:rsid w:val="2216237D"/>
    <w:rsid w:val="221943D6"/>
    <w:rsid w:val="22246984"/>
    <w:rsid w:val="222B4109"/>
    <w:rsid w:val="223707EE"/>
    <w:rsid w:val="223E5BEA"/>
    <w:rsid w:val="224D22D1"/>
    <w:rsid w:val="226513C9"/>
    <w:rsid w:val="227C4964"/>
    <w:rsid w:val="22806203"/>
    <w:rsid w:val="2292483A"/>
    <w:rsid w:val="22A068A5"/>
    <w:rsid w:val="22A2261D"/>
    <w:rsid w:val="22AF0896"/>
    <w:rsid w:val="22BD1205"/>
    <w:rsid w:val="22C04851"/>
    <w:rsid w:val="22D27C35"/>
    <w:rsid w:val="22D36C7A"/>
    <w:rsid w:val="22E542B8"/>
    <w:rsid w:val="22ED4B08"/>
    <w:rsid w:val="22F015DA"/>
    <w:rsid w:val="22F83FEB"/>
    <w:rsid w:val="23005595"/>
    <w:rsid w:val="230476A6"/>
    <w:rsid w:val="232A616E"/>
    <w:rsid w:val="232C1EE7"/>
    <w:rsid w:val="233314C7"/>
    <w:rsid w:val="2338088B"/>
    <w:rsid w:val="233C481F"/>
    <w:rsid w:val="236C6787"/>
    <w:rsid w:val="23700025"/>
    <w:rsid w:val="23713D9D"/>
    <w:rsid w:val="23733FB9"/>
    <w:rsid w:val="23757618"/>
    <w:rsid w:val="237F64BA"/>
    <w:rsid w:val="238241FC"/>
    <w:rsid w:val="23827D58"/>
    <w:rsid w:val="23A14683"/>
    <w:rsid w:val="23A221A9"/>
    <w:rsid w:val="23B31D5F"/>
    <w:rsid w:val="23B4085A"/>
    <w:rsid w:val="23BA1BE8"/>
    <w:rsid w:val="23BF447B"/>
    <w:rsid w:val="23CB5BA3"/>
    <w:rsid w:val="23CD36CA"/>
    <w:rsid w:val="23D2079E"/>
    <w:rsid w:val="23D74548"/>
    <w:rsid w:val="23F1AFB4"/>
    <w:rsid w:val="23F5677C"/>
    <w:rsid w:val="23F9544D"/>
    <w:rsid w:val="23FA0237"/>
    <w:rsid w:val="240370EB"/>
    <w:rsid w:val="24174945"/>
    <w:rsid w:val="242332EA"/>
    <w:rsid w:val="24415E66"/>
    <w:rsid w:val="24443260"/>
    <w:rsid w:val="244F2331"/>
    <w:rsid w:val="245060A9"/>
    <w:rsid w:val="24575689"/>
    <w:rsid w:val="246F4781"/>
    <w:rsid w:val="247104F9"/>
    <w:rsid w:val="2471674B"/>
    <w:rsid w:val="248046D8"/>
    <w:rsid w:val="2480698E"/>
    <w:rsid w:val="24877D1C"/>
    <w:rsid w:val="248F4E23"/>
    <w:rsid w:val="248F6BD1"/>
    <w:rsid w:val="24A24B56"/>
    <w:rsid w:val="24BD16AB"/>
    <w:rsid w:val="24BE3012"/>
    <w:rsid w:val="24C90335"/>
    <w:rsid w:val="24D32F62"/>
    <w:rsid w:val="24DE5462"/>
    <w:rsid w:val="24E11174"/>
    <w:rsid w:val="24EC4023"/>
    <w:rsid w:val="24F627AC"/>
    <w:rsid w:val="25056E93"/>
    <w:rsid w:val="25076767"/>
    <w:rsid w:val="25276E09"/>
    <w:rsid w:val="253908EB"/>
    <w:rsid w:val="25457290"/>
    <w:rsid w:val="254774AC"/>
    <w:rsid w:val="25493224"/>
    <w:rsid w:val="254E25E8"/>
    <w:rsid w:val="255816B9"/>
    <w:rsid w:val="255A0F8D"/>
    <w:rsid w:val="25740E92"/>
    <w:rsid w:val="257D4C7B"/>
    <w:rsid w:val="258778A8"/>
    <w:rsid w:val="258C3110"/>
    <w:rsid w:val="258D0E74"/>
    <w:rsid w:val="25910727"/>
    <w:rsid w:val="25954889"/>
    <w:rsid w:val="25A72595"/>
    <w:rsid w:val="25BC3478"/>
    <w:rsid w:val="25BD7BDD"/>
    <w:rsid w:val="25C1725E"/>
    <w:rsid w:val="25D0124F"/>
    <w:rsid w:val="25D105C8"/>
    <w:rsid w:val="25DD571A"/>
    <w:rsid w:val="25E27C61"/>
    <w:rsid w:val="25E32D48"/>
    <w:rsid w:val="25E847EB"/>
    <w:rsid w:val="25F0369F"/>
    <w:rsid w:val="25F74A2E"/>
    <w:rsid w:val="25FD5DBC"/>
    <w:rsid w:val="25FD7B6A"/>
    <w:rsid w:val="25FF1B34"/>
    <w:rsid w:val="260929B3"/>
    <w:rsid w:val="2613738E"/>
    <w:rsid w:val="26154EB4"/>
    <w:rsid w:val="26240F85"/>
    <w:rsid w:val="26325A66"/>
    <w:rsid w:val="2637307C"/>
    <w:rsid w:val="26396DF4"/>
    <w:rsid w:val="26404627"/>
    <w:rsid w:val="26431A21"/>
    <w:rsid w:val="265359DC"/>
    <w:rsid w:val="26583D33"/>
    <w:rsid w:val="265C2AE3"/>
    <w:rsid w:val="26600825"/>
    <w:rsid w:val="266F2816"/>
    <w:rsid w:val="26864004"/>
    <w:rsid w:val="2694227D"/>
    <w:rsid w:val="26AA35DB"/>
    <w:rsid w:val="26AB6A4C"/>
    <w:rsid w:val="26B26BA7"/>
    <w:rsid w:val="26B96187"/>
    <w:rsid w:val="26BE58C2"/>
    <w:rsid w:val="26CA0394"/>
    <w:rsid w:val="26CC5EBA"/>
    <w:rsid w:val="26E8081A"/>
    <w:rsid w:val="26EA00EF"/>
    <w:rsid w:val="26F90805"/>
    <w:rsid w:val="26FB3ED3"/>
    <w:rsid w:val="26FE3B9A"/>
    <w:rsid w:val="27007912"/>
    <w:rsid w:val="270513CC"/>
    <w:rsid w:val="270A69E3"/>
    <w:rsid w:val="2714160F"/>
    <w:rsid w:val="272735B8"/>
    <w:rsid w:val="2729330D"/>
    <w:rsid w:val="273121C1"/>
    <w:rsid w:val="27391076"/>
    <w:rsid w:val="274A6DDF"/>
    <w:rsid w:val="27532138"/>
    <w:rsid w:val="27662D4D"/>
    <w:rsid w:val="276E2ACE"/>
    <w:rsid w:val="27722E27"/>
    <w:rsid w:val="27785933"/>
    <w:rsid w:val="277924A6"/>
    <w:rsid w:val="277A3B68"/>
    <w:rsid w:val="27814EF7"/>
    <w:rsid w:val="278D305D"/>
    <w:rsid w:val="27A029BC"/>
    <w:rsid w:val="27B64475"/>
    <w:rsid w:val="27B70919"/>
    <w:rsid w:val="27B94FAB"/>
    <w:rsid w:val="27BA5D13"/>
    <w:rsid w:val="27BD3F01"/>
    <w:rsid w:val="27C272BD"/>
    <w:rsid w:val="27D65E40"/>
    <w:rsid w:val="27EC31AA"/>
    <w:rsid w:val="27EFE123"/>
    <w:rsid w:val="27F136FF"/>
    <w:rsid w:val="27FA6A57"/>
    <w:rsid w:val="28011B94"/>
    <w:rsid w:val="280671AA"/>
    <w:rsid w:val="281C4C20"/>
    <w:rsid w:val="28212FEC"/>
    <w:rsid w:val="28235FAE"/>
    <w:rsid w:val="28281B98"/>
    <w:rsid w:val="28321D4D"/>
    <w:rsid w:val="283E5914"/>
    <w:rsid w:val="284952E9"/>
    <w:rsid w:val="28537F15"/>
    <w:rsid w:val="285739C1"/>
    <w:rsid w:val="285B7B62"/>
    <w:rsid w:val="28672083"/>
    <w:rsid w:val="286B3A4E"/>
    <w:rsid w:val="28773C04"/>
    <w:rsid w:val="287B7B98"/>
    <w:rsid w:val="287E44DE"/>
    <w:rsid w:val="288822B5"/>
    <w:rsid w:val="2895052E"/>
    <w:rsid w:val="289F315B"/>
    <w:rsid w:val="28AF7842"/>
    <w:rsid w:val="28B20B36"/>
    <w:rsid w:val="28B906C0"/>
    <w:rsid w:val="28C9682E"/>
    <w:rsid w:val="28D167FB"/>
    <w:rsid w:val="28D42E04"/>
    <w:rsid w:val="28D870B1"/>
    <w:rsid w:val="28DC43AF"/>
    <w:rsid w:val="28E36B60"/>
    <w:rsid w:val="28E60D8A"/>
    <w:rsid w:val="28EB0C2F"/>
    <w:rsid w:val="28ED3EC6"/>
    <w:rsid w:val="28F60FCD"/>
    <w:rsid w:val="28FE2577"/>
    <w:rsid w:val="290F6532"/>
    <w:rsid w:val="29127DD1"/>
    <w:rsid w:val="291E6775"/>
    <w:rsid w:val="292213BA"/>
    <w:rsid w:val="29363ABF"/>
    <w:rsid w:val="293E4722"/>
    <w:rsid w:val="29424212"/>
    <w:rsid w:val="294F2DD3"/>
    <w:rsid w:val="295403E9"/>
    <w:rsid w:val="29564161"/>
    <w:rsid w:val="296879F1"/>
    <w:rsid w:val="297168A5"/>
    <w:rsid w:val="298A3E0B"/>
    <w:rsid w:val="29930F11"/>
    <w:rsid w:val="299B7DC6"/>
    <w:rsid w:val="29A45E3F"/>
    <w:rsid w:val="29AF561F"/>
    <w:rsid w:val="29AF73CD"/>
    <w:rsid w:val="29CA4E9C"/>
    <w:rsid w:val="29D46E34"/>
    <w:rsid w:val="29DF5F05"/>
    <w:rsid w:val="29E77A40"/>
    <w:rsid w:val="29E90B31"/>
    <w:rsid w:val="29ED41C7"/>
    <w:rsid w:val="29EF3C6E"/>
    <w:rsid w:val="29F54CD2"/>
    <w:rsid w:val="29FB1519"/>
    <w:rsid w:val="2A007C29"/>
    <w:rsid w:val="2A0140CD"/>
    <w:rsid w:val="2A04596B"/>
    <w:rsid w:val="2A07545B"/>
    <w:rsid w:val="2A077209"/>
    <w:rsid w:val="2A092F82"/>
    <w:rsid w:val="2A0D15E4"/>
    <w:rsid w:val="2A0E05C1"/>
    <w:rsid w:val="2A0E6DD8"/>
    <w:rsid w:val="2A1060BE"/>
    <w:rsid w:val="2A164CA1"/>
    <w:rsid w:val="2A1831C5"/>
    <w:rsid w:val="2A2D4EC2"/>
    <w:rsid w:val="2A2E29E8"/>
    <w:rsid w:val="2A391AB9"/>
    <w:rsid w:val="2A3C5105"/>
    <w:rsid w:val="2A44045E"/>
    <w:rsid w:val="2A461AE0"/>
    <w:rsid w:val="2A5F2BA2"/>
    <w:rsid w:val="2A677CA8"/>
    <w:rsid w:val="2A67ACEB"/>
    <w:rsid w:val="2A7228D5"/>
    <w:rsid w:val="2A781EB5"/>
    <w:rsid w:val="2A81520E"/>
    <w:rsid w:val="2A8E16D9"/>
    <w:rsid w:val="2A922F77"/>
    <w:rsid w:val="2A9A007E"/>
    <w:rsid w:val="2A9C2048"/>
    <w:rsid w:val="2AA1140C"/>
    <w:rsid w:val="2AA91C15"/>
    <w:rsid w:val="2AB7478C"/>
    <w:rsid w:val="2ABB0720"/>
    <w:rsid w:val="2AC33130"/>
    <w:rsid w:val="2ACA2711"/>
    <w:rsid w:val="2AEA1089"/>
    <w:rsid w:val="2AEB2687"/>
    <w:rsid w:val="2AEF03C9"/>
    <w:rsid w:val="2AF7727E"/>
    <w:rsid w:val="2AFB4FC0"/>
    <w:rsid w:val="2AFE685E"/>
    <w:rsid w:val="2B0100FD"/>
    <w:rsid w:val="2B01079C"/>
    <w:rsid w:val="2B114234"/>
    <w:rsid w:val="2B165956"/>
    <w:rsid w:val="2B1A1D02"/>
    <w:rsid w:val="2B1C4262"/>
    <w:rsid w:val="2B231E21"/>
    <w:rsid w:val="2B2A31B0"/>
    <w:rsid w:val="2B391645"/>
    <w:rsid w:val="2B434271"/>
    <w:rsid w:val="2B54022C"/>
    <w:rsid w:val="2B717030"/>
    <w:rsid w:val="2B724B56"/>
    <w:rsid w:val="2B746468"/>
    <w:rsid w:val="2B762899"/>
    <w:rsid w:val="2B8212EE"/>
    <w:rsid w:val="2B88478B"/>
    <w:rsid w:val="2B9D7E25"/>
    <w:rsid w:val="2BA32F62"/>
    <w:rsid w:val="2BA72A52"/>
    <w:rsid w:val="2BA94A1C"/>
    <w:rsid w:val="2BB138D1"/>
    <w:rsid w:val="2BB84C5F"/>
    <w:rsid w:val="2BBD04C8"/>
    <w:rsid w:val="2BD355F5"/>
    <w:rsid w:val="2BD4136D"/>
    <w:rsid w:val="2BD63337"/>
    <w:rsid w:val="2BE041B6"/>
    <w:rsid w:val="2BE908CE"/>
    <w:rsid w:val="2BEC66B7"/>
    <w:rsid w:val="2C027C88"/>
    <w:rsid w:val="2C091017"/>
    <w:rsid w:val="2C1A76C8"/>
    <w:rsid w:val="2C3B319A"/>
    <w:rsid w:val="2C41519A"/>
    <w:rsid w:val="2C424529"/>
    <w:rsid w:val="2C55425C"/>
    <w:rsid w:val="2C5A5D16"/>
    <w:rsid w:val="2C610E53"/>
    <w:rsid w:val="2C673F8F"/>
    <w:rsid w:val="2C6D0CF3"/>
    <w:rsid w:val="2C7F3EE9"/>
    <w:rsid w:val="2C892158"/>
    <w:rsid w:val="2C923702"/>
    <w:rsid w:val="2C956D4E"/>
    <w:rsid w:val="2CA927FA"/>
    <w:rsid w:val="2CB25B52"/>
    <w:rsid w:val="2CB27900"/>
    <w:rsid w:val="2CB35427"/>
    <w:rsid w:val="2CC87124"/>
    <w:rsid w:val="2CD21D51"/>
    <w:rsid w:val="2CDB28F0"/>
    <w:rsid w:val="2CE3426C"/>
    <w:rsid w:val="2CF63CCC"/>
    <w:rsid w:val="2CFF066C"/>
    <w:rsid w:val="2D012636"/>
    <w:rsid w:val="2D0422A3"/>
    <w:rsid w:val="2D0D4B37"/>
    <w:rsid w:val="2D102879"/>
    <w:rsid w:val="2D1B54A6"/>
    <w:rsid w:val="2D2C76B3"/>
    <w:rsid w:val="2D3A013A"/>
    <w:rsid w:val="2D4367AA"/>
    <w:rsid w:val="2D4744ED"/>
    <w:rsid w:val="2D4B565F"/>
    <w:rsid w:val="2D4F321A"/>
    <w:rsid w:val="2D4F514F"/>
    <w:rsid w:val="2D5E1836"/>
    <w:rsid w:val="2D60735C"/>
    <w:rsid w:val="2D6D3827"/>
    <w:rsid w:val="2D742E08"/>
    <w:rsid w:val="2D7D51E9"/>
    <w:rsid w:val="2D880661"/>
    <w:rsid w:val="2D8D7A26"/>
    <w:rsid w:val="2D917516"/>
    <w:rsid w:val="2D9765C8"/>
    <w:rsid w:val="2DA21F75"/>
    <w:rsid w:val="2DB120AF"/>
    <w:rsid w:val="2DB31B82"/>
    <w:rsid w:val="2DB63420"/>
    <w:rsid w:val="2DB651CE"/>
    <w:rsid w:val="2DC84F02"/>
    <w:rsid w:val="2DCA6ECC"/>
    <w:rsid w:val="2DDF4725"/>
    <w:rsid w:val="2DF83A39"/>
    <w:rsid w:val="2DFB0E33"/>
    <w:rsid w:val="2DFF6B75"/>
    <w:rsid w:val="2E0B376C"/>
    <w:rsid w:val="2E0D56A8"/>
    <w:rsid w:val="2E0E500A"/>
    <w:rsid w:val="2E2A1718"/>
    <w:rsid w:val="2E2D0A6B"/>
    <w:rsid w:val="2E3C1B78"/>
    <w:rsid w:val="2E4C3912"/>
    <w:rsid w:val="2E514EF7"/>
    <w:rsid w:val="2E5B7B24"/>
    <w:rsid w:val="2E5D564A"/>
    <w:rsid w:val="2E78505A"/>
    <w:rsid w:val="2E785465"/>
    <w:rsid w:val="2E861045"/>
    <w:rsid w:val="2E864E06"/>
    <w:rsid w:val="2E89643F"/>
    <w:rsid w:val="2E8C5F2F"/>
    <w:rsid w:val="2E9A4AF0"/>
    <w:rsid w:val="2EA63495"/>
    <w:rsid w:val="2EA72D69"/>
    <w:rsid w:val="2EB07E70"/>
    <w:rsid w:val="2EB23BE8"/>
    <w:rsid w:val="2ECB2EFB"/>
    <w:rsid w:val="2ECD68F7"/>
    <w:rsid w:val="2ECD6C74"/>
    <w:rsid w:val="2ECE6548"/>
    <w:rsid w:val="2ED32D39"/>
    <w:rsid w:val="2ED81174"/>
    <w:rsid w:val="2EF35FAE"/>
    <w:rsid w:val="2EFC3AB9"/>
    <w:rsid w:val="2F041F69"/>
    <w:rsid w:val="2F2820FC"/>
    <w:rsid w:val="2F2E6FE6"/>
    <w:rsid w:val="2F34284F"/>
    <w:rsid w:val="2F407445"/>
    <w:rsid w:val="2F432A92"/>
    <w:rsid w:val="2F5268C1"/>
    <w:rsid w:val="2F540C1B"/>
    <w:rsid w:val="2F6D3FB3"/>
    <w:rsid w:val="2F7225BD"/>
    <w:rsid w:val="2F77098D"/>
    <w:rsid w:val="2F8135BA"/>
    <w:rsid w:val="2F8B61E7"/>
    <w:rsid w:val="2F8C3155"/>
    <w:rsid w:val="2FB30378"/>
    <w:rsid w:val="2FBF533C"/>
    <w:rsid w:val="2FCC2A87"/>
    <w:rsid w:val="2FD23E16"/>
    <w:rsid w:val="2FD951A4"/>
    <w:rsid w:val="2FE029D7"/>
    <w:rsid w:val="2FEC4ED7"/>
    <w:rsid w:val="2FF95846"/>
    <w:rsid w:val="30041E46"/>
    <w:rsid w:val="300D4E4E"/>
    <w:rsid w:val="300E12F2"/>
    <w:rsid w:val="30201025"/>
    <w:rsid w:val="30313232"/>
    <w:rsid w:val="303365FB"/>
    <w:rsid w:val="30411227"/>
    <w:rsid w:val="30564A47"/>
    <w:rsid w:val="305B205D"/>
    <w:rsid w:val="306727B0"/>
    <w:rsid w:val="306B6744"/>
    <w:rsid w:val="30774435"/>
    <w:rsid w:val="307849BD"/>
    <w:rsid w:val="30823A8E"/>
    <w:rsid w:val="309B37B0"/>
    <w:rsid w:val="30A45A9E"/>
    <w:rsid w:val="30A47560"/>
    <w:rsid w:val="30D00355"/>
    <w:rsid w:val="30DC319E"/>
    <w:rsid w:val="30EB518F"/>
    <w:rsid w:val="30F009F7"/>
    <w:rsid w:val="30F06C49"/>
    <w:rsid w:val="30F73331"/>
    <w:rsid w:val="310426F5"/>
    <w:rsid w:val="310F3573"/>
    <w:rsid w:val="31271F3F"/>
    <w:rsid w:val="312E1520"/>
    <w:rsid w:val="31307046"/>
    <w:rsid w:val="3140197F"/>
    <w:rsid w:val="31442AF1"/>
    <w:rsid w:val="314B0324"/>
    <w:rsid w:val="31556AAC"/>
    <w:rsid w:val="31653193"/>
    <w:rsid w:val="31655E3B"/>
    <w:rsid w:val="31725F19"/>
    <w:rsid w:val="317433D6"/>
    <w:rsid w:val="317452BC"/>
    <w:rsid w:val="31774C75"/>
    <w:rsid w:val="317C228B"/>
    <w:rsid w:val="31815AF3"/>
    <w:rsid w:val="31833619"/>
    <w:rsid w:val="31853836"/>
    <w:rsid w:val="318A49A8"/>
    <w:rsid w:val="318B6972"/>
    <w:rsid w:val="3192385D"/>
    <w:rsid w:val="319B1A23"/>
    <w:rsid w:val="31A16195"/>
    <w:rsid w:val="31AD0696"/>
    <w:rsid w:val="31BD5C76"/>
    <w:rsid w:val="31BE0AF5"/>
    <w:rsid w:val="31C0661C"/>
    <w:rsid w:val="31C51E84"/>
    <w:rsid w:val="31C61758"/>
    <w:rsid w:val="31C75BFC"/>
    <w:rsid w:val="31C97E3A"/>
    <w:rsid w:val="31CD0D39"/>
    <w:rsid w:val="31CD6F8B"/>
    <w:rsid w:val="31CF685F"/>
    <w:rsid w:val="31D64091"/>
    <w:rsid w:val="31DB16A7"/>
    <w:rsid w:val="31E57E30"/>
    <w:rsid w:val="31EC5F04"/>
    <w:rsid w:val="31FB3AF8"/>
    <w:rsid w:val="3200110E"/>
    <w:rsid w:val="32096215"/>
    <w:rsid w:val="32292413"/>
    <w:rsid w:val="322E5C7B"/>
    <w:rsid w:val="32454D73"/>
    <w:rsid w:val="324A05DB"/>
    <w:rsid w:val="324C7EAF"/>
    <w:rsid w:val="32544FB6"/>
    <w:rsid w:val="325E7BE3"/>
    <w:rsid w:val="326C0551"/>
    <w:rsid w:val="32764F2C"/>
    <w:rsid w:val="327D62BB"/>
    <w:rsid w:val="32881945"/>
    <w:rsid w:val="328C0BF4"/>
    <w:rsid w:val="328C626F"/>
    <w:rsid w:val="328D6603"/>
    <w:rsid w:val="329B0E37"/>
    <w:rsid w:val="329D070B"/>
    <w:rsid w:val="32A61CB5"/>
    <w:rsid w:val="32B256A2"/>
    <w:rsid w:val="32BB5AB3"/>
    <w:rsid w:val="32BE3907"/>
    <w:rsid w:val="32C1089D"/>
    <w:rsid w:val="32C71C2C"/>
    <w:rsid w:val="32D57EA5"/>
    <w:rsid w:val="32DC56D7"/>
    <w:rsid w:val="32DD31FD"/>
    <w:rsid w:val="32EC0397"/>
    <w:rsid w:val="32F50547"/>
    <w:rsid w:val="32F81DE5"/>
    <w:rsid w:val="33030382"/>
    <w:rsid w:val="3304078A"/>
    <w:rsid w:val="330E33B7"/>
    <w:rsid w:val="331D7A9E"/>
    <w:rsid w:val="331F702A"/>
    <w:rsid w:val="332D7CE1"/>
    <w:rsid w:val="3330332D"/>
    <w:rsid w:val="33332E1D"/>
    <w:rsid w:val="33353039"/>
    <w:rsid w:val="3337290D"/>
    <w:rsid w:val="334B0167"/>
    <w:rsid w:val="334E7C57"/>
    <w:rsid w:val="335164FE"/>
    <w:rsid w:val="335542B1"/>
    <w:rsid w:val="33582884"/>
    <w:rsid w:val="335D7E9A"/>
    <w:rsid w:val="335F00B6"/>
    <w:rsid w:val="33615BDC"/>
    <w:rsid w:val="33661445"/>
    <w:rsid w:val="336851BD"/>
    <w:rsid w:val="336B25B7"/>
    <w:rsid w:val="336E291C"/>
    <w:rsid w:val="337B4EF0"/>
    <w:rsid w:val="337C2A16"/>
    <w:rsid w:val="33813B89"/>
    <w:rsid w:val="33890C8F"/>
    <w:rsid w:val="339935C8"/>
    <w:rsid w:val="33A06705"/>
    <w:rsid w:val="33A51F6D"/>
    <w:rsid w:val="33AB6E58"/>
    <w:rsid w:val="33B71CA0"/>
    <w:rsid w:val="33C1667B"/>
    <w:rsid w:val="33C30645"/>
    <w:rsid w:val="33C817B8"/>
    <w:rsid w:val="33C87A09"/>
    <w:rsid w:val="33CA19D4"/>
    <w:rsid w:val="33E12879"/>
    <w:rsid w:val="33EF4F96"/>
    <w:rsid w:val="33FB1B8D"/>
    <w:rsid w:val="34160775"/>
    <w:rsid w:val="34270BD4"/>
    <w:rsid w:val="342A06C4"/>
    <w:rsid w:val="34394463"/>
    <w:rsid w:val="344611BB"/>
    <w:rsid w:val="34473024"/>
    <w:rsid w:val="34474EA2"/>
    <w:rsid w:val="344D6161"/>
    <w:rsid w:val="345117AD"/>
    <w:rsid w:val="34545741"/>
    <w:rsid w:val="345762FD"/>
    <w:rsid w:val="3457790B"/>
    <w:rsid w:val="34692F9B"/>
    <w:rsid w:val="34763909"/>
    <w:rsid w:val="347831DE"/>
    <w:rsid w:val="349A75F8"/>
    <w:rsid w:val="349D1206"/>
    <w:rsid w:val="34AB35B3"/>
    <w:rsid w:val="34C401D1"/>
    <w:rsid w:val="34C603ED"/>
    <w:rsid w:val="34D0182D"/>
    <w:rsid w:val="34F265FD"/>
    <w:rsid w:val="34F30AB6"/>
    <w:rsid w:val="34F736BB"/>
    <w:rsid w:val="35004F81"/>
    <w:rsid w:val="35026F4B"/>
    <w:rsid w:val="352073D1"/>
    <w:rsid w:val="352769B2"/>
    <w:rsid w:val="35366BF5"/>
    <w:rsid w:val="353F1F4D"/>
    <w:rsid w:val="354D5E43"/>
    <w:rsid w:val="354D6418"/>
    <w:rsid w:val="35523A2F"/>
    <w:rsid w:val="35586B6B"/>
    <w:rsid w:val="35625367"/>
    <w:rsid w:val="356B2D42"/>
    <w:rsid w:val="3575771D"/>
    <w:rsid w:val="35777939"/>
    <w:rsid w:val="357E2A76"/>
    <w:rsid w:val="358A766C"/>
    <w:rsid w:val="3599165E"/>
    <w:rsid w:val="359A53D6"/>
    <w:rsid w:val="35B05222"/>
    <w:rsid w:val="35B75BBE"/>
    <w:rsid w:val="35BE10C4"/>
    <w:rsid w:val="35D00DF7"/>
    <w:rsid w:val="35D5640E"/>
    <w:rsid w:val="35E30B2B"/>
    <w:rsid w:val="36054F45"/>
    <w:rsid w:val="36062A6B"/>
    <w:rsid w:val="36070CBD"/>
    <w:rsid w:val="36140EF6"/>
    <w:rsid w:val="362829E1"/>
    <w:rsid w:val="36321AB2"/>
    <w:rsid w:val="3636283A"/>
    <w:rsid w:val="363B2715"/>
    <w:rsid w:val="363D46DF"/>
    <w:rsid w:val="363E0457"/>
    <w:rsid w:val="3647730B"/>
    <w:rsid w:val="365657A0"/>
    <w:rsid w:val="365B4B65"/>
    <w:rsid w:val="366A4DA8"/>
    <w:rsid w:val="36730100"/>
    <w:rsid w:val="3679148F"/>
    <w:rsid w:val="367E6AA5"/>
    <w:rsid w:val="369260AD"/>
    <w:rsid w:val="36B97ADD"/>
    <w:rsid w:val="36BF3346"/>
    <w:rsid w:val="36C344B8"/>
    <w:rsid w:val="36C7044C"/>
    <w:rsid w:val="36C721FA"/>
    <w:rsid w:val="36D263C4"/>
    <w:rsid w:val="36D30B9F"/>
    <w:rsid w:val="36D609F1"/>
    <w:rsid w:val="36D8563F"/>
    <w:rsid w:val="36E0150E"/>
    <w:rsid w:val="36FD5560"/>
    <w:rsid w:val="3701395E"/>
    <w:rsid w:val="3702284F"/>
    <w:rsid w:val="371A057C"/>
    <w:rsid w:val="37321D6A"/>
    <w:rsid w:val="373553B6"/>
    <w:rsid w:val="374E46CA"/>
    <w:rsid w:val="374F1469"/>
    <w:rsid w:val="37517D16"/>
    <w:rsid w:val="37555A58"/>
    <w:rsid w:val="376C68FE"/>
    <w:rsid w:val="377759CE"/>
    <w:rsid w:val="37824373"/>
    <w:rsid w:val="37826121"/>
    <w:rsid w:val="37933A27"/>
    <w:rsid w:val="37A95DA4"/>
    <w:rsid w:val="37AD49B3"/>
    <w:rsid w:val="37B79502"/>
    <w:rsid w:val="37BE35FD"/>
    <w:rsid w:val="37BF2ED1"/>
    <w:rsid w:val="37CF1BCD"/>
    <w:rsid w:val="37D526F5"/>
    <w:rsid w:val="37D72DA0"/>
    <w:rsid w:val="37E40B8A"/>
    <w:rsid w:val="37EE37B7"/>
    <w:rsid w:val="37F60FE9"/>
    <w:rsid w:val="37FC2378"/>
    <w:rsid w:val="37FE1C4C"/>
    <w:rsid w:val="3819749D"/>
    <w:rsid w:val="381E409C"/>
    <w:rsid w:val="382D0232"/>
    <w:rsid w:val="38355AD3"/>
    <w:rsid w:val="38392C84"/>
    <w:rsid w:val="384358B1"/>
    <w:rsid w:val="384743E1"/>
    <w:rsid w:val="384F24A7"/>
    <w:rsid w:val="385E093C"/>
    <w:rsid w:val="38656D70"/>
    <w:rsid w:val="38765C86"/>
    <w:rsid w:val="38784230"/>
    <w:rsid w:val="387B14EE"/>
    <w:rsid w:val="387B504A"/>
    <w:rsid w:val="38875313"/>
    <w:rsid w:val="388859B9"/>
    <w:rsid w:val="388D4D7E"/>
    <w:rsid w:val="38926838"/>
    <w:rsid w:val="3894610C"/>
    <w:rsid w:val="38983E4E"/>
    <w:rsid w:val="38A24CCD"/>
    <w:rsid w:val="38BC1624"/>
    <w:rsid w:val="38BC7547"/>
    <w:rsid w:val="38BD1B07"/>
    <w:rsid w:val="38E47094"/>
    <w:rsid w:val="38EC7CF6"/>
    <w:rsid w:val="38FF5292"/>
    <w:rsid w:val="390F1C37"/>
    <w:rsid w:val="39184F8F"/>
    <w:rsid w:val="39194863"/>
    <w:rsid w:val="391F631E"/>
    <w:rsid w:val="392A6A70"/>
    <w:rsid w:val="393873DF"/>
    <w:rsid w:val="393F42CA"/>
    <w:rsid w:val="394A2C6F"/>
    <w:rsid w:val="394C4C39"/>
    <w:rsid w:val="394C69E7"/>
    <w:rsid w:val="394E275F"/>
    <w:rsid w:val="39551D3F"/>
    <w:rsid w:val="395C67B9"/>
    <w:rsid w:val="39643D30"/>
    <w:rsid w:val="39664FE9"/>
    <w:rsid w:val="396F26D5"/>
    <w:rsid w:val="39785A2E"/>
    <w:rsid w:val="39A64349"/>
    <w:rsid w:val="39AB195F"/>
    <w:rsid w:val="39AE31FE"/>
    <w:rsid w:val="39B77EFC"/>
    <w:rsid w:val="39C66799"/>
    <w:rsid w:val="39C742BF"/>
    <w:rsid w:val="39D013C6"/>
    <w:rsid w:val="39D569DC"/>
    <w:rsid w:val="39DF5AAD"/>
    <w:rsid w:val="39E72CC9"/>
    <w:rsid w:val="39F41558"/>
    <w:rsid w:val="39FF3A59"/>
    <w:rsid w:val="3A053765"/>
    <w:rsid w:val="3A141A1A"/>
    <w:rsid w:val="3A176FF5"/>
    <w:rsid w:val="3A1C0AAF"/>
    <w:rsid w:val="3A274C17"/>
    <w:rsid w:val="3A2B6F44"/>
    <w:rsid w:val="3A2D4A6A"/>
    <w:rsid w:val="3A345DF9"/>
    <w:rsid w:val="3A401DF6"/>
    <w:rsid w:val="3A53562E"/>
    <w:rsid w:val="3A5356E1"/>
    <w:rsid w:val="3A543DA5"/>
    <w:rsid w:val="3A617662"/>
    <w:rsid w:val="3A683CF4"/>
    <w:rsid w:val="3A751F6D"/>
    <w:rsid w:val="3A8A77C7"/>
    <w:rsid w:val="3A8D72B7"/>
    <w:rsid w:val="3A8F302F"/>
    <w:rsid w:val="3A8F74D3"/>
    <w:rsid w:val="3AA40859"/>
    <w:rsid w:val="3AA54601"/>
    <w:rsid w:val="3AB331C1"/>
    <w:rsid w:val="3AB43149"/>
    <w:rsid w:val="3AB64A60"/>
    <w:rsid w:val="3AC56F65"/>
    <w:rsid w:val="3AD924FC"/>
    <w:rsid w:val="3ADD1FEC"/>
    <w:rsid w:val="3AF64E5C"/>
    <w:rsid w:val="3AFB2473"/>
    <w:rsid w:val="3B057795"/>
    <w:rsid w:val="3B084B8F"/>
    <w:rsid w:val="3B1B2B15"/>
    <w:rsid w:val="3B201ED9"/>
    <w:rsid w:val="3B231C82"/>
    <w:rsid w:val="3B3D2A8B"/>
    <w:rsid w:val="3B5878C5"/>
    <w:rsid w:val="3B5B5607"/>
    <w:rsid w:val="3B5E2A01"/>
    <w:rsid w:val="3B5F50F7"/>
    <w:rsid w:val="3B7A783B"/>
    <w:rsid w:val="3B9603ED"/>
    <w:rsid w:val="3BA246F5"/>
    <w:rsid w:val="3BA5384D"/>
    <w:rsid w:val="3BA66882"/>
    <w:rsid w:val="3BAA1905"/>
    <w:rsid w:val="3BC1546A"/>
    <w:rsid w:val="3BC52C95"/>
    <w:rsid w:val="3BC767F9"/>
    <w:rsid w:val="3BCF4FEC"/>
    <w:rsid w:val="3BD056AD"/>
    <w:rsid w:val="3BD7660A"/>
    <w:rsid w:val="3BDC6748"/>
    <w:rsid w:val="3BDF7FE6"/>
    <w:rsid w:val="3BFC2946"/>
    <w:rsid w:val="3C0B4937"/>
    <w:rsid w:val="3C0D6901"/>
    <w:rsid w:val="3C241E9D"/>
    <w:rsid w:val="3C2679C3"/>
    <w:rsid w:val="3C2A477B"/>
    <w:rsid w:val="3C2B322B"/>
    <w:rsid w:val="3C2D0D52"/>
    <w:rsid w:val="3C2D2B00"/>
    <w:rsid w:val="3C3A521C"/>
    <w:rsid w:val="3C487939"/>
    <w:rsid w:val="3C5C33E5"/>
    <w:rsid w:val="3C6110D5"/>
    <w:rsid w:val="3C703554"/>
    <w:rsid w:val="3C720E5A"/>
    <w:rsid w:val="3C7C5835"/>
    <w:rsid w:val="3C834E15"/>
    <w:rsid w:val="3C8841DA"/>
    <w:rsid w:val="3C90308E"/>
    <w:rsid w:val="3CA37266"/>
    <w:rsid w:val="3CBA010B"/>
    <w:rsid w:val="3CBE7BFC"/>
    <w:rsid w:val="3CC86CCC"/>
    <w:rsid w:val="3CE07B72"/>
    <w:rsid w:val="3CF3617C"/>
    <w:rsid w:val="3CF61143"/>
    <w:rsid w:val="3CFB0E50"/>
    <w:rsid w:val="3D037D04"/>
    <w:rsid w:val="3D073351"/>
    <w:rsid w:val="3D17730C"/>
    <w:rsid w:val="3D1D0DC6"/>
    <w:rsid w:val="3D202664"/>
    <w:rsid w:val="3D204412"/>
    <w:rsid w:val="3D2263DC"/>
    <w:rsid w:val="3D2A703F"/>
    <w:rsid w:val="3D3A1978"/>
    <w:rsid w:val="3D402D06"/>
    <w:rsid w:val="3D424389"/>
    <w:rsid w:val="3D5F13DF"/>
    <w:rsid w:val="3D5F318D"/>
    <w:rsid w:val="3D632551"/>
    <w:rsid w:val="3D6C7658"/>
    <w:rsid w:val="3D793B23"/>
    <w:rsid w:val="3D85696B"/>
    <w:rsid w:val="3D8A5D30"/>
    <w:rsid w:val="3D9904B2"/>
    <w:rsid w:val="3D9F17DB"/>
    <w:rsid w:val="3DB42DAD"/>
    <w:rsid w:val="3DB72FC9"/>
    <w:rsid w:val="3DB83658"/>
    <w:rsid w:val="3DCB25D0"/>
    <w:rsid w:val="3DD82F3F"/>
    <w:rsid w:val="3DE25D39"/>
    <w:rsid w:val="3DE47B36"/>
    <w:rsid w:val="3DE54A23"/>
    <w:rsid w:val="3DE641E3"/>
    <w:rsid w:val="3DEE4511"/>
    <w:rsid w:val="3DF36E8B"/>
    <w:rsid w:val="3DFE0BF8"/>
    <w:rsid w:val="3E09759C"/>
    <w:rsid w:val="3E0C4997"/>
    <w:rsid w:val="3E155F41"/>
    <w:rsid w:val="3E1675C3"/>
    <w:rsid w:val="3E1877DF"/>
    <w:rsid w:val="3E2E7003"/>
    <w:rsid w:val="3E674220"/>
    <w:rsid w:val="3E6A5CCC"/>
    <w:rsid w:val="3E742C68"/>
    <w:rsid w:val="3E7A3FF6"/>
    <w:rsid w:val="3E7D2D88"/>
    <w:rsid w:val="3E832EAB"/>
    <w:rsid w:val="3E8502AB"/>
    <w:rsid w:val="3E8A248B"/>
    <w:rsid w:val="3E94330A"/>
    <w:rsid w:val="3E9C5D1B"/>
    <w:rsid w:val="3E9E5F37"/>
    <w:rsid w:val="3EA370A9"/>
    <w:rsid w:val="3EB23790"/>
    <w:rsid w:val="3EB47508"/>
    <w:rsid w:val="3EB56DDC"/>
    <w:rsid w:val="3EB76FF8"/>
    <w:rsid w:val="3EB92D70"/>
    <w:rsid w:val="3EB968CD"/>
    <w:rsid w:val="3EBA2645"/>
    <w:rsid w:val="3EBB0897"/>
    <w:rsid w:val="3EC314F9"/>
    <w:rsid w:val="3EC60FE9"/>
    <w:rsid w:val="3ECD4126"/>
    <w:rsid w:val="3ECF7E9E"/>
    <w:rsid w:val="3ED069D1"/>
    <w:rsid w:val="3EE66096"/>
    <w:rsid w:val="3EF20030"/>
    <w:rsid w:val="3EF75D33"/>
    <w:rsid w:val="3F0833B0"/>
    <w:rsid w:val="3F2006FA"/>
    <w:rsid w:val="3F214472"/>
    <w:rsid w:val="3F2D2E17"/>
    <w:rsid w:val="3F3453F5"/>
    <w:rsid w:val="3F43088C"/>
    <w:rsid w:val="3F446ADE"/>
    <w:rsid w:val="3F52287D"/>
    <w:rsid w:val="3F555260"/>
    <w:rsid w:val="3F5C5A01"/>
    <w:rsid w:val="3F626F64"/>
    <w:rsid w:val="3F634A8A"/>
    <w:rsid w:val="3F6F34C7"/>
    <w:rsid w:val="3F7647BE"/>
    <w:rsid w:val="3F9B5FD2"/>
    <w:rsid w:val="3FA23805"/>
    <w:rsid w:val="3FA330D9"/>
    <w:rsid w:val="3FA56E51"/>
    <w:rsid w:val="3FB62E0C"/>
    <w:rsid w:val="3FB928FC"/>
    <w:rsid w:val="3FBB0422"/>
    <w:rsid w:val="3FBD063E"/>
    <w:rsid w:val="3FBF5061"/>
    <w:rsid w:val="3FC7643C"/>
    <w:rsid w:val="3FCE63A8"/>
    <w:rsid w:val="3FD17C46"/>
    <w:rsid w:val="3FDD65EB"/>
    <w:rsid w:val="3FE07E89"/>
    <w:rsid w:val="3FE518BE"/>
    <w:rsid w:val="3FE71217"/>
    <w:rsid w:val="3FEFD773"/>
    <w:rsid w:val="3FF34060"/>
    <w:rsid w:val="400032D3"/>
    <w:rsid w:val="40095632"/>
    <w:rsid w:val="40280D6B"/>
    <w:rsid w:val="402D7572"/>
    <w:rsid w:val="403D00ED"/>
    <w:rsid w:val="4047615A"/>
    <w:rsid w:val="40721429"/>
    <w:rsid w:val="40864ED4"/>
    <w:rsid w:val="408847A8"/>
    <w:rsid w:val="40925627"/>
    <w:rsid w:val="40996CA8"/>
    <w:rsid w:val="40B94CC0"/>
    <w:rsid w:val="40BF3F42"/>
    <w:rsid w:val="40C1415E"/>
    <w:rsid w:val="40C63523"/>
    <w:rsid w:val="40C91191"/>
    <w:rsid w:val="40C95C12"/>
    <w:rsid w:val="40CB0B39"/>
    <w:rsid w:val="40D7128C"/>
    <w:rsid w:val="40E439A9"/>
    <w:rsid w:val="40EA0D9F"/>
    <w:rsid w:val="40F24318"/>
    <w:rsid w:val="40F57964"/>
    <w:rsid w:val="40F77B80"/>
    <w:rsid w:val="41025635"/>
    <w:rsid w:val="41036525"/>
    <w:rsid w:val="41110C42"/>
    <w:rsid w:val="41126768"/>
    <w:rsid w:val="4114603C"/>
    <w:rsid w:val="411E6EBB"/>
    <w:rsid w:val="41200631"/>
    <w:rsid w:val="41202C33"/>
    <w:rsid w:val="412C2A42"/>
    <w:rsid w:val="412C782A"/>
    <w:rsid w:val="413D1A37"/>
    <w:rsid w:val="414C43D2"/>
    <w:rsid w:val="41636FC4"/>
    <w:rsid w:val="416A0352"/>
    <w:rsid w:val="41720FB5"/>
    <w:rsid w:val="417967E7"/>
    <w:rsid w:val="41A2189A"/>
    <w:rsid w:val="41A84846"/>
    <w:rsid w:val="41A90E7A"/>
    <w:rsid w:val="41AA4BF2"/>
    <w:rsid w:val="41AC096A"/>
    <w:rsid w:val="41B065D4"/>
    <w:rsid w:val="41CE268F"/>
    <w:rsid w:val="41D63C39"/>
    <w:rsid w:val="41EC6FB9"/>
    <w:rsid w:val="41F25A6B"/>
    <w:rsid w:val="41F93484"/>
    <w:rsid w:val="41FB71FC"/>
    <w:rsid w:val="41FD7266"/>
    <w:rsid w:val="421C4B1A"/>
    <w:rsid w:val="42293D69"/>
    <w:rsid w:val="422C3859"/>
    <w:rsid w:val="423F358D"/>
    <w:rsid w:val="4249440B"/>
    <w:rsid w:val="4255690C"/>
    <w:rsid w:val="42862F6A"/>
    <w:rsid w:val="42980EEF"/>
    <w:rsid w:val="42982C9D"/>
    <w:rsid w:val="42AC04F6"/>
    <w:rsid w:val="42C341BE"/>
    <w:rsid w:val="42C41CE4"/>
    <w:rsid w:val="42C817D4"/>
    <w:rsid w:val="42E303BC"/>
    <w:rsid w:val="42E934F8"/>
    <w:rsid w:val="42ED123B"/>
    <w:rsid w:val="42F00C51"/>
    <w:rsid w:val="42F75C15"/>
    <w:rsid w:val="42F779C3"/>
    <w:rsid w:val="43014CE6"/>
    <w:rsid w:val="430B346F"/>
    <w:rsid w:val="430D71E7"/>
    <w:rsid w:val="432B1D63"/>
    <w:rsid w:val="434F30B7"/>
    <w:rsid w:val="434F77FF"/>
    <w:rsid w:val="43601A0D"/>
    <w:rsid w:val="43607C5E"/>
    <w:rsid w:val="43635059"/>
    <w:rsid w:val="436A63E7"/>
    <w:rsid w:val="43727992"/>
    <w:rsid w:val="437B6846"/>
    <w:rsid w:val="438356FB"/>
    <w:rsid w:val="43947908"/>
    <w:rsid w:val="43994F1E"/>
    <w:rsid w:val="43BE4985"/>
    <w:rsid w:val="43CD4BC8"/>
    <w:rsid w:val="43D41FF2"/>
    <w:rsid w:val="43DE0B83"/>
    <w:rsid w:val="44000AFA"/>
    <w:rsid w:val="44030670"/>
    <w:rsid w:val="440700DA"/>
    <w:rsid w:val="4407632C"/>
    <w:rsid w:val="44103433"/>
    <w:rsid w:val="44114AB5"/>
    <w:rsid w:val="442742D8"/>
    <w:rsid w:val="442C18EF"/>
    <w:rsid w:val="442C5D93"/>
    <w:rsid w:val="443F17DC"/>
    <w:rsid w:val="445157F9"/>
    <w:rsid w:val="445350CD"/>
    <w:rsid w:val="44586B88"/>
    <w:rsid w:val="44590A02"/>
    <w:rsid w:val="44654E01"/>
    <w:rsid w:val="4484797D"/>
    <w:rsid w:val="448B2AB9"/>
    <w:rsid w:val="44A45929"/>
    <w:rsid w:val="44A8366B"/>
    <w:rsid w:val="44AD0C81"/>
    <w:rsid w:val="44AE49FA"/>
    <w:rsid w:val="44B244EA"/>
    <w:rsid w:val="44BA339E"/>
    <w:rsid w:val="44BD68E4"/>
    <w:rsid w:val="44CC6C2E"/>
    <w:rsid w:val="44DB12E8"/>
    <w:rsid w:val="44E4666D"/>
    <w:rsid w:val="44EB79FC"/>
    <w:rsid w:val="44F248E6"/>
    <w:rsid w:val="45014B29"/>
    <w:rsid w:val="450A60D4"/>
    <w:rsid w:val="450D34CE"/>
    <w:rsid w:val="45124F88"/>
    <w:rsid w:val="45154A79"/>
    <w:rsid w:val="452D591E"/>
    <w:rsid w:val="452F5B3A"/>
    <w:rsid w:val="453E3FCF"/>
    <w:rsid w:val="45443838"/>
    <w:rsid w:val="454D7D6F"/>
    <w:rsid w:val="45525385"/>
    <w:rsid w:val="455E1F7C"/>
    <w:rsid w:val="45633A36"/>
    <w:rsid w:val="45723C79"/>
    <w:rsid w:val="45796DB6"/>
    <w:rsid w:val="457E261E"/>
    <w:rsid w:val="45800144"/>
    <w:rsid w:val="458319E2"/>
    <w:rsid w:val="4588349D"/>
    <w:rsid w:val="458A4B1F"/>
    <w:rsid w:val="45A007E6"/>
    <w:rsid w:val="45AC0F39"/>
    <w:rsid w:val="45BA0E9D"/>
    <w:rsid w:val="45BB73CE"/>
    <w:rsid w:val="45C81AEB"/>
    <w:rsid w:val="45C85647"/>
    <w:rsid w:val="45CA5863"/>
    <w:rsid w:val="45DD5596"/>
    <w:rsid w:val="45DE4E6B"/>
    <w:rsid w:val="45E41C5F"/>
    <w:rsid w:val="45EF49AA"/>
    <w:rsid w:val="45FB3C6E"/>
    <w:rsid w:val="45FB5A1D"/>
    <w:rsid w:val="46001285"/>
    <w:rsid w:val="46020B59"/>
    <w:rsid w:val="4605689B"/>
    <w:rsid w:val="460C5E7C"/>
    <w:rsid w:val="461F5BAF"/>
    <w:rsid w:val="46252D4D"/>
    <w:rsid w:val="463D7DE3"/>
    <w:rsid w:val="464C0026"/>
    <w:rsid w:val="464C6278"/>
    <w:rsid w:val="464E0242"/>
    <w:rsid w:val="464F1744"/>
    <w:rsid w:val="46623CEE"/>
    <w:rsid w:val="468C3F03"/>
    <w:rsid w:val="46A00372"/>
    <w:rsid w:val="46AB7443"/>
    <w:rsid w:val="46AE2A8F"/>
    <w:rsid w:val="46B87F3F"/>
    <w:rsid w:val="46C91677"/>
    <w:rsid w:val="46CB53EF"/>
    <w:rsid w:val="46CF43B1"/>
    <w:rsid w:val="46DC584E"/>
    <w:rsid w:val="46DD3374"/>
    <w:rsid w:val="46FA2178"/>
    <w:rsid w:val="46FD57C4"/>
    <w:rsid w:val="47024B89"/>
    <w:rsid w:val="4703102D"/>
    <w:rsid w:val="47044DA5"/>
    <w:rsid w:val="470D5A07"/>
    <w:rsid w:val="4714323A"/>
    <w:rsid w:val="472650D5"/>
    <w:rsid w:val="472E2CA2"/>
    <w:rsid w:val="473A07C7"/>
    <w:rsid w:val="47503B46"/>
    <w:rsid w:val="475353E4"/>
    <w:rsid w:val="475709EC"/>
    <w:rsid w:val="475A49C5"/>
    <w:rsid w:val="47631ACB"/>
    <w:rsid w:val="476D64A6"/>
    <w:rsid w:val="47741FF2"/>
    <w:rsid w:val="477B46DA"/>
    <w:rsid w:val="478131A3"/>
    <w:rsid w:val="478A34FC"/>
    <w:rsid w:val="47A3011A"/>
    <w:rsid w:val="47A62C2A"/>
    <w:rsid w:val="47AA14A8"/>
    <w:rsid w:val="47CA1B4A"/>
    <w:rsid w:val="47CA7D9C"/>
    <w:rsid w:val="47CC58C3"/>
    <w:rsid w:val="47CD5197"/>
    <w:rsid w:val="47D227AD"/>
    <w:rsid w:val="47D46525"/>
    <w:rsid w:val="47DC187E"/>
    <w:rsid w:val="47E524E0"/>
    <w:rsid w:val="4800556C"/>
    <w:rsid w:val="48074B4D"/>
    <w:rsid w:val="480768FB"/>
    <w:rsid w:val="48180B08"/>
    <w:rsid w:val="481903DC"/>
    <w:rsid w:val="48194880"/>
    <w:rsid w:val="481E41DD"/>
    <w:rsid w:val="482079BC"/>
    <w:rsid w:val="482374AD"/>
    <w:rsid w:val="482F1367"/>
    <w:rsid w:val="482F78B9"/>
    <w:rsid w:val="483E7E42"/>
    <w:rsid w:val="484418FD"/>
    <w:rsid w:val="484A67E7"/>
    <w:rsid w:val="48502504"/>
    <w:rsid w:val="4851401A"/>
    <w:rsid w:val="485D29BF"/>
    <w:rsid w:val="4862144E"/>
    <w:rsid w:val="486A50DB"/>
    <w:rsid w:val="48802C4C"/>
    <w:rsid w:val="48825F81"/>
    <w:rsid w:val="489108BA"/>
    <w:rsid w:val="48A85B47"/>
    <w:rsid w:val="48AE1CFE"/>
    <w:rsid w:val="48B00D40"/>
    <w:rsid w:val="48B16866"/>
    <w:rsid w:val="48B9571B"/>
    <w:rsid w:val="48D10546"/>
    <w:rsid w:val="48E1714C"/>
    <w:rsid w:val="48E649B1"/>
    <w:rsid w:val="48E924A4"/>
    <w:rsid w:val="48FA020D"/>
    <w:rsid w:val="48FC21D7"/>
    <w:rsid w:val="490177EE"/>
    <w:rsid w:val="490D6193"/>
    <w:rsid w:val="491F06FD"/>
    <w:rsid w:val="4929464F"/>
    <w:rsid w:val="4933371F"/>
    <w:rsid w:val="493A2D00"/>
    <w:rsid w:val="493C4382"/>
    <w:rsid w:val="4941408E"/>
    <w:rsid w:val="49431BB4"/>
    <w:rsid w:val="495F7E6E"/>
    <w:rsid w:val="49663AF5"/>
    <w:rsid w:val="496935E7"/>
    <w:rsid w:val="49725FF6"/>
    <w:rsid w:val="498D72D3"/>
    <w:rsid w:val="49C425C9"/>
    <w:rsid w:val="49C66341"/>
    <w:rsid w:val="49CD147E"/>
    <w:rsid w:val="49CF169A"/>
    <w:rsid w:val="49D4280C"/>
    <w:rsid w:val="49D722FD"/>
    <w:rsid w:val="49E1317B"/>
    <w:rsid w:val="49E36EF3"/>
    <w:rsid w:val="49E62540"/>
    <w:rsid w:val="49E862B8"/>
    <w:rsid w:val="49EA64D4"/>
    <w:rsid w:val="49F7474D"/>
    <w:rsid w:val="4A01737A"/>
    <w:rsid w:val="4A0823B3"/>
    <w:rsid w:val="4A08695A"/>
    <w:rsid w:val="4A126880"/>
    <w:rsid w:val="4A143551"/>
    <w:rsid w:val="4A144EA8"/>
    <w:rsid w:val="4A1732CA"/>
    <w:rsid w:val="4A174DEF"/>
    <w:rsid w:val="4A3E5581"/>
    <w:rsid w:val="4A4110E0"/>
    <w:rsid w:val="4A431740"/>
    <w:rsid w:val="4A437992"/>
    <w:rsid w:val="4A471230"/>
    <w:rsid w:val="4A534079"/>
    <w:rsid w:val="4A5D6CA6"/>
    <w:rsid w:val="4A5E47CC"/>
    <w:rsid w:val="4A5E657A"/>
    <w:rsid w:val="4A68063C"/>
    <w:rsid w:val="4A69389D"/>
    <w:rsid w:val="4A6E0EB3"/>
    <w:rsid w:val="4A6F2535"/>
    <w:rsid w:val="4A6F4C2B"/>
    <w:rsid w:val="4A743FEF"/>
    <w:rsid w:val="4A74435E"/>
    <w:rsid w:val="4A77763C"/>
    <w:rsid w:val="4A7B715E"/>
    <w:rsid w:val="4A810122"/>
    <w:rsid w:val="4AA61C7A"/>
    <w:rsid w:val="4AA77F21"/>
    <w:rsid w:val="4AB368C6"/>
    <w:rsid w:val="4ABD7744"/>
    <w:rsid w:val="4AC26B09"/>
    <w:rsid w:val="4AC76815"/>
    <w:rsid w:val="4ADB7BCB"/>
    <w:rsid w:val="4AE143EB"/>
    <w:rsid w:val="4AEB2504"/>
    <w:rsid w:val="4AF43755"/>
    <w:rsid w:val="4AF55130"/>
    <w:rsid w:val="4AFD2237"/>
    <w:rsid w:val="4B045373"/>
    <w:rsid w:val="4B0B1F4A"/>
    <w:rsid w:val="4B125CE2"/>
    <w:rsid w:val="4B133808"/>
    <w:rsid w:val="4B1530DD"/>
    <w:rsid w:val="4B224EB5"/>
    <w:rsid w:val="4B2B2900"/>
    <w:rsid w:val="4B3612A5"/>
    <w:rsid w:val="4B38326F"/>
    <w:rsid w:val="4B3D0885"/>
    <w:rsid w:val="4B3F0159"/>
    <w:rsid w:val="4B46598C"/>
    <w:rsid w:val="4B5A31E5"/>
    <w:rsid w:val="4B5C51AF"/>
    <w:rsid w:val="4B5F07FC"/>
    <w:rsid w:val="4B663938"/>
    <w:rsid w:val="4B6A3DF6"/>
    <w:rsid w:val="4B7F0E9E"/>
    <w:rsid w:val="4B8464B4"/>
    <w:rsid w:val="4B8E10E1"/>
    <w:rsid w:val="4B95421D"/>
    <w:rsid w:val="4B991A63"/>
    <w:rsid w:val="4BA319B6"/>
    <w:rsid w:val="4BA426B2"/>
    <w:rsid w:val="4BAB5EBE"/>
    <w:rsid w:val="4BBE3774"/>
    <w:rsid w:val="4BC114B6"/>
    <w:rsid w:val="4BC62629"/>
    <w:rsid w:val="4BED5E07"/>
    <w:rsid w:val="4BFE1DC3"/>
    <w:rsid w:val="4C2638A5"/>
    <w:rsid w:val="4C3B3017"/>
    <w:rsid w:val="4C3D6D8F"/>
    <w:rsid w:val="4C5440D8"/>
    <w:rsid w:val="4C574A64"/>
    <w:rsid w:val="4C6267F5"/>
    <w:rsid w:val="4C651E42"/>
    <w:rsid w:val="4C6F4A6E"/>
    <w:rsid w:val="4C6F4AF2"/>
    <w:rsid w:val="4C7B3413"/>
    <w:rsid w:val="4C8C73CE"/>
    <w:rsid w:val="4CA54934"/>
    <w:rsid w:val="4CB91BB2"/>
    <w:rsid w:val="4CC76658"/>
    <w:rsid w:val="4CCE79E7"/>
    <w:rsid w:val="4CE0596C"/>
    <w:rsid w:val="4CEB0640"/>
    <w:rsid w:val="4CEF795D"/>
    <w:rsid w:val="4CFA7D7E"/>
    <w:rsid w:val="4D063625"/>
    <w:rsid w:val="4D072EF9"/>
    <w:rsid w:val="4D106251"/>
    <w:rsid w:val="4D113D78"/>
    <w:rsid w:val="4D114108"/>
    <w:rsid w:val="4D151ABA"/>
    <w:rsid w:val="4D161448"/>
    <w:rsid w:val="4D186EB4"/>
    <w:rsid w:val="4D203020"/>
    <w:rsid w:val="4D245859"/>
    <w:rsid w:val="4D260EFB"/>
    <w:rsid w:val="4D27359B"/>
    <w:rsid w:val="4D2B4E39"/>
    <w:rsid w:val="4D2C6E03"/>
    <w:rsid w:val="4D3F08E5"/>
    <w:rsid w:val="4D423F31"/>
    <w:rsid w:val="4D445EFB"/>
    <w:rsid w:val="4D5325E2"/>
    <w:rsid w:val="4D5A127B"/>
    <w:rsid w:val="4D5B25F7"/>
    <w:rsid w:val="4D775534"/>
    <w:rsid w:val="4D785BA5"/>
    <w:rsid w:val="4D866514"/>
    <w:rsid w:val="4D875DE8"/>
    <w:rsid w:val="4D9264EE"/>
    <w:rsid w:val="4D9549A9"/>
    <w:rsid w:val="4DA1334D"/>
    <w:rsid w:val="4DA62712"/>
    <w:rsid w:val="4DA900E3"/>
    <w:rsid w:val="4DB0533F"/>
    <w:rsid w:val="4DC20E8A"/>
    <w:rsid w:val="4DC82688"/>
    <w:rsid w:val="4DD059E1"/>
    <w:rsid w:val="4DED20EF"/>
    <w:rsid w:val="4DF81A75"/>
    <w:rsid w:val="4E04568A"/>
    <w:rsid w:val="4E094A4F"/>
    <w:rsid w:val="4E11734B"/>
    <w:rsid w:val="4E183C1F"/>
    <w:rsid w:val="4E2A50F1"/>
    <w:rsid w:val="4E2B2C17"/>
    <w:rsid w:val="4E345F70"/>
    <w:rsid w:val="4E367AF4"/>
    <w:rsid w:val="4E4B32B9"/>
    <w:rsid w:val="4E5E4D9B"/>
    <w:rsid w:val="4E720846"/>
    <w:rsid w:val="4E7B3B9E"/>
    <w:rsid w:val="4E824F2D"/>
    <w:rsid w:val="4E835670"/>
    <w:rsid w:val="4E984750"/>
    <w:rsid w:val="4E99094C"/>
    <w:rsid w:val="4EA76741"/>
    <w:rsid w:val="4EBA13D7"/>
    <w:rsid w:val="4EBD41B7"/>
    <w:rsid w:val="4EC15329"/>
    <w:rsid w:val="4EC92B5C"/>
    <w:rsid w:val="4ECF5F29"/>
    <w:rsid w:val="4EDE5EDB"/>
    <w:rsid w:val="4EE2777A"/>
    <w:rsid w:val="4EE9065B"/>
    <w:rsid w:val="4EF474AD"/>
    <w:rsid w:val="4EF61477"/>
    <w:rsid w:val="4EF62370"/>
    <w:rsid w:val="4EFC1636"/>
    <w:rsid w:val="4F02606E"/>
    <w:rsid w:val="4F0C47F7"/>
    <w:rsid w:val="4F126690"/>
    <w:rsid w:val="4F231986"/>
    <w:rsid w:val="4F2B6334"/>
    <w:rsid w:val="4F3501F1"/>
    <w:rsid w:val="4F361873"/>
    <w:rsid w:val="4F3D2C02"/>
    <w:rsid w:val="4F610FE6"/>
    <w:rsid w:val="4F6A776F"/>
    <w:rsid w:val="4F6C0DB8"/>
    <w:rsid w:val="4F6C798B"/>
    <w:rsid w:val="4F74239C"/>
    <w:rsid w:val="4F7C5E20"/>
    <w:rsid w:val="4F860A4D"/>
    <w:rsid w:val="4F9273F2"/>
    <w:rsid w:val="4F9A44F8"/>
    <w:rsid w:val="4F9D18F3"/>
    <w:rsid w:val="4FA2515B"/>
    <w:rsid w:val="4FA669F9"/>
    <w:rsid w:val="4FA709C3"/>
    <w:rsid w:val="4FB87CE8"/>
    <w:rsid w:val="4FBA06F6"/>
    <w:rsid w:val="4FBB7FCB"/>
    <w:rsid w:val="4FBF5D0D"/>
    <w:rsid w:val="4FD8385C"/>
    <w:rsid w:val="4FDF7658"/>
    <w:rsid w:val="4FE37716"/>
    <w:rsid w:val="4FF9121F"/>
    <w:rsid w:val="4FFF435B"/>
    <w:rsid w:val="4FFFB71E"/>
    <w:rsid w:val="500D0826"/>
    <w:rsid w:val="50120532"/>
    <w:rsid w:val="501C315F"/>
    <w:rsid w:val="502C3AFD"/>
    <w:rsid w:val="503009B9"/>
    <w:rsid w:val="503F29AA"/>
    <w:rsid w:val="50412BC6"/>
    <w:rsid w:val="505521CD"/>
    <w:rsid w:val="50615016"/>
    <w:rsid w:val="50630D8E"/>
    <w:rsid w:val="506B7C43"/>
    <w:rsid w:val="506D6B4D"/>
    <w:rsid w:val="50827466"/>
    <w:rsid w:val="508F1B83"/>
    <w:rsid w:val="509205B0"/>
    <w:rsid w:val="50974594"/>
    <w:rsid w:val="509C604E"/>
    <w:rsid w:val="50AD523A"/>
    <w:rsid w:val="50B9275C"/>
    <w:rsid w:val="50C03AEB"/>
    <w:rsid w:val="50C25AB5"/>
    <w:rsid w:val="50C35389"/>
    <w:rsid w:val="50C730CB"/>
    <w:rsid w:val="50C820AA"/>
    <w:rsid w:val="50CE26AB"/>
    <w:rsid w:val="50CF01D2"/>
    <w:rsid w:val="50EF43D0"/>
    <w:rsid w:val="51053BF3"/>
    <w:rsid w:val="51121E6C"/>
    <w:rsid w:val="51145BE4"/>
    <w:rsid w:val="5119769F"/>
    <w:rsid w:val="511A58F1"/>
    <w:rsid w:val="511B51C5"/>
    <w:rsid w:val="512027DB"/>
    <w:rsid w:val="512247A5"/>
    <w:rsid w:val="514364CA"/>
    <w:rsid w:val="515626A1"/>
    <w:rsid w:val="51600E2A"/>
    <w:rsid w:val="51621046"/>
    <w:rsid w:val="517D7C2E"/>
    <w:rsid w:val="518666E1"/>
    <w:rsid w:val="518C7E71"/>
    <w:rsid w:val="51A96C75"/>
    <w:rsid w:val="51B82A14"/>
    <w:rsid w:val="51BF1FF4"/>
    <w:rsid w:val="51CC64BF"/>
    <w:rsid w:val="51D75590"/>
    <w:rsid w:val="51DB6702"/>
    <w:rsid w:val="51DC4954"/>
    <w:rsid w:val="51E43809"/>
    <w:rsid w:val="51F021AD"/>
    <w:rsid w:val="51FE0D6E"/>
    <w:rsid w:val="520F3E01"/>
    <w:rsid w:val="522462FB"/>
    <w:rsid w:val="522B58DB"/>
    <w:rsid w:val="52383B54"/>
    <w:rsid w:val="52391DA6"/>
    <w:rsid w:val="523E560F"/>
    <w:rsid w:val="52650DED"/>
    <w:rsid w:val="526D1A50"/>
    <w:rsid w:val="52733F35"/>
    <w:rsid w:val="52742DDF"/>
    <w:rsid w:val="52884ADC"/>
    <w:rsid w:val="528F7C18"/>
    <w:rsid w:val="529214B7"/>
    <w:rsid w:val="52952D55"/>
    <w:rsid w:val="529A036B"/>
    <w:rsid w:val="529E60AD"/>
    <w:rsid w:val="52B70F1D"/>
    <w:rsid w:val="52B7716F"/>
    <w:rsid w:val="52BC4786"/>
    <w:rsid w:val="52D01FDF"/>
    <w:rsid w:val="52D90E94"/>
    <w:rsid w:val="52E837CD"/>
    <w:rsid w:val="52F21F55"/>
    <w:rsid w:val="53161886"/>
    <w:rsid w:val="53206AC2"/>
    <w:rsid w:val="532760A3"/>
    <w:rsid w:val="53306393"/>
    <w:rsid w:val="533662E6"/>
    <w:rsid w:val="53381D95"/>
    <w:rsid w:val="53476745"/>
    <w:rsid w:val="534C5B09"/>
    <w:rsid w:val="536966BB"/>
    <w:rsid w:val="536D782E"/>
    <w:rsid w:val="537D2167"/>
    <w:rsid w:val="53811C80"/>
    <w:rsid w:val="5382777D"/>
    <w:rsid w:val="538C05FC"/>
    <w:rsid w:val="5394300C"/>
    <w:rsid w:val="53950402"/>
    <w:rsid w:val="53957C99"/>
    <w:rsid w:val="53985292"/>
    <w:rsid w:val="53A05E55"/>
    <w:rsid w:val="53A2397B"/>
    <w:rsid w:val="53A25729"/>
    <w:rsid w:val="53A414A2"/>
    <w:rsid w:val="53A45945"/>
    <w:rsid w:val="53A616BE"/>
    <w:rsid w:val="53C90F08"/>
    <w:rsid w:val="53D55AFF"/>
    <w:rsid w:val="53DA4EC3"/>
    <w:rsid w:val="53E126F6"/>
    <w:rsid w:val="53E915AA"/>
    <w:rsid w:val="53FD5056"/>
    <w:rsid w:val="53FF2B7C"/>
    <w:rsid w:val="5407449D"/>
    <w:rsid w:val="5411465D"/>
    <w:rsid w:val="54352A41"/>
    <w:rsid w:val="544B7B6F"/>
    <w:rsid w:val="545253A1"/>
    <w:rsid w:val="54554E92"/>
    <w:rsid w:val="54745318"/>
    <w:rsid w:val="547D1CF3"/>
    <w:rsid w:val="54857525"/>
    <w:rsid w:val="549459BA"/>
    <w:rsid w:val="549758D6"/>
    <w:rsid w:val="5498646D"/>
    <w:rsid w:val="549C486F"/>
    <w:rsid w:val="54A35BFD"/>
    <w:rsid w:val="54AB4AB2"/>
    <w:rsid w:val="54AD4386"/>
    <w:rsid w:val="54B5148C"/>
    <w:rsid w:val="54BB2F47"/>
    <w:rsid w:val="54BE47E5"/>
    <w:rsid w:val="54C0002D"/>
    <w:rsid w:val="54D062C6"/>
    <w:rsid w:val="54EC24E5"/>
    <w:rsid w:val="54EF2BF0"/>
    <w:rsid w:val="54F75F49"/>
    <w:rsid w:val="54FF095A"/>
    <w:rsid w:val="550C37A2"/>
    <w:rsid w:val="550D751A"/>
    <w:rsid w:val="55103BD6"/>
    <w:rsid w:val="55322ADD"/>
    <w:rsid w:val="553455F5"/>
    <w:rsid w:val="553B4087"/>
    <w:rsid w:val="55432F3C"/>
    <w:rsid w:val="55434CEA"/>
    <w:rsid w:val="554950DA"/>
    <w:rsid w:val="554F7B33"/>
    <w:rsid w:val="55540CA5"/>
    <w:rsid w:val="55592760"/>
    <w:rsid w:val="555E38D2"/>
    <w:rsid w:val="555F460E"/>
    <w:rsid w:val="55610682"/>
    <w:rsid w:val="556246D0"/>
    <w:rsid w:val="5563713A"/>
    <w:rsid w:val="556829A3"/>
    <w:rsid w:val="557430F6"/>
    <w:rsid w:val="557D01FC"/>
    <w:rsid w:val="557D644E"/>
    <w:rsid w:val="557F21C6"/>
    <w:rsid w:val="558725E0"/>
    <w:rsid w:val="559A7000"/>
    <w:rsid w:val="559F4616"/>
    <w:rsid w:val="55A51501"/>
    <w:rsid w:val="55BA1450"/>
    <w:rsid w:val="55BD4A9D"/>
    <w:rsid w:val="55C93441"/>
    <w:rsid w:val="55CE2806"/>
    <w:rsid w:val="55DD0C9B"/>
    <w:rsid w:val="55DF5B42"/>
    <w:rsid w:val="55EC5382"/>
    <w:rsid w:val="55EC7130"/>
    <w:rsid w:val="55F83D27"/>
    <w:rsid w:val="561623FF"/>
    <w:rsid w:val="561A5A4B"/>
    <w:rsid w:val="561E2576"/>
    <w:rsid w:val="561F7505"/>
    <w:rsid w:val="56226FF5"/>
    <w:rsid w:val="562C39D0"/>
    <w:rsid w:val="56372AA1"/>
    <w:rsid w:val="56554CD5"/>
    <w:rsid w:val="565C6063"/>
    <w:rsid w:val="566B62A7"/>
    <w:rsid w:val="56707D61"/>
    <w:rsid w:val="567535C9"/>
    <w:rsid w:val="567710EF"/>
    <w:rsid w:val="567E247E"/>
    <w:rsid w:val="568A06E3"/>
    <w:rsid w:val="56905D0D"/>
    <w:rsid w:val="56941CA1"/>
    <w:rsid w:val="569A3030"/>
    <w:rsid w:val="56AB528F"/>
    <w:rsid w:val="56BF65F2"/>
    <w:rsid w:val="56C8194B"/>
    <w:rsid w:val="56CD51B3"/>
    <w:rsid w:val="56CE37BE"/>
    <w:rsid w:val="56D57BC4"/>
    <w:rsid w:val="56D7393C"/>
    <w:rsid w:val="56D976B4"/>
    <w:rsid w:val="56E9340F"/>
    <w:rsid w:val="56F75D8C"/>
    <w:rsid w:val="57010267"/>
    <w:rsid w:val="570861EB"/>
    <w:rsid w:val="57087F99"/>
    <w:rsid w:val="57122BC6"/>
    <w:rsid w:val="5717642E"/>
    <w:rsid w:val="57193F55"/>
    <w:rsid w:val="572A7F10"/>
    <w:rsid w:val="573174F0"/>
    <w:rsid w:val="574B7E86"/>
    <w:rsid w:val="574C432A"/>
    <w:rsid w:val="574D00A2"/>
    <w:rsid w:val="574D281E"/>
    <w:rsid w:val="575B631B"/>
    <w:rsid w:val="575E3BD8"/>
    <w:rsid w:val="5765719A"/>
    <w:rsid w:val="57750CCB"/>
    <w:rsid w:val="577613A7"/>
    <w:rsid w:val="577B076B"/>
    <w:rsid w:val="57882E88"/>
    <w:rsid w:val="578C4726"/>
    <w:rsid w:val="578D049F"/>
    <w:rsid w:val="57914433"/>
    <w:rsid w:val="5792138F"/>
    <w:rsid w:val="5797131D"/>
    <w:rsid w:val="5798756F"/>
    <w:rsid w:val="579E445A"/>
    <w:rsid w:val="57A777B2"/>
    <w:rsid w:val="57AF2B0B"/>
    <w:rsid w:val="57BC2B32"/>
    <w:rsid w:val="57EF4CB5"/>
    <w:rsid w:val="57F57678"/>
    <w:rsid w:val="57FB4086"/>
    <w:rsid w:val="57FF56B0"/>
    <w:rsid w:val="58150BC0"/>
    <w:rsid w:val="581942AD"/>
    <w:rsid w:val="58247055"/>
    <w:rsid w:val="58262DCD"/>
    <w:rsid w:val="58382B00"/>
    <w:rsid w:val="583F6D12"/>
    <w:rsid w:val="5846521D"/>
    <w:rsid w:val="58582ACD"/>
    <w:rsid w:val="58584F50"/>
    <w:rsid w:val="58773629"/>
    <w:rsid w:val="587D0513"/>
    <w:rsid w:val="58893182"/>
    <w:rsid w:val="58894E62"/>
    <w:rsid w:val="588B70D4"/>
    <w:rsid w:val="58922210"/>
    <w:rsid w:val="58975B15"/>
    <w:rsid w:val="589A7317"/>
    <w:rsid w:val="58B2640F"/>
    <w:rsid w:val="58B54151"/>
    <w:rsid w:val="58B55EFF"/>
    <w:rsid w:val="58B70EBC"/>
    <w:rsid w:val="58BA3146"/>
    <w:rsid w:val="58C148A4"/>
    <w:rsid w:val="58C16652"/>
    <w:rsid w:val="58CE0D6F"/>
    <w:rsid w:val="58CF4005"/>
    <w:rsid w:val="58D12233"/>
    <w:rsid w:val="58D2085F"/>
    <w:rsid w:val="58D26AB1"/>
    <w:rsid w:val="58D520FD"/>
    <w:rsid w:val="58DC4843"/>
    <w:rsid w:val="58E97BDF"/>
    <w:rsid w:val="58F85DEC"/>
    <w:rsid w:val="58FC3B2E"/>
    <w:rsid w:val="591013C5"/>
    <w:rsid w:val="59413C36"/>
    <w:rsid w:val="594415A8"/>
    <w:rsid w:val="59480B21"/>
    <w:rsid w:val="59486D73"/>
    <w:rsid w:val="594A4899"/>
    <w:rsid w:val="59514814"/>
    <w:rsid w:val="595C45CC"/>
    <w:rsid w:val="598853C1"/>
    <w:rsid w:val="59961EAF"/>
    <w:rsid w:val="59A10231"/>
    <w:rsid w:val="59A3044D"/>
    <w:rsid w:val="59A87812"/>
    <w:rsid w:val="59BE5287"/>
    <w:rsid w:val="59C12681"/>
    <w:rsid w:val="59C52172"/>
    <w:rsid w:val="59C81C62"/>
    <w:rsid w:val="59CC1752"/>
    <w:rsid w:val="59D35246"/>
    <w:rsid w:val="59D40607"/>
    <w:rsid w:val="59DB1995"/>
    <w:rsid w:val="59DD395F"/>
    <w:rsid w:val="59E36A9C"/>
    <w:rsid w:val="59EA32C6"/>
    <w:rsid w:val="59F1740B"/>
    <w:rsid w:val="5A24333C"/>
    <w:rsid w:val="5A250E62"/>
    <w:rsid w:val="5A26728B"/>
    <w:rsid w:val="5A272E2C"/>
    <w:rsid w:val="5A312944"/>
    <w:rsid w:val="5A3A3C09"/>
    <w:rsid w:val="5A3D7F5A"/>
    <w:rsid w:val="5A47527D"/>
    <w:rsid w:val="5A4C2893"/>
    <w:rsid w:val="5A5A4FB0"/>
    <w:rsid w:val="5A690D4F"/>
    <w:rsid w:val="5A7B6CD4"/>
    <w:rsid w:val="5A843DDB"/>
    <w:rsid w:val="5AA14D4B"/>
    <w:rsid w:val="5AA24261"/>
    <w:rsid w:val="5AA71877"/>
    <w:rsid w:val="5AAE2C06"/>
    <w:rsid w:val="5ABE2890"/>
    <w:rsid w:val="5AC3040C"/>
    <w:rsid w:val="5ACB7C5C"/>
    <w:rsid w:val="5ACD39D4"/>
    <w:rsid w:val="5ADA1C4D"/>
    <w:rsid w:val="5ADA39FB"/>
    <w:rsid w:val="5B06072A"/>
    <w:rsid w:val="5B1909C7"/>
    <w:rsid w:val="5B1C4013"/>
    <w:rsid w:val="5B2004EC"/>
    <w:rsid w:val="5B2B24A8"/>
    <w:rsid w:val="5B347DF2"/>
    <w:rsid w:val="5B3550D5"/>
    <w:rsid w:val="5B4041A6"/>
    <w:rsid w:val="5B4812AC"/>
    <w:rsid w:val="5B4A5024"/>
    <w:rsid w:val="5B555777"/>
    <w:rsid w:val="5B5F2152"/>
    <w:rsid w:val="5B687259"/>
    <w:rsid w:val="5B721E85"/>
    <w:rsid w:val="5B745BFD"/>
    <w:rsid w:val="5B765E19"/>
    <w:rsid w:val="5B81031A"/>
    <w:rsid w:val="5BA02E96"/>
    <w:rsid w:val="5BA74225"/>
    <w:rsid w:val="5BAA5AC3"/>
    <w:rsid w:val="5BB57E26"/>
    <w:rsid w:val="5BBA55DA"/>
    <w:rsid w:val="5BC14BBB"/>
    <w:rsid w:val="5BD14DFE"/>
    <w:rsid w:val="5BD60666"/>
    <w:rsid w:val="5BDD4CB8"/>
    <w:rsid w:val="5BE9DEFC"/>
    <w:rsid w:val="5BF40AEC"/>
    <w:rsid w:val="5C07081F"/>
    <w:rsid w:val="5C0827EA"/>
    <w:rsid w:val="5C0F3B78"/>
    <w:rsid w:val="5C0F7357"/>
    <w:rsid w:val="5C115B42"/>
    <w:rsid w:val="5C163158"/>
    <w:rsid w:val="5C1D0043"/>
    <w:rsid w:val="5C2209C9"/>
    <w:rsid w:val="5C246A34"/>
    <w:rsid w:val="5C2A2760"/>
    <w:rsid w:val="5C2E0916"/>
    <w:rsid w:val="5C3F445D"/>
    <w:rsid w:val="5C447CC6"/>
    <w:rsid w:val="5C4557EC"/>
    <w:rsid w:val="5C5D2B35"/>
    <w:rsid w:val="5C606182"/>
    <w:rsid w:val="5C643EC4"/>
    <w:rsid w:val="5C6C4B26"/>
    <w:rsid w:val="5C715907"/>
    <w:rsid w:val="5C8C6E54"/>
    <w:rsid w:val="5C9D2F32"/>
    <w:rsid w:val="5CA22C3E"/>
    <w:rsid w:val="5CA37F26"/>
    <w:rsid w:val="5CBD35D4"/>
    <w:rsid w:val="5CBF10FA"/>
    <w:rsid w:val="5CC130C4"/>
    <w:rsid w:val="5CD03307"/>
    <w:rsid w:val="5CD54DC2"/>
    <w:rsid w:val="5CDF3C0D"/>
    <w:rsid w:val="5CE11E1A"/>
    <w:rsid w:val="5CFF9DD8"/>
    <w:rsid w:val="5D0631CD"/>
    <w:rsid w:val="5D153410"/>
    <w:rsid w:val="5D1A0A26"/>
    <w:rsid w:val="5D1D22C5"/>
    <w:rsid w:val="5D2608A5"/>
    <w:rsid w:val="5D315E4C"/>
    <w:rsid w:val="5D3C099D"/>
    <w:rsid w:val="5D3E2967"/>
    <w:rsid w:val="5D3F66DF"/>
    <w:rsid w:val="5D4810F0"/>
    <w:rsid w:val="5D4D2BAA"/>
    <w:rsid w:val="5D535CE6"/>
    <w:rsid w:val="5D5F468B"/>
    <w:rsid w:val="5D600B2F"/>
    <w:rsid w:val="5D7F0889"/>
    <w:rsid w:val="5D83481E"/>
    <w:rsid w:val="5DA16A52"/>
    <w:rsid w:val="5DB9023F"/>
    <w:rsid w:val="5DBC388C"/>
    <w:rsid w:val="5DBE13B2"/>
    <w:rsid w:val="5DBFA070"/>
    <w:rsid w:val="5DC00580"/>
    <w:rsid w:val="5DC82230"/>
    <w:rsid w:val="5DCF1811"/>
    <w:rsid w:val="5DE52DE2"/>
    <w:rsid w:val="5DEA21A7"/>
    <w:rsid w:val="5DF03535"/>
    <w:rsid w:val="5DF2592E"/>
    <w:rsid w:val="5DF43025"/>
    <w:rsid w:val="5DF52041"/>
    <w:rsid w:val="5E033269"/>
    <w:rsid w:val="5E070FAB"/>
    <w:rsid w:val="5E0D40E7"/>
    <w:rsid w:val="5E173D9B"/>
    <w:rsid w:val="5E20206C"/>
    <w:rsid w:val="5E24654F"/>
    <w:rsid w:val="5E286E51"/>
    <w:rsid w:val="5E2A4C99"/>
    <w:rsid w:val="5E473A9D"/>
    <w:rsid w:val="5E532442"/>
    <w:rsid w:val="5E5B12F6"/>
    <w:rsid w:val="5E60690D"/>
    <w:rsid w:val="5E671A49"/>
    <w:rsid w:val="5E6F08FE"/>
    <w:rsid w:val="5E954808"/>
    <w:rsid w:val="5EA467FA"/>
    <w:rsid w:val="5EBB5416"/>
    <w:rsid w:val="5EBF1885"/>
    <w:rsid w:val="5EC7073A"/>
    <w:rsid w:val="5EC944B2"/>
    <w:rsid w:val="5ECF75EF"/>
    <w:rsid w:val="5ED6097D"/>
    <w:rsid w:val="5EDA6373"/>
    <w:rsid w:val="5EDF528B"/>
    <w:rsid w:val="5EDF7832"/>
    <w:rsid w:val="5EE96902"/>
    <w:rsid w:val="5F076D88"/>
    <w:rsid w:val="5F0E6369"/>
    <w:rsid w:val="5F16521D"/>
    <w:rsid w:val="5F1A2F60"/>
    <w:rsid w:val="5F230066"/>
    <w:rsid w:val="5F2B2A77"/>
    <w:rsid w:val="5F3538F6"/>
    <w:rsid w:val="5F3C2ED6"/>
    <w:rsid w:val="5F463D55"/>
    <w:rsid w:val="5F506981"/>
    <w:rsid w:val="5F772160"/>
    <w:rsid w:val="5F814DDD"/>
    <w:rsid w:val="5F8959EF"/>
    <w:rsid w:val="5F8D54E0"/>
    <w:rsid w:val="5F990328"/>
    <w:rsid w:val="5FA171DD"/>
    <w:rsid w:val="5FB76A00"/>
    <w:rsid w:val="5FB962D5"/>
    <w:rsid w:val="5FBA3DFB"/>
    <w:rsid w:val="5FBB029F"/>
    <w:rsid w:val="5FBE6562"/>
    <w:rsid w:val="5FC1162D"/>
    <w:rsid w:val="5FC627A0"/>
    <w:rsid w:val="5FE33352"/>
    <w:rsid w:val="5FE84E0C"/>
    <w:rsid w:val="5FED06E7"/>
    <w:rsid w:val="5FF217E7"/>
    <w:rsid w:val="5FFE018B"/>
    <w:rsid w:val="60011A2A"/>
    <w:rsid w:val="60063D1C"/>
    <w:rsid w:val="60107EBF"/>
    <w:rsid w:val="601E25DC"/>
    <w:rsid w:val="602B6AA7"/>
    <w:rsid w:val="602F2A3B"/>
    <w:rsid w:val="60307A7E"/>
    <w:rsid w:val="603B13E0"/>
    <w:rsid w:val="604F4E8B"/>
    <w:rsid w:val="605129B1"/>
    <w:rsid w:val="60563B24"/>
    <w:rsid w:val="6057789C"/>
    <w:rsid w:val="606A5821"/>
    <w:rsid w:val="6071095D"/>
    <w:rsid w:val="60854409"/>
    <w:rsid w:val="60874625"/>
    <w:rsid w:val="60932FCA"/>
    <w:rsid w:val="6099330B"/>
    <w:rsid w:val="609E54CA"/>
    <w:rsid w:val="60A725D1"/>
    <w:rsid w:val="60B82A30"/>
    <w:rsid w:val="60BA0556"/>
    <w:rsid w:val="60C767CF"/>
    <w:rsid w:val="60CE5DB0"/>
    <w:rsid w:val="60E07891"/>
    <w:rsid w:val="60E23609"/>
    <w:rsid w:val="60E94998"/>
    <w:rsid w:val="6109503A"/>
    <w:rsid w:val="610A47B8"/>
    <w:rsid w:val="61151C31"/>
    <w:rsid w:val="61314591"/>
    <w:rsid w:val="61333E65"/>
    <w:rsid w:val="613D2F35"/>
    <w:rsid w:val="613D4CE3"/>
    <w:rsid w:val="614147D4"/>
    <w:rsid w:val="61453B98"/>
    <w:rsid w:val="614D0B2B"/>
    <w:rsid w:val="614F54D2"/>
    <w:rsid w:val="6152499D"/>
    <w:rsid w:val="616D55B0"/>
    <w:rsid w:val="6171498D"/>
    <w:rsid w:val="61750921"/>
    <w:rsid w:val="617F70AA"/>
    <w:rsid w:val="618B5A4F"/>
    <w:rsid w:val="61952D71"/>
    <w:rsid w:val="61960094"/>
    <w:rsid w:val="61992DEB"/>
    <w:rsid w:val="61B551C2"/>
    <w:rsid w:val="61C62F2B"/>
    <w:rsid w:val="61E11B13"/>
    <w:rsid w:val="61F91B31"/>
    <w:rsid w:val="620360F1"/>
    <w:rsid w:val="620852F1"/>
    <w:rsid w:val="62206ADF"/>
    <w:rsid w:val="62210161"/>
    <w:rsid w:val="622F5DD8"/>
    <w:rsid w:val="6239194F"/>
    <w:rsid w:val="623C3C66"/>
    <w:rsid w:val="623E6F65"/>
    <w:rsid w:val="624C1682"/>
    <w:rsid w:val="625C73EB"/>
    <w:rsid w:val="62614A02"/>
    <w:rsid w:val="626E28A7"/>
    <w:rsid w:val="627110E9"/>
    <w:rsid w:val="628232F6"/>
    <w:rsid w:val="628543B1"/>
    <w:rsid w:val="628801E0"/>
    <w:rsid w:val="629118D9"/>
    <w:rsid w:val="629628FD"/>
    <w:rsid w:val="629848C7"/>
    <w:rsid w:val="62AC2121"/>
    <w:rsid w:val="62AF7E63"/>
    <w:rsid w:val="62C236F2"/>
    <w:rsid w:val="62C751AC"/>
    <w:rsid w:val="62EA2C49"/>
    <w:rsid w:val="62F87114"/>
    <w:rsid w:val="62FF1D7E"/>
    <w:rsid w:val="630750A6"/>
    <w:rsid w:val="630E2DDB"/>
    <w:rsid w:val="63186930"/>
    <w:rsid w:val="63514A76"/>
    <w:rsid w:val="635822A8"/>
    <w:rsid w:val="635F3637"/>
    <w:rsid w:val="636D5D54"/>
    <w:rsid w:val="636E73D6"/>
    <w:rsid w:val="637A221F"/>
    <w:rsid w:val="638C3D00"/>
    <w:rsid w:val="63A92B04"/>
    <w:rsid w:val="63B03E93"/>
    <w:rsid w:val="63B379DE"/>
    <w:rsid w:val="63C4349A"/>
    <w:rsid w:val="63C90776"/>
    <w:rsid w:val="63CF5B8B"/>
    <w:rsid w:val="63E92F01"/>
    <w:rsid w:val="63ED479F"/>
    <w:rsid w:val="63FB4653"/>
    <w:rsid w:val="63FE4BFE"/>
    <w:rsid w:val="64041AE8"/>
    <w:rsid w:val="640970FF"/>
    <w:rsid w:val="640F6E0B"/>
    <w:rsid w:val="64136A11"/>
    <w:rsid w:val="641E2BAA"/>
    <w:rsid w:val="641E704E"/>
    <w:rsid w:val="643C74D4"/>
    <w:rsid w:val="64405216"/>
    <w:rsid w:val="6449399F"/>
    <w:rsid w:val="645C36D2"/>
    <w:rsid w:val="64656A2B"/>
    <w:rsid w:val="646A5DEF"/>
    <w:rsid w:val="646D768E"/>
    <w:rsid w:val="647D49FA"/>
    <w:rsid w:val="64836EB1"/>
    <w:rsid w:val="648A6492"/>
    <w:rsid w:val="648B0FAA"/>
    <w:rsid w:val="64925346"/>
    <w:rsid w:val="64AF414A"/>
    <w:rsid w:val="64B11C70"/>
    <w:rsid w:val="64B96D77"/>
    <w:rsid w:val="64BF6B8F"/>
    <w:rsid w:val="64C74513"/>
    <w:rsid w:val="64CF659A"/>
    <w:rsid w:val="64D63485"/>
    <w:rsid w:val="64DB0A9B"/>
    <w:rsid w:val="64F97173"/>
    <w:rsid w:val="64FD3107"/>
    <w:rsid w:val="65046244"/>
    <w:rsid w:val="650A1380"/>
    <w:rsid w:val="650F4BE9"/>
    <w:rsid w:val="65120EC6"/>
    <w:rsid w:val="651B17E0"/>
    <w:rsid w:val="651F5233"/>
    <w:rsid w:val="652A37D1"/>
    <w:rsid w:val="652C12F7"/>
    <w:rsid w:val="653603C7"/>
    <w:rsid w:val="65475AD8"/>
    <w:rsid w:val="65476131"/>
    <w:rsid w:val="65646CE3"/>
    <w:rsid w:val="656F7435"/>
    <w:rsid w:val="657449B3"/>
    <w:rsid w:val="65801643"/>
    <w:rsid w:val="658C1FA6"/>
    <w:rsid w:val="659770B8"/>
    <w:rsid w:val="659B022A"/>
    <w:rsid w:val="65A07B58"/>
    <w:rsid w:val="65A90B99"/>
    <w:rsid w:val="65AB66C0"/>
    <w:rsid w:val="65B01F28"/>
    <w:rsid w:val="65BA6903"/>
    <w:rsid w:val="65C07C91"/>
    <w:rsid w:val="65C6799D"/>
    <w:rsid w:val="65C854C3"/>
    <w:rsid w:val="65CB4FB4"/>
    <w:rsid w:val="65CC4888"/>
    <w:rsid w:val="65D06126"/>
    <w:rsid w:val="65D44CCA"/>
    <w:rsid w:val="65F362B8"/>
    <w:rsid w:val="65F938CF"/>
    <w:rsid w:val="66061B48"/>
    <w:rsid w:val="660A5ADC"/>
    <w:rsid w:val="660F30F2"/>
    <w:rsid w:val="66252916"/>
    <w:rsid w:val="66263F98"/>
    <w:rsid w:val="665D0A3F"/>
    <w:rsid w:val="66613222"/>
    <w:rsid w:val="6663343E"/>
    <w:rsid w:val="666F593F"/>
    <w:rsid w:val="667747F4"/>
    <w:rsid w:val="667B2D0F"/>
    <w:rsid w:val="66833198"/>
    <w:rsid w:val="668A09CB"/>
    <w:rsid w:val="668A2779"/>
    <w:rsid w:val="669305E1"/>
    <w:rsid w:val="66AD290B"/>
    <w:rsid w:val="66D24F47"/>
    <w:rsid w:val="66D439F4"/>
    <w:rsid w:val="66DB4D83"/>
    <w:rsid w:val="670818F0"/>
    <w:rsid w:val="67187114"/>
    <w:rsid w:val="671D5367"/>
    <w:rsid w:val="67206C39"/>
    <w:rsid w:val="6727621A"/>
    <w:rsid w:val="672D1356"/>
    <w:rsid w:val="672F3320"/>
    <w:rsid w:val="67380427"/>
    <w:rsid w:val="673E3563"/>
    <w:rsid w:val="67542D87"/>
    <w:rsid w:val="675B4115"/>
    <w:rsid w:val="67672ABA"/>
    <w:rsid w:val="677925CA"/>
    <w:rsid w:val="678E44EB"/>
    <w:rsid w:val="67917B37"/>
    <w:rsid w:val="679D028A"/>
    <w:rsid w:val="679D64DC"/>
    <w:rsid w:val="67A07D7A"/>
    <w:rsid w:val="67A7300C"/>
    <w:rsid w:val="67A7735B"/>
    <w:rsid w:val="67AB6E4B"/>
    <w:rsid w:val="67BD6B7E"/>
    <w:rsid w:val="67C1041C"/>
    <w:rsid w:val="67CA7195"/>
    <w:rsid w:val="67EE4F89"/>
    <w:rsid w:val="67F02AB0"/>
    <w:rsid w:val="68182006"/>
    <w:rsid w:val="681A3FD0"/>
    <w:rsid w:val="681B3DD7"/>
    <w:rsid w:val="681F5143"/>
    <w:rsid w:val="682409AB"/>
    <w:rsid w:val="6837248C"/>
    <w:rsid w:val="683926A8"/>
    <w:rsid w:val="683F3A37"/>
    <w:rsid w:val="684B23DC"/>
    <w:rsid w:val="687234C5"/>
    <w:rsid w:val="68757499"/>
    <w:rsid w:val="687A681D"/>
    <w:rsid w:val="68833924"/>
    <w:rsid w:val="68945B31"/>
    <w:rsid w:val="689D1A3B"/>
    <w:rsid w:val="689F6284"/>
    <w:rsid w:val="68A62804"/>
    <w:rsid w:val="68B25FB7"/>
    <w:rsid w:val="68BB130F"/>
    <w:rsid w:val="68BC0BE4"/>
    <w:rsid w:val="68C06926"/>
    <w:rsid w:val="68C47A98"/>
    <w:rsid w:val="68C9702B"/>
    <w:rsid w:val="68CB7079"/>
    <w:rsid w:val="68D0643D"/>
    <w:rsid w:val="68E32614"/>
    <w:rsid w:val="68EF0FB9"/>
    <w:rsid w:val="68EF720B"/>
    <w:rsid w:val="68F14D31"/>
    <w:rsid w:val="68F77E6E"/>
    <w:rsid w:val="68FE3099"/>
    <w:rsid w:val="69074555"/>
    <w:rsid w:val="690B56C7"/>
    <w:rsid w:val="69110F2F"/>
    <w:rsid w:val="69126A56"/>
    <w:rsid w:val="691C1682"/>
    <w:rsid w:val="6922313D"/>
    <w:rsid w:val="692A0243"/>
    <w:rsid w:val="693009CF"/>
    <w:rsid w:val="69360996"/>
    <w:rsid w:val="694675AC"/>
    <w:rsid w:val="694D1762"/>
    <w:rsid w:val="695157D0"/>
    <w:rsid w:val="696077C1"/>
    <w:rsid w:val="697B45FB"/>
    <w:rsid w:val="69807E63"/>
    <w:rsid w:val="6983666A"/>
    <w:rsid w:val="698C2CAC"/>
    <w:rsid w:val="698E1A1B"/>
    <w:rsid w:val="698E2580"/>
    <w:rsid w:val="69901D8C"/>
    <w:rsid w:val="69982374"/>
    <w:rsid w:val="69A974F1"/>
    <w:rsid w:val="69B95123"/>
    <w:rsid w:val="69C47F26"/>
    <w:rsid w:val="69CA10DE"/>
    <w:rsid w:val="69D41F5D"/>
    <w:rsid w:val="69DB153D"/>
    <w:rsid w:val="69DC778F"/>
    <w:rsid w:val="69DD7064"/>
    <w:rsid w:val="69E2467A"/>
    <w:rsid w:val="69E55F18"/>
    <w:rsid w:val="69E7596B"/>
    <w:rsid w:val="69EC374B"/>
    <w:rsid w:val="69FF27F4"/>
    <w:rsid w:val="6A024D1C"/>
    <w:rsid w:val="6A034602"/>
    <w:rsid w:val="6A1707C7"/>
    <w:rsid w:val="6A1A3E14"/>
    <w:rsid w:val="6A375BE2"/>
    <w:rsid w:val="6A3D3FA6"/>
    <w:rsid w:val="6A4B0471"/>
    <w:rsid w:val="6A5F5CCB"/>
    <w:rsid w:val="6A6652AB"/>
    <w:rsid w:val="6A6E23B2"/>
    <w:rsid w:val="6A6E4160"/>
    <w:rsid w:val="6A78792D"/>
    <w:rsid w:val="6A96200E"/>
    <w:rsid w:val="6A99742E"/>
    <w:rsid w:val="6A9A4F55"/>
    <w:rsid w:val="6A9C0CCD"/>
    <w:rsid w:val="6AA10091"/>
    <w:rsid w:val="6AB97AD1"/>
    <w:rsid w:val="6AD14E1A"/>
    <w:rsid w:val="6AD541DF"/>
    <w:rsid w:val="6AED32D6"/>
    <w:rsid w:val="6AEF34F2"/>
    <w:rsid w:val="6AFC79BD"/>
    <w:rsid w:val="6AFE7291"/>
    <w:rsid w:val="6B004ED0"/>
    <w:rsid w:val="6B030D4C"/>
    <w:rsid w:val="6B0D1BCA"/>
    <w:rsid w:val="6B11688B"/>
    <w:rsid w:val="6B1F4881"/>
    <w:rsid w:val="6B217424"/>
    <w:rsid w:val="6B3709F5"/>
    <w:rsid w:val="6B3929BF"/>
    <w:rsid w:val="6B431148"/>
    <w:rsid w:val="6B454EC0"/>
    <w:rsid w:val="6B4718D4"/>
    <w:rsid w:val="6B4C44A1"/>
    <w:rsid w:val="6B513865"/>
    <w:rsid w:val="6B572E46"/>
    <w:rsid w:val="6B6932A5"/>
    <w:rsid w:val="6B735ED1"/>
    <w:rsid w:val="6B7E33C5"/>
    <w:rsid w:val="6B841E8D"/>
    <w:rsid w:val="6B851761"/>
    <w:rsid w:val="6B881251"/>
    <w:rsid w:val="6B8A4FC9"/>
    <w:rsid w:val="6B9145AA"/>
    <w:rsid w:val="6B95409A"/>
    <w:rsid w:val="6B985938"/>
    <w:rsid w:val="6B9B0F84"/>
    <w:rsid w:val="6B9E2823"/>
    <w:rsid w:val="6BAE515B"/>
    <w:rsid w:val="6BB42046"/>
    <w:rsid w:val="6BC04E8F"/>
    <w:rsid w:val="6BC71D79"/>
    <w:rsid w:val="6BCB7ABB"/>
    <w:rsid w:val="6BD44496"/>
    <w:rsid w:val="6BDA7CFF"/>
    <w:rsid w:val="6BE0108D"/>
    <w:rsid w:val="6BEF307E"/>
    <w:rsid w:val="6BF1329A"/>
    <w:rsid w:val="6BF608B1"/>
    <w:rsid w:val="6BF6440D"/>
    <w:rsid w:val="6BFA7F30"/>
    <w:rsid w:val="6BFD1C3F"/>
    <w:rsid w:val="6C044D7B"/>
    <w:rsid w:val="6C052BEB"/>
    <w:rsid w:val="6C09788E"/>
    <w:rsid w:val="6C0B50CD"/>
    <w:rsid w:val="6C0E5BFA"/>
    <w:rsid w:val="6C1A459F"/>
    <w:rsid w:val="6C1D7BEB"/>
    <w:rsid w:val="6C20148A"/>
    <w:rsid w:val="6C360CAD"/>
    <w:rsid w:val="6C3A69EF"/>
    <w:rsid w:val="6C4E5FF7"/>
    <w:rsid w:val="6C564753"/>
    <w:rsid w:val="6C733CAF"/>
    <w:rsid w:val="6C8B0FF9"/>
    <w:rsid w:val="6C8B2DA7"/>
    <w:rsid w:val="6C8B724B"/>
    <w:rsid w:val="6C9B541E"/>
    <w:rsid w:val="6CA675D4"/>
    <w:rsid w:val="6CBD37F6"/>
    <w:rsid w:val="6CBF5146"/>
    <w:rsid w:val="6CD543D4"/>
    <w:rsid w:val="6CDB1F80"/>
    <w:rsid w:val="6D0A5334"/>
    <w:rsid w:val="6D176D30"/>
    <w:rsid w:val="6D203E37"/>
    <w:rsid w:val="6D2C27DC"/>
    <w:rsid w:val="6D3C6797"/>
    <w:rsid w:val="6D3E250F"/>
    <w:rsid w:val="6D3F3B91"/>
    <w:rsid w:val="6D403BCC"/>
    <w:rsid w:val="6D413DAD"/>
    <w:rsid w:val="6D4F2026"/>
    <w:rsid w:val="6D561607"/>
    <w:rsid w:val="6D5E04BB"/>
    <w:rsid w:val="6D5E670D"/>
    <w:rsid w:val="6D723F67"/>
    <w:rsid w:val="6D747CDF"/>
    <w:rsid w:val="6D793547"/>
    <w:rsid w:val="6D88378A"/>
    <w:rsid w:val="6D8A7502"/>
    <w:rsid w:val="6DA265FA"/>
    <w:rsid w:val="6DA305C4"/>
    <w:rsid w:val="6DA5433C"/>
    <w:rsid w:val="6DAD4F9F"/>
    <w:rsid w:val="6DB14A8F"/>
    <w:rsid w:val="6DB4632D"/>
    <w:rsid w:val="6DCE3893"/>
    <w:rsid w:val="6DD4077E"/>
    <w:rsid w:val="6DD62748"/>
    <w:rsid w:val="6DD7112A"/>
    <w:rsid w:val="6DDD7632"/>
    <w:rsid w:val="6DDF3FDA"/>
    <w:rsid w:val="6DEA1D4F"/>
    <w:rsid w:val="6DEC1F6B"/>
    <w:rsid w:val="6DF606F4"/>
    <w:rsid w:val="6DF66946"/>
    <w:rsid w:val="6E013002"/>
    <w:rsid w:val="6E0948CB"/>
    <w:rsid w:val="6E0E5A3E"/>
    <w:rsid w:val="6E166FE8"/>
    <w:rsid w:val="6E216668"/>
    <w:rsid w:val="6E250FD9"/>
    <w:rsid w:val="6E2F6C77"/>
    <w:rsid w:val="6E36354F"/>
    <w:rsid w:val="6E405E13"/>
    <w:rsid w:val="6E4C0C5C"/>
    <w:rsid w:val="6E5518BE"/>
    <w:rsid w:val="6E5A6ED5"/>
    <w:rsid w:val="6E625D89"/>
    <w:rsid w:val="6E6B2E90"/>
    <w:rsid w:val="6E6B7334"/>
    <w:rsid w:val="6E781A51"/>
    <w:rsid w:val="6E8E4DD0"/>
    <w:rsid w:val="6E935726"/>
    <w:rsid w:val="6EA91421"/>
    <w:rsid w:val="6EAA3BD8"/>
    <w:rsid w:val="6EB72579"/>
    <w:rsid w:val="6EBA6930"/>
    <w:rsid w:val="6EBC36EB"/>
    <w:rsid w:val="6ED0363B"/>
    <w:rsid w:val="6ED722D3"/>
    <w:rsid w:val="6ED8604B"/>
    <w:rsid w:val="6EDE2CAE"/>
    <w:rsid w:val="6EE80984"/>
    <w:rsid w:val="6F103A37"/>
    <w:rsid w:val="6F175A9C"/>
    <w:rsid w:val="6F1C23DC"/>
    <w:rsid w:val="6F3516F0"/>
    <w:rsid w:val="6F404E66"/>
    <w:rsid w:val="6F4417EA"/>
    <w:rsid w:val="6F460345"/>
    <w:rsid w:val="6F5222A2"/>
    <w:rsid w:val="6F525CEF"/>
    <w:rsid w:val="6F573414"/>
    <w:rsid w:val="6F685621"/>
    <w:rsid w:val="6F6D22A6"/>
    <w:rsid w:val="6F6F69B0"/>
    <w:rsid w:val="6F743FC6"/>
    <w:rsid w:val="6F7B35A7"/>
    <w:rsid w:val="6F7C10CD"/>
    <w:rsid w:val="6F8306AD"/>
    <w:rsid w:val="6F9B1553"/>
    <w:rsid w:val="6FA26D85"/>
    <w:rsid w:val="6FAC3760"/>
    <w:rsid w:val="6FAF14A2"/>
    <w:rsid w:val="6FB26B0B"/>
    <w:rsid w:val="6FB6638D"/>
    <w:rsid w:val="6FB865A9"/>
    <w:rsid w:val="6FBC771B"/>
    <w:rsid w:val="6FC0545D"/>
    <w:rsid w:val="6FCA62DC"/>
    <w:rsid w:val="6FD9207B"/>
    <w:rsid w:val="6FFD220E"/>
    <w:rsid w:val="70141305"/>
    <w:rsid w:val="701557A9"/>
    <w:rsid w:val="701D640C"/>
    <w:rsid w:val="70231548"/>
    <w:rsid w:val="702C664F"/>
    <w:rsid w:val="702E0619"/>
    <w:rsid w:val="70343755"/>
    <w:rsid w:val="70390D6C"/>
    <w:rsid w:val="703D260A"/>
    <w:rsid w:val="70417539"/>
    <w:rsid w:val="704735F8"/>
    <w:rsid w:val="70490BA1"/>
    <w:rsid w:val="704A4D27"/>
    <w:rsid w:val="704C669B"/>
    <w:rsid w:val="70514307"/>
    <w:rsid w:val="705362D1"/>
    <w:rsid w:val="705D4A5A"/>
    <w:rsid w:val="706109EE"/>
    <w:rsid w:val="7063448F"/>
    <w:rsid w:val="70691651"/>
    <w:rsid w:val="707B12B9"/>
    <w:rsid w:val="707F2C23"/>
    <w:rsid w:val="70822713"/>
    <w:rsid w:val="70871AD7"/>
    <w:rsid w:val="70910F61"/>
    <w:rsid w:val="70944D11"/>
    <w:rsid w:val="70A73F27"/>
    <w:rsid w:val="70B2124A"/>
    <w:rsid w:val="70BC5C25"/>
    <w:rsid w:val="70BF3967"/>
    <w:rsid w:val="70C1148D"/>
    <w:rsid w:val="70C40F7D"/>
    <w:rsid w:val="70C94746"/>
    <w:rsid w:val="70D50A94"/>
    <w:rsid w:val="70F25AEA"/>
    <w:rsid w:val="70F52EE5"/>
    <w:rsid w:val="70FD1A16"/>
    <w:rsid w:val="710F307D"/>
    <w:rsid w:val="71136B66"/>
    <w:rsid w:val="71153587"/>
    <w:rsid w:val="71163299"/>
    <w:rsid w:val="71215755"/>
    <w:rsid w:val="71290DE0"/>
    <w:rsid w:val="71297032"/>
    <w:rsid w:val="713C6D66"/>
    <w:rsid w:val="713D663A"/>
    <w:rsid w:val="715E0A8A"/>
    <w:rsid w:val="717C53B4"/>
    <w:rsid w:val="7189187F"/>
    <w:rsid w:val="719426FE"/>
    <w:rsid w:val="71995F66"/>
    <w:rsid w:val="71997ED8"/>
    <w:rsid w:val="719E357C"/>
    <w:rsid w:val="71A05546"/>
    <w:rsid w:val="71A768D5"/>
    <w:rsid w:val="71AB4182"/>
    <w:rsid w:val="71B76065"/>
    <w:rsid w:val="71C06754"/>
    <w:rsid w:val="71C54FAD"/>
    <w:rsid w:val="71CC119F"/>
    <w:rsid w:val="71CD79BE"/>
    <w:rsid w:val="71D23226"/>
    <w:rsid w:val="71E35433"/>
    <w:rsid w:val="71E371E1"/>
    <w:rsid w:val="71E76CD1"/>
    <w:rsid w:val="71F47640"/>
    <w:rsid w:val="72161365"/>
    <w:rsid w:val="72281098"/>
    <w:rsid w:val="722A4E10"/>
    <w:rsid w:val="722E4900"/>
    <w:rsid w:val="723914F7"/>
    <w:rsid w:val="724C2FD8"/>
    <w:rsid w:val="72565C05"/>
    <w:rsid w:val="7259784A"/>
    <w:rsid w:val="725C51B7"/>
    <w:rsid w:val="72640322"/>
    <w:rsid w:val="72646574"/>
    <w:rsid w:val="72701EDF"/>
    <w:rsid w:val="7271076B"/>
    <w:rsid w:val="7278201F"/>
    <w:rsid w:val="72A04DED"/>
    <w:rsid w:val="72A252EE"/>
    <w:rsid w:val="72A44BC2"/>
    <w:rsid w:val="72A526E9"/>
    <w:rsid w:val="72A9667D"/>
    <w:rsid w:val="72B461BC"/>
    <w:rsid w:val="72B666A4"/>
    <w:rsid w:val="72C40DC1"/>
    <w:rsid w:val="72CC236B"/>
    <w:rsid w:val="72DA6836"/>
    <w:rsid w:val="72E2292C"/>
    <w:rsid w:val="72FB055A"/>
    <w:rsid w:val="72FC67AC"/>
    <w:rsid w:val="72FD0776"/>
    <w:rsid w:val="73076EFF"/>
    <w:rsid w:val="7309711B"/>
    <w:rsid w:val="73155AC0"/>
    <w:rsid w:val="73165394"/>
    <w:rsid w:val="7318735E"/>
    <w:rsid w:val="731955B0"/>
    <w:rsid w:val="731A30D6"/>
    <w:rsid w:val="731A6C33"/>
    <w:rsid w:val="731D6723"/>
    <w:rsid w:val="732B52E4"/>
    <w:rsid w:val="73352F08"/>
    <w:rsid w:val="733C304D"/>
    <w:rsid w:val="733D0B73"/>
    <w:rsid w:val="734B7734"/>
    <w:rsid w:val="73533EAF"/>
    <w:rsid w:val="7358775B"/>
    <w:rsid w:val="735A34D3"/>
    <w:rsid w:val="735C1CB3"/>
    <w:rsid w:val="736E51D0"/>
    <w:rsid w:val="73734595"/>
    <w:rsid w:val="737427E7"/>
    <w:rsid w:val="7376394C"/>
    <w:rsid w:val="737F2F3A"/>
    <w:rsid w:val="737F73DD"/>
    <w:rsid w:val="738B18DE"/>
    <w:rsid w:val="73920EBF"/>
    <w:rsid w:val="73927111"/>
    <w:rsid w:val="73952CB2"/>
    <w:rsid w:val="73953C0C"/>
    <w:rsid w:val="73993FFB"/>
    <w:rsid w:val="739A5FC5"/>
    <w:rsid w:val="73A155A6"/>
    <w:rsid w:val="73A17354"/>
    <w:rsid w:val="73A40BF2"/>
    <w:rsid w:val="73AB01D2"/>
    <w:rsid w:val="73B61051"/>
    <w:rsid w:val="73C92407"/>
    <w:rsid w:val="73D03795"/>
    <w:rsid w:val="73D8631E"/>
    <w:rsid w:val="73E14FC8"/>
    <w:rsid w:val="73F13E37"/>
    <w:rsid w:val="73FF3D5A"/>
    <w:rsid w:val="74024296"/>
    <w:rsid w:val="74051691"/>
    <w:rsid w:val="740B2A1F"/>
    <w:rsid w:val="740F42BD"/>
    <w:rsid w:val="74116287"/>
    <w:rsid w:val="74147B26"/>
    <w:rsid w:val="74161AF0"/>
    <w:rsid w:val="7423420D"/>
    <w:rsid w:val="743C0E2B"/>
    <w:rsid w:val="743F7644"/>
    <w:rsid w:val="744D4DE6"/>
    <w:rsid w:val="745148D6"/>
    <w:rsid w:val="74604B19"/>
    <w:rsid w:val="74675EA7"/>
    <w:rsid w:val="746856CC"/>
    <w:rsid w:val="74687E72"/>
    <w:rsid w:val="746A5998"/>
    <w:rsid w:val="7476433D"/>
    <w:rsid w:val="747D391D"/>
    <w:rsid w:val="748C590E"/>
    <w:rsid w:val="74956EB9"/>
    <w:rsid w:val="749F7D37"/>
    <w:rsid w:val="74A76BEC"/>
    <w:rsid w:val="74C50E20"/>
    <w:rsid w:val="74E90FB2"/>
    <w:rsid w:val="74F811F5"/>
    <w:rsid w:val="74F82FA3"/>
    <w:rsid w:val="750202C6"/>
    <w:rsid w:val="75023E22"/>
    <w:rsid w:val="75096F5F"/>
    <w:rsid w:val="750B717B"/>
    <w:rsid w:val="75243D99"/>
    <w:rsid w:val="75335B68"/>
    <w:rsid w:val="75474E11"/>
    <w:rsid w:val="754B57C9"/>
    <w:rsid w:val="75556648"/>
    <w:rsid w:val="755C3532"/>
    <w:rsid w:val="756B19C7"/>
    <w:rsid w:val="75703482"/>
    <w:rsid w:val="75742F72"/>
    <w:rsid w:val="7577EE3A"/>
    <w:rsid w:val="75865DEE"/>
    <w:rsid w:val="759251A6"/>
    <w:rsid w:val="75945AE9"/>
    <w:rsid w:val="75A0327F"/>
    <w:rsid w:val="75A8474E"/>
    <w:rsid w:val="75B3511C"/>
    <w:rsid w:val="75C80BC8"/>
    <w:rsid w:val="75D27C98"/>
    <w:rsid w:val="75F61BD9"/>
    <w:rsid w:val="76053BCA"/>
    <w:rsid w:val="760C31AA"/>
    <w:rsid w:val="76124539"/>
    <w:rsid w:val="76206C56"/>
    <w:rsid w:val="76272697"/>
    <w:rsid w:val="762A3062"/>
    <w:rsid w:val="7630676D"/>
    <w:rsid w:val="76342701"/>
    <w:rsid w:val="764364A0"/>
    <w:rsid w:val="7645046A"/>
    <w:rsid w:val="764B35A7"/>
    <w:rsid w:val="76546606"/>
    <w:rsid w:val="76636B42"/>
    <w:rsid w:val="76684159"/>
    <w:rsid w:val="76870A83"/>
    <w:rsid w:val="768E5753"/>
    <w:rsid w:val="769D02A6"/>
    <w:rsid w:val="76AE0369"/>
    <w:rsid w:val="76D417EE"/>
    <w:rsid w:val="76D96E05"/>
    <w:rsid w:val="76E45ED5"/>
    <w:rsid w:val="76E556A0"/>
    <w:rsid w:val="76E732D0"/>
    <w:rsid w:val="76EA2DC0"/>
    <w:rsid w:val="76EE2C2B"/>
    <w:rsid w:val="76F459ED"/>
    <w:rsid w:val="770009D1"/>
    <w:rsid w:val="7706409E"/>
    <w:rsid w:val="77065E4C"/>
    <w:rsid w:val="77470212"/>
    <w:rsid w:val="775766A7"/>
    <w:rsid w:val="776B2153"/>
    <w:rsid w:val="77843214"/>
    <w:rsid w:val="778E7BEF"/>
    <w:rsid w:val="779F5AAB"/>
    <w:rsid w:val="77B05DB7"/>
    <w:rsid w:val="77B77146"/>
    <w:rsid w:val="77D5581E"/>
    <w:rsid w:val="77E43CB3"/>
    <w:rsid w:val="77E93077"/>
    <w:rsid w:val="77F02658"/>
    <w:rsid w:val="77F84F7A"/>
    <w:rsid w:val="77FC64F8"/>
    <w:rsid w:val="780E2ADE"/>
    <w:rsid w:val="78112CFA"/>
    <w:rsid w:val="7811525D"/>
    <w:rsid w:val="781520BE"/>
    <w:rsid w:val="781A76D5"/>
    <w:rsid w:val="781B5927"/>
    <w:rsid w:val="781E5417"/>
    <w:rsid w:val="782346E1"/>
    <w:rsid w:val="782A5B6A"/>
    <w:rsid w:val="78340796"/>
    <w:rsid w:val="78372810"/>
    <w:rsid w:val="783E7867"/>
    <w:rsid w:val="78505776"/>
    <w:rsid w:val="785C7CED"/>
    <w:rsid w:val="785D43B4"/>
    <w:rsid w:val="7872665C"/>
    <w:rsid w:val="78761AAB"/>
    <w:rsid w:val="787C3EEC"/>
    <w:rsid w:val="788334CC"/>
    <w:rsid w:val="7883527A"/>
    <w:rsid w:val="78866B18"/>
    <w:rsid w:val="78872FBC"/>
    <w:rsid w:val="78880AE2"/>
    <w:rsid w:val="789607FB"/>
    <w:rsid w:val="789E4501"/>
    <w:rsid w:val="78A70F68"/>
    <w:rsid w:val="78B11DE7"/>
    <w:rsid w:val="78B74F24"/>
    <w:rsid w:val="78B95140"/>
    <w:rsid w:val="78BC253A"/>
    <w:rsid w:val="78C7785D"/>
    <w:rsid w:val="78DE6954"/>
    <w:rsid w:val="78E201F2"/>
    <w:rsid w:val="78E55F35"/>
    <w:rsid w:val="78E977D3"/>
    <w:rsid w:val="78EA3B70"/>
    <w:rsid w:val="78EF290F"/>
    <w:rsid w:val="78FE482A"/>
    <w:rsid w:val="790243F1"/>
    <w:rsid w:val="79030169"/>
    <w:rsid w:val="790740FD"/>
    <w:rsid w:val="79075EAB"/>
    <w:rsid w:val="79144124"/>
    <w:rsid w:val="792E3438"/>
    <w:rsid w:val="79336CA0"/>
    <w:rsid w:val="793842B6"/>
    <w:rsid w:val="793B3DA7"/>
    <w:rsid w:val="793C2330"/>
    <w:rsid w:val="793F3897"/>
    <w:rsid w:val="79487632"/>
    <w:rsid w:val="79701CA2"/>
    <w:rsid w:val="7981556C"/>
    <w:rsid w:val="798C63B0"/>
    <w:rsid w:val="79921C19"/>
    <w:rsid w:val="79A076CE"/>
    <w:rsid w:val="79A13C0A"/>
    <w:rsid w:val="79AD6A52"/>
    <w:rsid w:val="79B002F1"/>
    <w:rsid w:val="79B7167F"/>
    <w:rsid w:val="79C30024"/>
    <w:rsid w:val="79CE4C1B"/>
    <w:rsid w:val="79D7762B"/>
    <w:rsid w:val="79D97847"/>
    <w:rsid w:val="79DD09BA"/>
    <w:rsid w:val="79E50891"/>
    <w:rsid w:val="79EF706B"/>
    <w:rsid w:val="7A1C0378"/>
    <w:rsid w:val="7A230AC3"/>
    <w:rsid w:val="7A236D15"/>
    <w:rsid w:val="7A326409"/>
    <w:rsid w:val="7A3727C0"/>
    <w:rsid w:val="7A396538"/>
    <w:rsid w:val="7A5073DE"/>
    <w:rsid w:val="7A561865"/>
    <w:rsid w:val="7A5E1AFB"/>
    <w:rsid w:val="7A5F2964"/>
    <w:rsid w:val="7A664E53"/>
    <w:rsid w:val="7A684727"/>
    <w:rsid w:val="7A693667"/>
    <w:rsid w:val="7A6D1FE3"/>
    <w:rsid w:val="7A792DD8"/>
    <w:rsid w:val="7A88301C"/>
    <w:rsid w:val="7A8F7F06"/>
    <w:rsid w:val="7A951295"/>
    <w:rsid w:val="7A9C5E45"/>
    <w:rsid w:val="7AA00365"/>
    <w:rsid w:val="7AAA11E4"/>
    <w:rsid w:val="7AAA4AFD"/>
    <w:rsid w:val="7AC04563"/>
    <w:rsid w:val="7AC06311"/>
    <w:rsid w:val="7AC53928"/>
    <w:rsid w:val="7AD853DF"/>
    <w:rsid w:val="7ADE01B6"/>
    <w:rsid w:val="7AE5221C"/>
    <w:rsid w:val="7AE9528A"/>
    <w:rsid w:val="7AED10D1"/>
    <w:rsid w:val="7AFE32DE"/>
    <w:rsid w:val="7B002BB2"/>
    <w:rsid w:val="7B05466C"/>
    <w:rsid w:val="7B203254"/>
    <w:rsid w:val="7B2E771F"/>
    <w:rsid w:val="7B340AAD"/>
    <w:rsid w:val="7B3A354B"/>
    <w:rsid w:val="7B3B008E"/>
    <w:rsid w:val="7B3D5BB4"/>
    <w:rsid w:val="7B476A33"/>
    <w:rsid w:val="7B4927AB"/>
    <w:rsid w:val="7B5423F4"/>
    <w:rsid w:val="7B551150"/>
    <w:rsid w:val="7B5A49B8"/>
    <w:rsid w:val="7B692BF0"/>
    <w:rsid w:val="7B694BFB"/>
    <w:rsid w:val="7B75AFA1"/>
    <w:rsid w:val="7B7F7F7B"/>
    <w:rsid w:val="7B811F45"/>
    <w:rsid w:val="7B821819"/>
    <w:rsid w:val="7B9F686F"/>
    <w:rsid w:val="7BA07EF1"/>
    <w:rsid w:val="7BA43E85"/>
    <w:rsid w:val="7BA7127F"/>
    <w:rsid w:val="7BB01DDF"/>
    <w:rsid w:val="7BC10593"/>
    <w:rsid w:val="7BD36518"/>
    <w:rsid w:val="7BD5403F"/>
    <w:rsid w:val="7BDF6C6B"/>
    <w:rsid w:val="7BE424D4"/>
    <w:rsid w:val="7BEB1AB4"/>
    <w:rsid w:val="7BED75DA"/>
    <w:rsid w:val="7BF344C5"/>
    <w:rsid w:val="7C1032C9"/>
    <w:rsid w:val="7C1A5EF5"/>
    <w:rsid w:val="7C1F350C"/>
    <w:rsid w:val="7C224DAA"/>
    <w:rsid w:val="7C310E84"/>
    <w:rsid w:val="7C4A4A2C"/>
    <w:rsid w:val="7C4B4301"/>
    <w:rsid w:val="7C4D62CB"/>
    <w:rsid w:val="7C55517F"/>
    <w:rsid w:val="7C5E6574"/>
    <w:rsid w:val="7C6158D2"/>
    <w:rsid w:val="7C636ECC"/>
    <w:rsid w:val="7C653614"/>
    <w:rsid w:val="7C705B15"/>
    <w:rsid w:val="7C776EA4"/>
    <w:rsid w:val="7C7C44BA"/>
    <w:rsid w:val="7C7E49E6"/>
    <w:rsid w:val="7C947A56"/>
    <w:rsid w:val="7CAD17DA"/>
    <w:rsid w:val="7CAF4890"/>
    <w:rsid w:val="7CB263ED"/>
    <w:rsid w:val="7CB2717C"/>
    <w:rsid w:val="7CB35F23"/>
    <w:rsid w:val="7CB37BC7"/>
    <w:rsid w:val="7CC540B3"/>
    <w:rsid w:val="7CCC3693"/>
    <w:rsid w:val="7CCD740C"/>
    <w:rsid w:val="7CD75B94"/>
    <w:rsid w:val="7CDE5175"/>
    <w:rsid w:val="7CE34539"/>
    <w:rsid w:val="7D060228"/>
    <w:rsid w:val="7D080444"/>
    <w:rsid w:val="7D0A41BC"/>
    <w:rsid w:val="7D0D7808"/>
    <w:rsid w:val="7D1058BF"/>
    <w:rsid w:val="7D24527D"/>
    <w:rsid w:val="7D31799A"/>
    <w:rsid w:val="7D32101D"/>
    <w:rsid w:val="7D360B0D"/>
    <w:rsid w:val="7D5316A8"/>
    <w:rsid w:val="7D6C09D3"/>
    <w:rsid w:val="7D782ED3"/>
    <w:rsid w:val="7D8E26F7"/>
    <w:rsid w:val="7D9341B1"/>
    <w:rsid w:val="7D937D0D"/>
    <w:rsid w:val="7D9C12B8"/>
    <w:rsid w:val="7DA147E1"/>
    <w:rsid w:val="7DB61C4E"/>
    <w:rsid w:val="7DC4436B"/>
    <w:rsid w:val="7DCA74A7"/>
    <w:rsid w:val="7DCF629C"/>
    <w:rsid w:val="7DD547CA"/>
    <w:rsid w:val="7DD81BC4"/>
    <w:rsid w:val="7DE247F1"/>
    <w:rsid w:val="7DE467BB"/>
    <w:rsid w:val="7DE70059"/>
    <w:rsid w:val="7DE859ED"/>
    <w:rsid w:val="7DF52776"/>
    <w:rsid w:val="7DF84014"/>
    <w:rsid w:val="7E062BD5"/>
    <w:rsid w:val="7E074257"/>
    <w:rsid w:val="7E0D3F64"/>
    <w:rsid w:val="7E10135E"/>
    <w:rsid w:val="7E1F3C97"/>
    <w:rsid w:val="7E5576B9"/>
    <w:rsid w:val="7E5751DF"/>
    <w:rsid w:val="7E584AB3"/>
    <w:rsid w:val="7E5E47BF"/>
    <w:rsid w:val="7E6E2528"/>
    <w:rsid w:val="7E7F0292"/>
    <w:rsid w:val="7E7FEBA3"/>
    <w:rsid w:val="7E885398"/>
    <w:rsid w:val="7E906943"/>
    <w:rsid w:val="7E941F8F"/>
    <w:rsid w:val="7EA36676"/>
    <w:rsid w:val="7EABC132"/>
    <w:rsid w:val="7EB50157"/>
    <w:rsid w:val="7EC32874"/>
    <w:rsid w:val="7EC9775F"/>
    <w:rsid w:val="7ED625A7"/>
    <w:rsid w:val="7EF70770"/>
    <w:rsid w:val="7EFD149B"/>
    <w:rsid w:val="7F005876"/>
    <w:rsid w:val="7F032C71"/>
    <w:rsid w:val="7F0C421B"/>
    <w:rsid w:val="7F1C1F84"/>
    <w:rsid w:val="7F1D01D6"/>
    <w:rsid w:val="7F2C666B"/>
    <w:rsid w:val="7F3379FA"/>
    <w:rsid w:val="7F370B6C"/>
    <w:rsid w:val="7F3B018A"/>
    <w:rsid w:val="7F41757B"/>
    <w:rsid w:val="7F4E9C34"/>
    <w:rsid w:val="7F5E066E"/>
    <w:rsid w:val="7F65392B"/>
    <w:rsid w:val="7F792F33"/>
    <w:rsid w:val="7F855D7C"/>
    <w:rsid w:val="7F89586C"/>
    <w:rsid w:val="7F8F2756"/>
    <w:rsid w:val="7F8F6BFA"/>
    <w:rsid w:val="7FA23E97"/>
    <w:rsid w:val="7FA82B99"/>
    <w:rsid w:val="7FB64187"/>
    <w:rsid w:val="7FBBA8C9"/>
    <w:rsid w:val="7FBE52A6"/>
    <w:rsid w:val="7FD12D6F"/>
    <w:rsid w:val="7FD34D39"/>
    <w:rsid w:val="7FDA7E75"/>
    <w:rsid w:val="7FDD1714"/>
    <w:rsid w:val="7FDE1A61"/>
    <w:rsid w:val="7FE17456"/>
    <w:rsid w:val="7FE42AA2"/>
    <w:rsid w:val="7FEC7BA9"/>
    <w:rsid w:val="9ADDDAB9"/>
    <w:rsid w:val="AB7F242D"/>
    <w:rsid w:val="AF5D55AA"/>
    <w:rsid w:val="BADFBAB7"/>
    <w:rsid w:val="BDF0F7EC"/>
    <w:rsid w:val="C7BF722B"/>
    <w:rsid w:val="D5EFA6DE"/>
    <w:rsid w:val="DEBEE989"/>
    <w:rsid w:val="DF5FCEEC"/>
    <w:rsid w:val="DFF4CA79"/>
    <w:rsid w:val="E6FEC9BD"/>
    <w:rsid w:val="E7F784B6"/>
    <w:rsid w:val="ED7D00B7"/>
    <w:rsid w:val="F3FD8D61"/>
    <w:rsid w:val="F77E3679"/>
    <w:rsid w:val="F79B0276"/>
    <w:rsid w:val="F7FFB7E7"/>
    <w:rsid w:val="F97770F3"/>
    <w:rsid w:val="FBBDE8CD"/>
    <w:rsid w:val="FDB7694F"/>
    <w:rsid w:val="FE6E4AA5"/>
    <w:rsid w:val="FFF2BAC2"/>
    <w:rsid w:val="FFF4F5D6"/>
    <w:rsid w:val="FFF631B5"/>
    <w:rsid w:val="FFF6FB98"/>
    <w:rsid w:val="FFFE0E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4">
    <w:name w:val="heading 2"/>
    <w:basedOn w:val="1"/>
    <w:next w:val="1"/>
    <w:autoRedefine/>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paragraph" w:styleId="5">
    <w:name w:val="heading 3"/>
    <w:basedOn w:val="1"/>
    <w:next w:val="1"/>
    <w:autoRedefine/>
    <w:qFormat/>
    <w:uiPriority w:val="0"/>
    <w:pPr>
      <w:keepNext/>
      <w:keepLines/>
      <w:numPr>
        <w:ilvl w:val="2"/>
        <w:numId w:val="1"/>
      </w:numPr>
      <w:spacing w:before="260" w:beforeLines="0" w:after="260" w:afterLines="0" w:line="416" w:lineRule="auto"/>
      <w:outlineLvl w:val="2"/>
    </w:pPr>
    <w:rPr>
      <w:rFonts w:ascii="Times New Roman" w:hAnsi="Times New Roman" w:eastAsia="宋体" w:cs="Times New Roman"/>
      <w:b/>
      <w:bCs/>
      <w:sz w:val="32"/>
      <w:szCs w:val="32"/>
    </w:rPr>
  </w:style>
  <w:style w:type="paragraph" w:styleId="6">
    <w:name w:val="heading 4"/>
    <w:basedOn w:val="1"/>
    <w:next w:val="1"/>
    <w:autoRedefine/>
    <w:qFormat/>
    <w:uiPriority w:val="0"/>
    <w:pPr>
      <w:keepNext/>
      <w:keepLines/>
      <w:widowControl w:val="0"/>
      <w:spacing w:after="0" w:line="540" w:lineRule="atLeast"/>
      <w:jc w:val="both"/>
      <w:outlineLvl w:val="3"/>
    </w:pPr>
    <w:rPr>
      <w:rFonts w:ascii="Times New Roman" w:hAnsi="Times New Roman" w:eastAsia="宋体" w:cs="Times New Roman"/>
      <w:kern w:val="2"/>
      <w:sz w:val="28"/>
      <w:szCs w:val="28"/>
      <w:lang w:val="en-US" w:eastAsia="zh-CN" w:bidi="ar-SA"/>
    </w:rPr>
  </w:style>
  <w:style w:type="paragraph" w:styleId="7">
    <w:name w:val="heading 5"/>
    <w:basedOn w:val="1"/>
    <w:next w:val="1"/>
    <w:autoRedefine/>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bCs/>
      <w:sz w:val="28"/>
      <w:szCs w:val="28"/>
    </w:rPr>
  </w:style>
  <w:style w:type="paragraph" w:styleId="8">
    <w:name w:val="heading 6"/>
    <w:basedOn w:val="1"/>
    <w:next w:val="1"/>
    <w:autoRedefine/>
    <w:qFormat/>
    <w:uiPriority w:val="0"/>
    <w:pPr>
      <w:keepNext/>
      <w:keepLines/>
      <w:numPr>
        <w:ilvl w:val="5"/>
        <w:numId w:val="1"/>
      </w:numPr>
      <w:spacing w:before="240" w:beforeLines="0" w:after="64" w:afterLines="0" w:line="320" w:lineRule="auto"/>
      <w:outlineLvl w:val="5"/>
    </w:pPr>
    <w:rPr>
      <w:rFonts w:ascii="Arial" w:hAnsi="Arial" w:eastAsia="黑体" w:cs="Times New Roman"/>
      <w:b/>
      <w:bCs/>
      <w:sz w:val="24"/>
    </w:rPr>
  </w:style>
  <w:style w:type="paragraph" w:styleId="9">
    <w:name w:val="heading 7"/>
    <w:basedOn w:val="1"/>
    <w:next w:val="1"/>
    <w:autoRedefine/>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bCs/>
      <w:sz w:val="24"/>
    </w:rPr>
  </w:style>
  <w:style w:type="paragraph" w:styleId="10">
    <w:name w:val="heading 8"/>
    <w:basedOn w:val="1"/>
    <w:next w:val="1"/>
    <w:autoRedefine/>
    <w:qFormat/>
    <w:uiPriority w:val="0"/>
    <w:pPr>
      <w:keepNext/>
      <w:keepLines/>
      <w:numPr>
        <w:ilvl w:val="7"/>
        <w:numId w:val="1"/>
      </w:numPr>
      <w:spacing w:before="240" w:beforeLines="0" w:after="64" w:afterLines="0" w:line="320" w:lineRule="auto"/>
      <w:outlineLvl w:val="7"/>
    </w:pPr>
    <w:rPr>
      <w:rFonts w:ascii="Arial" w:hAnsi="Arial" w:eastAsia="黑体" w:cs="Times New Roman"/>
      <w:sz w:val="24"/>
    </w:rPr>
  </w:style>
  <w:style w:type="paragraph" w:styleId="11">
    <w:name w:val="heading 9"/>
    <w:basedOn w:val="1"/>
    <w:next w:val="1"/>
    <w:autoRedefine/>
    <w:qFormat/>
    <w:uiPriority w:val="0"/>
    <w:pPr>
      <w:keepNext/>
      <w:keepLines/>
      <w:numPr>
        <w:ilvl w:val="8"/>
        <w:numId w:val="1"/>
      </w:numPr>
      <w:spacing w:before="240" w:beforeLines="0" w:after="64" w:afterLines="0" w:line="320" w:lineRule="auto"/>
      <w:outlineLvl w:val="8"/>
    </w:pPr>
    <w:rPr>
      <w:rFonts w:ascii="Arial" w:hAnsi="Arial" w:eastAsia="黑体" w:cs="Times New Roman"/>
      <w:szCs w:val="21"/>
    </w:rPr>
  </w:style>
  <w:style w:type="character" w:default="1" w:styleId="39">
    <w:name w:val="Default Paragraph Font"/>
    <w:autoRedefine/>
    <w:qFormat/>
    <w:uiPriority w:val="0"/>
    <w:rPr>
      <w:rFonts w:ascii="Times New Roman" w:hAnsi="Times New Roman" w:eastAsia="宋体" w:cs="Times New Roman"/>
    </w:rPr>
  </w:style>
  <w:style w:type="table" w:default="1" w:styleId="37">
    <w:name w:val="Normal Table"/>
    <w:autoRedefin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Title"/>
    <w:basedOn w:val="1"/>
    <w:next w:val="1"/>
    <w:link w:val="59"/>
    <w:autoRedefine/>
    <w:qFormat/>
    <w:uiPriority w:val="0"/>
    <w:pPr>
      <w:spacing w:before="240" w:after="60"/>
      <w:jc w:val="center"/>
      <w:outlineLvl w:val="0"/>
    </w:pPr>
    <w:rPr>
      <w:rFonts w:ascii="等线 Light" w:hAnsi="等线 Light" w:cs="Times New Roman"/>
      <w:b/>
      <w:bCs/>
      <w:sz w:val="32"/>
      <w:szCs w:val="32"/>
    </w:rPr>
  </w:style>
  <w:style w:type="paragraph" w:styleId="12">
    <w:name w:val="List Number"/>
    <w:basedOn w:val="1"/>
    <w:autoRedefine/>
    <w:qFormat/>
    <w:uiPriority w:val="0"/>
    <w:pPr>
      <w:numPr>
        <w:ilvl w:val="0"/>
        <w:numId w:val="2"/>
      </w:numPr>
      <w:tabs>
        <w:tab w:val="left" w:pos="360"/>
        <w:tab w:val="clear" w:pos="1455"/>
      </w:tabs>
    </w:pPr>
    <w:rPr>
      <w:rFonts w:ascii="Times New Roman" w:hAnsi="Times New Roman" w:eastAsia="宋体" w:cs="Times New Roman"/>
    </w:rPr>
  </w:style>
  <w:style w:type="paragraph" w:styleId="13">
    <w:name w:val="Normal Indent"/>
    <w:basedOn w:val="1"/>
    <w:next w:val="14"/>
    <w:autoRedefine/>
    <w:qFormat/>
    <w:uiPriority w:val="0"/>
    <w:pPr>
      <w:widowControl w:val="0"/>
      <w:spacing w:after="0"/>
      <w:ind w:firstLine="420"/>
      <w:jc w:val="both"/>
    </w:pPr>
    <w:rPr>
      <w:rFonts w:ascii="Times New Roman" w:hAnsi="Times New Roman" w:eastAsia="宋体" w:cs="Times New Roman"/>
      <w:kern w:val="2"/>
      <w:sz w:val="21"/>
      <w:szCs w:val="20"/>
      <w:lang w:val="en-US" w:eastAsia="zh-CN" w:bidi="ar-SA"/>
    </w:rPr>
  </w:style>
  <w:style w:type="paragraph" w:styleId="14">
    <w:name w:val="Body Text Indent"/>
    <w:basedOn w:val="1"/>
    <w:autoRedefine/>
    <w:qFormat/>
    <w:uiPriority w:val="0"/>
    <w:pPr>
      <w:spacing w:line="460" w:lineRule="exact"/>
      <w:ind w:firstLine="482" w:firstLineChars="200"/>
    </w:pPr>
    <w:rPr>
      <w:rFonts w:ascii="Times New Roman" w:hAnsi="Times New Roman" w:eastAsia="宋体" w:cs="Times New Roman"/>
      <w:b/>
      <w:bCs/>
      <w:sz w:val="24"/>
      <w:shd w:val="clear" w:color="auto" w:fill="CCCCCC"/>
    </w:rPr>
  </w:style>
  <w:style w:type="paragraph" w:styleId="15">
    <w:name w:val="caption"/>
    <w:basedOn w:val="1"/>
    <w:next w:val="1"/>
    <w:autoRedefine/>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6">
    <w:name w:val="annotation text"/>
    <w:basedOn w:val="1"/>
    <w:autoRedefine/>
    <w:qFormat/>
    <w:uiPriority w:val="0"/>
    <w:pPr>
      <w:jc w:val="left"/>
    </w:pPr>
    <w:rPr>
      <w:rFonts w:ascii="Times New Roman" w:hAnsi="Times New Roman" w:eastAsia="宋体" w:cs="Times New Roman"/>
    </w:rPr>
  </w:style>
  <w:style w:type="paragraph" w:styleId="17">
    <w:name w:val="Body Text"/>
    <w:basedOn w:val="1"/>
    <w:autoRedefine/>
    <w:qFormat/>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18">
    <w:name w:val="Plain Text"/>
    <w:basedOn w:val="1"/>
    <w:next w:val="1"/>
    <w:link w:val="57"/>
    <w:autoRedefine/>
    <w:qFormat/>
    <w:uiPriority w:val="0"/>
    <w:rPr>
      <w:rFonts w:ascii="宋体" w:hAnsi="Courier New" w:eastAsia="宋体" w:cs="Courier New"/>
      <w:szCs w:val="21"/>
    </w:rPr>
  </w:style>
  <w:style w:type="paragraph" w:styleId="19">
    <w:name w:val="Date"/>
    <w:basedOn w:val="1"/>
    <w:next w:val="1"/>
    <w:autoRedefine/>
    <w:qFormat/>
    <w:uiPriority w:val="0"/>
    <w:rPr>
      <w:rFonts w:ascii="Times New Roman" w:hAnsi="Times New Roman" w:eastAsia="宋体" w:cs="Times New Roman"/>
      <w:sz w:val="28"/>
      <w:szCs w:val="20"/>
    </w:rPr>
  </w:style>
  <w:style w:type="paragraph" w:styleId="20">
    <w:name w:val="Body Text Indent 2"/>
    <w:basedOn w:val="1"/>
    <w:autoRedefine/>
    <w:qFormat/>
    <w:uiPriority w:val="0"/>
    <w:pPr>
      <w:widowControl w:val="0"/>
      <w:spacing w:after="0" w:line="360" w:lineRule="auto"/>
      <w:ind w:firstLine="480"/>
      <w:jc w:val="both"/>
    </w:pPr>
    <w:rPr>
      <w:rFonts w:ascii="宋体" w:hAnsi="Times New Roman" w:eastAsia="新宋体" w:cs="宋体"/>
      <w:kern w:val="2"/>
      <w:sz w:val="24"/>
      <w:szCs w:val="20"/>
      <w:lang w:val="en-US" w:eastAsia="zh-CN" w:bidi="ar-SA"/>
    </w:rPr>
  </w:style>
  <w:style w:type="paragraph" w:styleId="21">
    <w:name w:val="Balloon Text"/>
    <w:basedOn w:val="1"/>
    <w:autoRedefine/>
    <w:qFormat/>
    <w:uiPriority w:val="0"/>
    <w:rPr>
      <w:rFonts w:ascii="Times New Roman" w:hAnsi="Times New Roman" w:eastAsia="宋体" w:cs="Times New Roman"/>
      <w:sz w:val="18"/>
      <w:szCs w:val="18"/>
    </w:rPr>
  </w:style>
  <w:style w:type="paragraph" w:styleId="22">
    <w:name w:val="footer"/>
    <w:basedOn w:val="1"/>
    <w:autoRedefine/>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3">
    <w:name w:val="header"/>
    <w:basedOn w:val="1"/>
    <w:autoRedefine/>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4">
    <w:name w:val="toc 1"/>
    <w:basedOn w:val="1"/>
    <w:next w:val="1"/>
    <w:autoRedefine/>
    <w:qFormat/>
    <w:uiPriority w:val="0"/>
    <w:pPr>
      <w:widowControl w:val="0"/>
      <w:spacing w:after="0" w:line="460" w:lineRule="exact"/>
      <w:jc w:val="both"/>
    </w:pPr>
    <w:rPr>
      <w:rFonts w:ascii="Times New Roman" w:hAnsi="Times New Roman" w:eastAsia="宋体" w:cs="Times New Roman"/>
      <w:b/>
      <w:bCs/>
      <w:kern w:val="2"/>
      <w:sz w:val="28"/>
      <w:szCs w:val="30"/>
      <w:lang w:val="en-US" w:eastAsia="zh-CN" w:bidi="ar-SA"/>
    </w:rPr>
  </w:style>
  <w:style w:type="paragraph" w:styleId="25">
    <w:name w:val="toc 4"/>
    <w:basedOn w:val="1"/>
    <w:next w:val="1"/>
    <w:autoRedefine/>
    <w:qFormat/>
    <w:uiPriority w:val="0"/>
    <w:pPr>
      <w:ind w:left="1260"/>
    </w:pPr>
    <w:rPr>
      <w:rFonts w:ascii="Times New Roman" w:hAnsi="Times New Roman" w:eastAsia="宋体" w:cs="Times New Roman"/>
      <w:kern w:val="1"/>
    </w:rPr>
  </w:style>
  <w:style w:type="paragraph" w:styleId="26">
    <w:name w:val="footnote text"/>
    <w:basedOn w:val="1"/>
    <w:link w:val="58"/>
    <w:autoRedefine/>
    <w:qFormat/>
    <w:uiPriority w:val="0"/>
    <w:pPr>
      <w:snapToGrid w:val="0"/>
      <w:jc w:val="left"/>
    </w:pPr>
    <w:rPr>
      <w:rFonts w:ascii="Times New Roman" w:hAnsi="Times New Roman" w:eastAsia="宋体" w:cs="Times New Roman"/>
      <w:sz w:val="18"/>
      <w:szCs w:val="18"/>
    </w:rPr>
  </w:style>
  <w:style w:type="paragraph" w:styleId="27">
    <w:name w:val="toc 6"/>
    <w:basedOn w:val="1"/>
    <w:next w:val="1"/>
    <w:autoRedefine/>
    <w:qFormat/>
    <w:uiPriority w:val="0"/>
    <w:pPr>
      <w:widowControl w:val="0"/>
      <w:spacing w:before="0" w:after="0"/>
      <w:ind w:left="1000" w:leftChars="1000" w:right="0"/>
      <w:jc w:val="both"/>
    </w:pPr>
    <w:rPr>
      <w:rFonts w:ascii="Times New Roman" w:hAnsi="Times New Roman" w:eastAsia="宋体" w:cs="Times New Roman"/>
      <w:kern w:val="2"/>
      <w:sz w:val="21"/>
      <w:szCs w:val="24"/>
      <w:lang w:val="en-US" w:eastAsia="zh-CN" w:bidi="ar-SA"/>
    </w:rPr>
  </w:style>
  <w:style w:type="paragraph" w:styleId="28">
    <w:name w:val="Body Text Indent 3"/>
    <w:basedOn w:val="1"/>
    <w:autoRedefine/>
    <w:qFormat/>
    <w:uiPriority w:val="0"/>
    <w:pPr>
      <w:spacing w:after="120" w:afterLines="0"/>
      <w:ind w:left="420" w:leftChars="200"/>
    </w:pPr>
    <w:rPr>
      <w:rFonts w:ascii="Times New Roman" w:hAnsi="Times New Roman" w:eastAsia="宋体" w:cs="Times New Roman"/>
      <w:sz w:val="16"/>
      <w:szCs w:val="16"/>
    </w:rPr>
  </w:style>
  <w:style w:type="paragraph" w:styleId="29">
    <w:name w:val="toc 2"/>
    <w:basedOn w:val="1"/>
    <w:next w:val="1"/>
    <w:autoRedefine/>
    <w:qFormat/>
    <w:uiPriority w:val="0"/>
    <w:pPr>
      <w:ind w:left="420" w:leftChars="200"/>
    </w:pPr>
    <w:rPr>
      <w:rFonts w:ascii="Times New Roman" w:hAnsi="Times New Roman" w:eastAsia="宋体" w:cs="Times New Roman"/>
    </w:rPr>
  </w:style>
  <w:style w:type="paragraph" w:styleId="30">
    <w:name w:val="toc 9"/>
    <w:basedOn w:val="1"/>
    <w:next w:val="1"/>
    <w:autoRedefine/>
    <w:qFormat/>
    <w:uiPriority w:val="0"/>
    <w:pPr>
      <w:ind w:left="3360" w:leftChars="1600"/>
    </w:pPr>
    <w:rPr>
      <w:rFonts w:ascii="Calibri" w:hAnsi="Calibri" w:eastAsia="宋体" w:cs="Times New Roman"/>
    </w:rPr>
  </w:style>
  <w:style w:type="paragraph" w:styleId="31">
    <w:name w:val="Body Text 2"/>
    <w:basedOn w:val="1"/>
    <w:autoRedefine/>
    <w:qFormat/>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32">
    <w:name w:val="Normal (Web)"/>
    <w:basedOn w:val="1"/>
    <w:autoRedefine/>
    <w:qFormat/>
    <w:uiPriority w:val="99"/>
    <w:pPr>
      <w:widowControl w:val="0"/>
      <w:spacing w:after="0"/>
      <w:jc w:val="both"/>
    </w:pPr>
    <w:rPr>
      <w:rFonts w:ascii="Times New Roman" w:hAnsi="Times New Roman" w:eastAsia="宋体" w:cs="Times New Roman"/>
      <w:kern w:val="2"/>
      <w:sz w:val="24"/>
      <w:szCs w:val="24"/>
      <w:lang w:val="en-US" w:eastAsia="zh-CN" w:bidi="ar-SA"/>
    </w:rPr>
  </w:style>
  <w:style w:type="paragraph" w:styleId="33">
    <w:name w:val="index 1"/>
    <w:basedOn w:val="1"/>
    <w:next w:val="1"/>
    <w:autoRedefine/>
    <w:qFormat/>
    <w:uiPriority w:val="0"/>
    <w:rPr>
      <w:rFonts w:ascii="Times New Roman" w:hAnsi="Times New Roman" w:eastAsia="宋体" w:cs="Times New Roman"/>
    </w:rPr>
  </w:style>
  <w:style w:type="paragraph" w:styleId="34">
    <w:name w:val="annotation subject"/>
    <w:basedOn w:val="16"/>
    <w:next w:val="16"/>
    <w:autoRedefine/>
    <w:qFormat/>
    <w:uiPriority w:val="0"/>
    <w:rPr>
      <w:rFonts w:ascii="Times New Roman" w:hAnsi="Times New Roman" w:eastAsia="宋体" w:cs="Times New Roman"/>
      <w:b/>
      <w:bCs/>
    </w:rPr>
  </w:style>
  <w:style w:type="paragraph" w:styleId="35">
    <w:name w:val="Body Text First Indent"/>
    <w:basedOn w:val="17"/>
    <w:next w:val="17"/>
    <w:autoRedefine/>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36">
    <w:name w:val="Body Text First Indent 2"/>
    <w:basedOn w:val="14"/>
    <w:autoRedefine/>
    <w:qFormat/>
    <w:uiPriority w:val="0"/>
    <w:pPr>
      <w:spacing w:after="120" w:line="240" w:lineRule="auto"/>
      <w:ind w:left="420" w:leftChars="200" w:firstLine="420"/>
    </w:pPr>
    <w:rPr>
      <w:rFonts w:ascii="Times New Roman" w:hAnsi="Times New Roman" w:eastAsia="宋体" w:cs="宋体"/>
      <w:sz w:val="21"/>
      <w:szCs w:val="21"/>
    </w:rPr>
  </w:style>
  <w:style w:type="table" w:styleId="38">
    <w:name w:val="Table Grid"/>
    <w:basedOn w:val="3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autoRedefine/>
    <w:qFormat/>
    <w:uiPriority w:val="0"/>
    <w:rPr>
      <w:b/>
      <w:bCs/>
    </w:rPr>
  </w:style>
  <w:style w:type="character" w:styleId="41">
    <w:name w:val="page number"/>
    <w:autoRedefine/>
    <w:qFormat/>
    <w:uiPriority w:val="0"/>
    <w:rPr>
      <w:rFonts w:ascii="Times New Roman" w:hAnsi="Times New Roman" w:eastAsia="宋体" w:cs="Times New Roman"/>
    </w:rPr>
  </w:style>
  <w:style w:type="character" w:styleId="42">
    <w:name w:val="FollowedHyperlink"/>
    <w:autoRedefine/>
    <w:qFormat/>
    <w:uiPriority w:val="0"/>
    <w:rPr>
      <w:rFonts w:ascii="Times New Roman" w:hAnsi="Times New Roman" w:eastAsia="宋体" w:cs="Times New Roman"/>
      <w:color w:val="800080"/>
      <w:szCs w:val="20"/>
      <w:u w:val="single"/>
    </w:rPr>
  </w:style>
  <w:style w:type="character" w:styleId="43">
    <w:name w:val="Emphasis"/>
    <w:basedOn w:val="39"/>
    <w:autoRedefine/>
    <w:qFormat/>
    <w:uiPriority w:val="0"/>
    <w:rPr>
      <w:b/>
      <w:bCs/>
    </w:rPr>
  </w:style>
  <w:style w:type="character" w:styleId="44">
    <w:name w:val="HTML Definition"/>
    <w:basedOn w:val="39"/>
    <w:autoRedefine/>
    <w:qFormat/>
    <w:uiPriority w:val="0"/>
  </w:style>
  <w:style w:type="character" w:styleId="45">
    <w:name w:val="HTML Typewriter"/>
    <w:basedOn w:val="39"/>
    <w:autoRedefine/>
    <w:qFormat/>
    <w:uiPriority w:val="0"/>
    <w:rPr>
      <w:rFonts w:hint="default" w:ascii="monospace" w:hAnsi="monospace" w:eastAsia="monospace" w:cs="monospace"/>
      <w:sz w:val="20"/>
    </w:rPr>
  </w:style>
  <w:style w:type="character" w:styleId="46">
    <w:name w:val="HTML Acronym"/>
    <w:basedOn w:val="39"/>
    <w:autoRedefine/>
    <w:qFormat/>
    <w:uiPriority w:val="0"/>
  </w:style>
  <w:style w:type="character" w:styleId="47">
    <w:name w:val="HTML Variable"/>
    <w:basedOn w:val="39"/>
    <w:autoRedefine/>
    <w:qFormat/>
    <w:uiPriority w:val="0"/>
  </w:style>
  <w:style w:type="character" w:styleId="48">
    <w:name w:val="Hyperlink"/>
    <w:autoRedefine/>
    <w:qFormat/>
    <w:uiPriority w:val="0"/>
    <w:rPr>
      <w:rFonts w:ascii="Times New Roman" w:hAnsi="Times New Roman" w:eastAsia="宋体" w:cs="Times New Roman"/>
      <w:color w:val="0000FF"/>
      <w:sz w:val="21"/>
      <w:szCs w:val="20"/>
      <w:u w:val="single"/>
    </w:rPr>
  </w:style>
  <w:style w:type="character" w:styleId="49">
    <w:name w:val="HTML Code"/>
    <w:basedOn w:val="39"/>
    <w:autoRedefine/>
    <w:qFormat/>
    <w:uiPriority w:val="0"/>
    <w:rPr>
      <w:rFonts w:hint="default" w:ascii="monospace" w:hAnsi="monospace" w:eastAsia="monospace" w:cs="monospace"/>
      <w:sz w:val="20"/>
    </w:rPr>
  </w:style>
  <w:style w:type="character" w:styleId="50">
    <w:name w:val="annotation reference"/>
    <w:autoRedefine/>
    <w:qFormat/>
    <w:uiPriority w:val="0"/>
    <w:rPr>
      <w:rFonts w:ascii="Times New Roman" w:hAnsi="Times New Roman" w:eastAsia="宋体" w:cs="Times New Roman"/>
      <w:sz w:val="21"/>
      <w:szCs w:val="21"/>
    </w:rPr>
  </w:style>
  <w:style w:type="character" w:styleId="51">
    <w:name w:val="HTML Cite"/>
    <w:basedOn w:val="39"/>
    <w:autoRedefine/>
    <w:qFormat/>
    <w:uiPriority w:val="0"/>
  </w:style>
  <w:style w:type="character" w:styleId="52">
    <w:name w:val="footnote reference"/>
    <w:autoRedefine/>
    <w:qFormat/>
    <w:uiPriority w:val="0"/>
    <w:rPr>
      <w:rFonts w:ascii="Times New Roman" w:hAnsi="Times New Roman" w:eastAsia="宋体" w:cs="Times New Roman"/>
      <w:vertAlign w:val="superscript"/>
    </w:rPr>
  </w:style>
  <w:style w:type="character" w:styleId="53">
    <w:name w:val="HTML Keyboard"/>
    <w:basedOn w:val="39"/>
    <w:autoRedefine/>
    <w:qFormat/>
    <w:uiPriority w:val="0"/>
    <w:rPr>
      <w:rFonts w:hint="default" w:ascii="monospace" w:hAnsi="monospace" w:eastAsia="monospace" w:cs="monospace"/>
      <w:sz w:val="20"/>
    </w:rPr>
  </w:style>
  <w:style w:type="character" w:styleId="54">
    <w:name w:val="HTML Sample"/>
    <w:basedOn w:val="39"/>
    <w:autoRedefine/>
    <w:qFormat/>
    <w:uiPriority w:val="0"/>
    <w:rPr>
      <w:rFonts w:ascii="monospace" w:hAnsi="monospace" w:eastAsia="monospace" w:cs="monospace"/>
    </w:rPr>
  </w:style>
  <w:style w:type="paragraph" w:customStyle="1" w:styleId="55">
    <w:name w:val="xl53"/>
    <w:basedOn w:val="1"/>
    <w:next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paragraph" w:customStyle="1" w:styleId="56">
    <w:name w:val="首行缩进"/>
    <w:basedOn w:val="1"/>
    <w:autoRedefine/>
    <w:qFormat/>
    <w:uiPriority w:val="0"/>
    <w:pPr>
      <w:spacing w:line="360" w:lineRule="auto"/>
      <w:ind w:firstLine="480" w:firstLineChars="200"/>
    </w:pPr>
    <w:rPr>
      <w:rFonts w:ascii="Times New Roman" w:hAnsi="Times New Roman" w:eastAsia="宋体" w:cs="Times New Roman"/>
      <w:lang w:val="zh-CN"/>
    </w:rPr>
  </w:style>
  <w:style w:type="character" w:customStyle="1" w:styleId="57">
    <w:name w:val="纯文本 字符"/>
    <w:link w:val="18"/>
    <w:autoRedefine/>
    <w:qFormat/>
    <w:uiPriority w:val="0"/>
    <w:rPr>
      <w:rFonts w:ascii="宋体" w:hAnsi="Courier New" w:eastAsia="宋体" w:cs="Courier New"/>
      <w:kern w:val="2"/>
      <w:sz w:val="21"/>
      <w:szCs w:val="21"/>
      <w:lang w:val="en-US" w:eastAsia="zh-CN" w:bidi="ar-SA"/>
    </w:rPr>
  </w:style>
  <w:style w:type="character" w:customStyle="1" w:styleId="58">
    <w:name w:val="脚注文本 字符"/>
    <w:link w:val="26"/>
    <w:autoRedefine/>
    <w:qFormat/>
    <w:uiPriority w:val="0"/>
    <w:rPr>
      <w:rFonts w:ascii="Times New Roman" w:hAnsi="Times New Roman" w:eastAsia="宋体" w:cs="Times New Roman"/>
      <w:kern w:val="2"/>
      <w:sz w:val="18"/>
      <w:szCs w:val="18"/>
    </w:rPr>
  </w:style>
  <w:style w:type="character" w:customStyle="1" w:styleId="59">
    <w:name w:val="标题 字符"/>
    <w:link w:val="2"/>
    <w:autoRedefine/>
    <w:qFormat/>
    <w:uiPriority w:val="0"/>
    <w:rPr>
      <w:rFonts w:ascii="等线 Light" w:hAnsi="等线 Light" w:eastAsia="宋体" w:cs="Times New Roman"/>
      <w:b/>
      <w:bCs/>
      <w:kern w:val="2"/>
      <w:sz w:val="32"/>
      <w:szCs w:val="32"/>
    </w:rPr>
  </w:style>
  <w:style w:type="paragraph" w:customStyle="1" w:styleId="60">
    <w:name w:val="_Style 2"/>
    <w:basedOn w:val="1"/>
    <w:autoRedefine/>
    <w:qFormat/>
    <w:uiPriority w:val="0"/>
    <w:pPr>
      <w:ind w:firstLine="200" w:firstLineChars="200"/>
    </w:pPr>
    <w:rPr>
      <w:rFonts w:ascii="Calibri" w:hAnsi="Calibri"/>
      <w:sz w:val="28"/>
      <w:szCs w:val="22"/>
    </w:rPr>
  </w:style>
  <w:style w:type="character" w:customStyle="1" w:styleId="61">
    <w:name w:val="font11"/>
    <w:basedOn w:val="39"/>
    <w:autoRedefine/>
    <w:qFormat/>
    <w:uiPriority w:val="0"/>
    <w:rPr>
      <w:rFonts w:hint="eastAsia" w:ascii="宋体" w:hAnsi="宋体" w:eastAsia="宋体" w:cs="Times New Roman"/>
      <w:color w:val="FF0000"/>
      <w:sz w:val="28"/>
      <w:szCs w:val="28"/>
      <w:u w:val="none"/>
    </w:rPr>
  </w:style>
  <w:style w:type="character" w:customStyle="1" w:styleId="62">
    <w:name w:val="font31"/>
    <w:basedOn w:val="39"/>
    <w:autoRedefine/>
    <w:qFormat/>
    <w:uiPriority w:val="0"/>
    <w:rPr>
      <w:rFonts w:hint="eastAsia" w:ascii="宋体" w:hAnsi="宋体" w:eastAsia="宋体" w:cs="宋体"/>
      <w:color w:val="000000"/>
      <w:sz w:val="22"/>
      <w:szCs w:val="22"/>
      <w:u w:val="none"/>
    </w:rPr>
  </w:style>
  <w:style w:type="character" w:customStyle="1" w:styleId="63">
    <w:name w:val="font21"/>
    <w:basedOn w:val="39"/>
    <w:autoRedefine/>
    <w:qFormat/>
    <w:uiPriority w:val="0"/>
    <w:rPr>
      <w:rFonts w:hint="eastAsia" w:ascii="宋体" w:hAnsi="宋体" w:eastAsia="宋体" w:cs="宋体"/>
      <w:color w:val="000000"/>
      <w:sz w:val="21"/>
      <w:szCs w:val="21"/>
      <w:u w:val="none"/>
    </w:rPr>
  </w:style>
  <w:style w:type="character" w:customStyle="1" w:styleId="64">
    <w:name w:val="font01"/>
    <w:autoRedefine/>
    <w:qFormat/>
    <w:uiPriority w:val="0"/>
    <w:rPr>
      <w:rFonts w:ascii="Verdana" w:hAnsi="Verdana" w:eastAsia="宋体" w:cs="Verdana"/>
      <w:color w:val="000000"/>
      <w:sz w:val="20"/>
      <w:szCs w:val="20"/>
      <w:u w:val="none"/>
    </w:rPr>
  </w:style>
  <w:style w:type="paragraph" w:customStyle="1" w:styleId="65">
    <w:name w:val="**正文"/>
    <w:basedOn w:val="1"/>
    <w:autoRedefine/>
    <w:qFormat/>
    <w:uiPriority w:val="0"/>
    <w:pPr>
      <w:spacing w:line="360" w:lineRule="auto"/>
      <w:jc w:val="left"/>
    </w:pPr>
    <w:rPr>
      <w:rFonts w:ascii="Times New Roman" w:hAnsi="Times New Roman" w:eastAsia="宋体" w:cs="Times New Roman"/>
      <w:sz w:val="24"/>
      <w:szCs w:val="20"/>
    </w:rPr>
  </w:style>
  <w:style w:type="paragraph" w:customStyle="1" w:styleId="66">
    <w:name w:val="表"/>
    <w:basedOn w:val="1"/>
    <w:autoRedefine/>
    <w:qFormat/>
    <w:uiPriority w:val="0"/>
    <w:pPr>
      <w:adjustRightInd w:val="0"/>
      <w:snapToGrid w:val="0"/>
      <w:spacing w:line="312" w:lineRule="auto"/>
    </w:pPr>
    <w:rPr>
      <w:rFonts w:ascii="Times New Roman" w:hAnsi="Times New Roman" w:eastAsia="宋体" w:cs="Times New Roman"/>
    </w:rPr>
  </w:style>
  <w:style w:type="character" w:customStyle="1" w:styleId="67">
    <w:name w:val="纯文本 Char1"/>
    <w:autoRedefine/>
    <w:qFormat/>
    <w:uiPriority w:val="0"/>
    <w:rPr>
      <w:rFonts w:ascii="宋体" w:hAnsi="Courier New" w:eastAsia="宋体" w:cs="Courier New"/>
      <w:kern w:val="2"/>
      <w:sz w:val="21"/>
      <w:szCs w:val="21"/>
    </w:rPr>
  </w:style>
  <w:style w:type="character" w:customStyle="1" w:styleId="68">
    <w:name w:val="普通文字 Char Char2"/>
    <w:autoRedefine/>
    <w:qFormat/>
    <w:uiPriority w:val="0"/>
    <w:rPr>
      <w:rFonts w:ascii="宋体" w:hAnsi="Courier New" w:eastAsia="宋体" w:cs="Courier New"/>
      <w:kern w:val="2"/>
      <w:sz w:val="21"/>
      <w:szCs w:val="21"/>
      <w:lang w:val="en-US" w:eastAsia="zh-CN" w:bidi="ar-SA"/>
    </w:rPr>
  </w:style>
  <w:style w:type="character" w:customStyle="1" w:styleId="69">
    <w:name w:val=" Char Char1"/>
    <w:autoRedefine/>
    <w:qFormat/>
    <w:uiPriority w:val="0"/>
    <w:rPr>
      <w:rFonts w:ascii="宋体" w:hAnsi="Courier New" w:eastAsia="宋体" w:cs="Courier New"/>
      <w:kern w:val="2"/>
      <w:sz w:val="21"/>
      <w:szCs w:val="21"/>
      <w:lang w:val="en-US" w:eastAsia="zh-CN" w:bidi="ar-SA"/>
    </w:rPr>
  </w:style>
  <w:style w:type="paragraph" w:customStyle="1" w:styleId="70">
    <w:name w:val="Char"/>
    <w:basedOn w:val="1"/>
    <w:autoRedefine/>
    <w:qFormat/>
    <w:uiPriority w:val="0"/>
    <w:rPr>
      <w:rFonts w:ascii="仿宋_GB2312" w:hAnsi="Times New Roman" w:eastAsia="仿宋_GB2312" w:cs="仿宋_GB2312"/>
      <w:b/>
      <w:bCs/>
      <w:sz w:val="32"/>
      <w:szCs w:val="32"/>
    </w:rPr>
  </w:style>
  <w:style w:type="paragraph" w:customStyle="1" w:styleId="71">
    <w:name w:val="标题1"/>
    <w:basedOn w:val="24"/>
    <w:autoRedefine/>
    <w:qFormat/>
    <w:uiPriority w:val="0"/>
    <w:pPr>
      <w:widowControl/>
      <w:overflowPunct w:val="0"/>
      <w:autoSpaceDE w:val="0"/>
      <w:autoSpaceDN w:val="0"/>
      <w:adjustRightInd w:val="0"/>
      <w:spacing w:before="120" w:beforeLines="0" w:after="120" w:afterLines="0" w:line="420" w:lineRule="exact"/>
      <w:jc w:val="center"/>
      <w:textAlignment w:val="baseline"/>
    </w:pPr>
    <w:rPr>
      <w:rFonts w:ascii="宋体" w:hAnsi="宋体" w:eastAsia="宋体" w:cs="Times New Roman"/>
      <w:b w:val="0"/>
      <w:bCs w:val="0"/>
      <w:kern w:val="0"/>
      <w:sz w:val="44"/>
      <w:szCs w:val="20"/>
    </w:rPr>
  </w:style>
  <w:style w:type="paragraph" w:customStyle="1" w:styleId="72">
    <w:name w:val="Default"/>
    <w:autoRedefine/>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73">
    <w:name w:val=" Char Char Char2 Char Char Char"/>
    <w:basedOn w:val="1"/>
    <w:autoRedefine/>
    <w:qFormat/>
    <w:uiPriority w:val="0"/>
    <w:rPr>
      <w:rFonts w:ascii="Times New Roman" w:hAnsi="Times New Roman" w:eastAsia="宋体" w:cs="Times New Roman"/>
    </w:rPr>
  </w:style>
  <w:style w:type="paragraph" w:customStyle="1" w:styleId="74">
    <w:name w:val="xl24"/>
    <w:basedOn w:val="1"/>
    <w:autoRedefine/>
    <w:qFormat/>
    <w:uiPriority w:val="0"/>
    <w:pPr>
      <w:widowControl/>
      <w:spacing w:before="100" w:beforeLines="0" w:beforeAutospacing="1" w:after="100" w:afterLines="0" w:afterAutospacing="1"/>
      <w:jc w:val="right"/>
    </w:pPr>
    <w:rPr>
      <w:rFonts w:ascii="宋体" w:hAnsi="宋体" w:eastAsia="宋体" w:cs="Times New Roman"/>
      <w:kern w:val="0"/>
      <w:sz w:val="24"/>
    </w:rPr>
  </w:style>
  <w:style w:type="paragraph" w:customStyle="1" w:styleId="75">
    <w:name w:val="正"/>
    <w:basedOn w:val="1"/>
    <w:autoRedefine/>
    <w:qFormat/>
    <w:uiPriority w:val="0"/>
    <w:pPr>
      <w:ind w:firstLine="525"/>
    </w:pPr>
    <w:rPr>
      <w:rFonts w:ascii="Times New Roman" w:hAnsi="Times New Roman" w:eastAsia="宋体" w:cs="Times New Roman"/>
      <w:spacing w:val="20"/>
    </w:rPr>
  </w:style>
  <w:style w:type="paragraph" w:customStyle="1" w:styleId="76">
    <w:name w:val="ÕýÎÄ"/>
    <w:autoRedefine/>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77">
    <w:name w:val="ÕÂ¡À¨ºÌâ"/>
    <w:basedOn w:val="76"/>
    <w:next w:val="1"/>
    <w:autoRedefine/>
    <w:qFormat/>
    <w:uiPriority w:val="0"/>
    <w:pPr>
      <w:spacing w:before="158" w:after="153" w:line="323" w:lineRule="atLeast"/>
      <w:ind w:firstLine="0"/>
      <w:jc w:val="center"/>
    </w:pPr>
    <w:rPr>
      <w:rFonts w:ascii="Arial" w:hAnsi="Arial" w:eastAsia="宋体" w:cs="Times New Roman"/>
      <w:sz w:val="31"/>
      <w:szCs w:val="22"/>
    </w:rPr>
  </w:style>
  <w:style w:type="paragraph" w:customStyle="1" w:styleId="78">
    <w:name w:val="+正文"/>
    <w:basedOn w:val="1"/>
    <w:autoRedefine/>
    <w:qFormat/>
    <w:uiPriority w:val="0"/>
    <w:pPr>
      <w:spacing w:line="360" w:lineRule="auto"/>
      <w:ind w:firstLine="200" w:firstLineChars="200"/>
    </w:pPr>
    <w:rPr>
      <w:rFonts w:ascii="Times New Roman" w:hAnsi="Times New Roman" w:eastAsia="宋体" w:cs="Times New Roman"/>
      <w:sz w:val="24"/>
      <w:szCs w:val="28"/>
    </w:rPr>
  </w:style>
  <w:style w:type="paragraph" w:customStyle="1" w:styleId="79">
    <w:name w:val="表格"/>
    <w:basedOn w:val="1"/>
    <w:next w:val="13"/>
    <w:autoRedefine/>
    <w:qFormat/>
    <w:uiPriority w:val="0"/>
    <w:pPr>
      <w:widowControl/>
      <w:spacing w:before="100" w:beforeAutospacing="1" w:after="100" w:afterAutospacing="1"/>
      <w:jc w:val="left"/>
    </w:pPr>
    <w:rPr>
      <w:rFonts w:ascii="Arial" w:hAnsi="Arial" w:eastAsia="宋体" w:cs="Times New Roman"/>
      <w:bCs/>
      <w:szCs w:val="20"/>
    </w:rPr>
  </w:style>
  <w:style w:type="paragraph" w:customStyle="1" w:styleId="80">
    <w:name w:val="Plain Text"/>
    <w:basedOn w:val="1"/>
    <w:autoRedefine/>
    <w:qFormat/>
    <w:uiPriority w:val="0"/>
    <w:pPr>
      <w:widowControl/>
      <w:overflowPunct w:val="0"/>
      <w:autoSpaceDE w:val="0"/>
      <w:autoSpaceDN w:val="0"/>
      <w:jc w:val="left"/>
    </w:pPr>
    <w:rPr>
      <w:rFonts w:ascii="宋体" w:hAnsi="Courier New" w:eastAsia="宋体" w:cs="Times New Roman"/>
      <w:kern w:val="0"/>
    </w:rPr>
  </w:style>
  <w:style w:type="paragraph" w:customStyle="1" w:styleId="81">
    <w:name w:val="样式"/>
    <w:basedOn w:val="1"/>
    <w:autoRedefine/>
    <w:qFormat/>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82">
    <w:name w:val=" Char3"/>
    <w:basedOn w:val="1"/>
    <w:autoRedefine/>
    <w:qFormat/>
    <w:uiPriority w:val="0"/>
    <w:pPr>
      <w:tabs>
        <w:tab w:val="left" w:pos="360"/>
      </w:tabs>
    </w:pPr>
    <w:rPr>
      <w:rFonts w:ascii="Times New Roman" w:hAnsi="Times New Roman" w:eastAsia="宋体" w:cs="Times New Roman"/>
      <w:sz w:val="24"/>
    </w:rPr>
  </w:style>
  <w:style w:type="paragraph" w:styleId="83">
    <w:name w:val="List Paragraph"/>
    <w:basedOn w:val="1"/>
    <w:autoRedefine/>
    <w:qFormat/>
    <w:uiPriority w:val="0"/>
    <w:pPr>
      <w:ind w:firstLine="420" w:firstLineChars="200"/>
    </w:pPr>
    <w:rPr>
      <w:rFonts w:ascii="Times New Roman" w:hAnsi="Times New Roman" w:eastAsia="宋体" w:cs="Times New Roman"/>
    </w:rPr>
  </w:style>
  <w:style w:type="paragraph" w:customStyle="1" w:styleId="84">
    <w:name w:val=" Char"/>
    <w:basedOn w:val="1"/>
    <w:autoRedefine/>
    <w:qFormat/>
    <w:uiPriority w:val="0"/>
    <w:rPr>
      <w:rFonts w:ascii="Times New Roman" w:hAnsi="Times New Roman" w:eastAsia="宋体" w:cs="Times New Roman"/>
      <w:szCs w:val="20"/>
    </w:rPr>
  </w:style>
  <w:style w:type="paragraph" w:customStyle="1" w:styleId="85">
    <w:name w:val="标题 7 New"/>
    <w:basedOn w:val="1"/>
    <w:next w:val="1"/>
    <w:autoRedefine/>
    <w:qFormat/>
    <w:uiPriority w:val="0"/>
    <w:pPr>
      <w:keepNext/>
      <w:keepLines/>
      <w:widowControl/>
      <w:tabs>
        <w:tab w:val="left" w:pos="2520"/>
      </w:tabs>
      <w:spacing w:before="240" w:beforeLines="0" w:after="64" w:afterLines="0" w:line="317" w:lineRule="auto"/>
      <w:ind w:left="1296" w:hanging="1296"/>
      <w:jc w:val="left"/>
      <w:outlineLvl w:val="6"/>
    </w:pPr>
    <w:rPr>
      <w:rFonts w:ascii="Times New Roman" w:hAnsi="Times New Roman" w:eastAsia="宋体" w:cs="Times New Roman"/>
      <w:b/>
      <w:kern w:val="0"/>
      <w:sz w:val="24"/>
      <w:szCs w:val="20"/>
    </w:rPr>
  </w:style>
  <w:style w:type="paragraph" w:customStyle="1" w:styleId="86">
    <w:name w:val=" Char Char Char"/>
    <w:basedOn w:val="1"/>
    <w:autoRedefine/>
    <w:qFormat/>
    <w:uiPriority w:val="0"/>
    <w:rPr>
      <w:rFonts w:ascii="Tahoma" w:hAnsi="Tahoma" w:eastAsia="宋体" w:cs="Times New Roman"/>
      <w:sz w:val="24"/>
      <w:szCs w:val="20"/>
    </w:rPr>
  </w:style>
  <w:style w:type="paragraph" w:customStyle="1" w:styleId="87">
    <w:name w:val=" Char Char Char1 Char Char Char Char Char Char Char Char Char Char Char Char Char"/>
    <w:basedOn w:val="1"/>
    <w:autoRedefine/>
    <w:qFormat/>
    <w:uiPriority w:val="0"/>
    <w:rPr>
      <w:rFonts w:ascii="Times New Roman" w:hAnsi="Times New Roman" w:eastAsia="宋体" w:cs="Times New Roman"/>
    </w:rPr>
  </w:style>
  <w:style w:type="paragraph" w:customStyle="1" w:styleId="88">
    <w:name w:val="列出段落1"/>
    <w:basedOn w:val="1"/>
    <w:autoRedefine/>
    <w:qFormat/>
    <w:uiPriority w:val="0"/>
    <w:pPr>
      <w:ind w:firstLine="420" w:firstLineChars="200"/>
    </w:pPr>
    <w:rPr>
      <w:rFonts w:ascii="Times New Roman" w:hAnsi="Times New Roman" w:eastAsia="宋体" w:cs="Times New Roman"/>
      <w:szCs w:val="22"/>
    </w:rPr>
  </w:style>
  <w:style w:type="paragraph" w:customStyle="1" w:styleId="89">
    <w:name w:val="null3"/>
    <w:autoRedefine/>
    <w:qFormat/>
    <w:uiPriority w:val="0"/>
    <w:rPr>
      <w:rFonts w:hint="eastAsia" w:ascii="Calibri" w:hAnsi="Calibri" w:eastAsia="宋体" w:cs="Times New Roman"/>
      <w:lang w:val="en-US" w:eastAsia="zh-Hans" w:bidi="ar-SA"/>
    </w:rPr>
  </w:style>
  <w:style w:type="paragraph" w:customStyle="1" w:styleId="90">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91">
    <w:name w:val="Table Text"/>
    <w:basedOn w:val="1"/>
    <w:autoRedefine/>
    <w:semiHidden/>
    <w:qFormat/>
    <w:uiPriority w:val="0"/>
    <w:rPr>
      <w:rFonts w:ascii="宋体" w:hAnsi="宋体" w:eastAsia="宋体" w:cs="宋体"/>
      <w:sz w:val="19"/>
      <w:szCs w:val="19"/>
      <w:lang w:val="en-US" w:eastAsia="en-US" w:bidi="ar-SA"/>
    </w:rPr>
  </w:style>
  <w:style w:type="table" w:customStyle="1" w:styleId="92">
    <w:name w:val="Table Normal"/>
    <w:autoRedefine/>
    <w:unhideWhenUsed/>
    <w:qFormat/>
    <w:uiPriority w:val="0"/>
    <w:tblPr>
      <w:tblCellMar>
        <w:top w:w="0" w:type="dxa"/>
        <w:left w:w="0" w:type="dxa"/>
        <w:bottom w:w="0" w:type="dxa"/>
        <w:right w:w="0" w:type="dxa"/>
      </w:tblCellMar>
    </w:tblPr>
  </w:style>
  <w:style w:type="character" w:customStyle="1" w:styleId="93">
    <w:name w:val="font91"/>
    <w:basedOn w:val="39"/>
    <w:autoRedefine/>
    <w:qFormat/>
    <w:uiPriority w:val="0"/>
    <w:rPr>
      <w:rFonts w:hint="default" w:ascii="Times New Roman" w:hAnsi="Times New Roman" w:cs="Times New Roman"/>
      <w:color w:val="000000"/>
      <w:sz w:val="24"/>
      <w:szCs w:val="24"/>
      <w:u w:val="none"/>
    </w:rPr>
  </w:style>
  <w:style w:type="character" w:customStyle="1" w:styleId="94">
    <w:name w:val="font101"/>
    <w:basedOn w:val="39"/>
    <w:autoRedefine/>
    <w:qFormat/>
    <w:uiPriority w:val="0"/>
    <w:rPr>
      <w:rFonts w:hint="eastAsia" w:ascii="宋体" w:hAnsi="宋体" w:eastAsia="宋体" w:cs="宋体"/>
      <w:b/>
      <w:bCs/>
      <w:color w:val="FF0000"/>
      <w:sz w:val="24"/>
      <w:szCs w:val="24"/>
      <w:u w:val="none"/>
    </w:rPr>
  </w:style>
  <w:style w:type="character" w:customStyle="1" w:styleId="95">
    <w:name w:val="font41"/>
    <w:basedOn w:val="39"/>
    <w:autoRedefine/>
    <w:qFormat/>
    <w:uiPriority w:val="0"/>
    <w:rPr>
      <w:rFonts w:hint="eastAsia" w:ascii="宋体" w:hAnsi="宋体" w:eastAsia="宋体" w:cs="宋体"/>
      <w:color w:val="000000"/>
      <w:sz w:val="24"/>
      <w:szCs w:val="24"/>
      <w:u w:val="none"/>
    </w:rPr>
  </w:style>
  <w:style w:type="character" w:customStyle="1" w:styleId="96">
    <w:name w:val="font71"/>
    <w:basedOn w:val="39"/>
    <w:autoRedefine/>
    <w:qFormat/>
    <w:uiPriority w:val="0"/>
    <w:rPr>
      <w:rFonts w:ascii="Segoe UI" w:hAnsi="Segoe UI" w:eastAsia="Segoe UI" w:cs="Segoe UI"/>
      <w:color w:val="000000"/>
      <w:sz w:val="24"/>
      <w:szCs w:val="24"/>
      <w:u w:val="none"/>
    </w:rPr>
  </w:style>
  <w:style w:type="character" w:customStyle="1" w:styleId="97">
    <w:name w:val="font61"/>
    <w:basedOn w:val="39"/>
    <w:autoRedefine/>
    <w:qFormat/>
    <w:uiPriority w:val="0"/>
    <w:rPr>
      <w:rFonts w:hint="eastAsia" w:ascii="宋体" w:hAnsi="宋体" w:eastAsia="宋体" w:cs="宋体"/>
      <w:color w:val="000000"/>
      <w:sz w:val="24"/>
      <w:szCs w:val="24"/>
      <w:u w:val="none"/>
    </w:rPr>
  </w:style>
  <w:style w:type="character" w:customStyle="1" w:styleId="98">
    <w:name w:val="font81"/>
    <w:basedOn w:val="39"/>
    <w:autoRedefine/>
    <w:qFormat/>
    <w:uiPriority w:val="0"/>
    <w:rPr>
      <w:rFonts w:hint="default" w:ascii="Times New Roman" w:hAnsi="Times New Roman" w:cs="Times New Roman"/>
      <w:color w:val="000000"/>
      <w:sz w:val="24"/>
      <w:szCs w:val="24"/>
      <w:u w:val="none"/>
    </w:rPr>
  </w:style>
  <w:style w:type="character" w:customStyle="1" w:styleId="99">
    <w:name w:val="font51"/>
    <w:basedOn w:val="39"/>
    <w:autoRedefine/>
    <w:qFormat/>
    <w:uiPriority w:val="0"/>
    <w:rPr>
      <w:rFonts w:hint="eastAsia" w:ascii="宋体" w:hAnsi="宋体" w:eastAsia="宋体" w:cs="宋体"/>
      <w:color w:val="000000"/>
      <w:sz w:val="24"/>
      <w:szCs w:val="24"/>
      <w:u w:val="none"/>
    </w:rPr>
  </w:style>
  <w:style w:type="character" w:customStyle="1" w:styleId="100">
    <w:name w:val="font112"/>
    <w:basedOn w:val="39"/>
    <w:autoRedefine/>
    <w:qFormat/>
    <w:uiPriority w:val="0"/>
    <w:rPr>
      <w:rFonts w:hint="default" w:ascii="Times New Roman" w:hAnsi="Times New Roman" w:cs="Times New Roman"/>
      <w:color w:val="000000"/>
      <w:sz w:val="24"/>
      <w:szCs w:val="24"/>
      <w:u w:val="none"/>
    </w:rPr>
  </w:style>
  <w:style w:type="character" w:customStyle="1" w:styleId="101">
    <w:name w:val="font121"/>
    <w:basedOn w:val="39"/>
    <w:autoRedefine/>
    <w:qFormat/>
    <w:uiPriority w:val="0"/>
    <w:rPr>
      <w:rFonts w:hint="eastAsia" w:ascii="宋体" w:hAnsi="宋体" w:eastAsia="宋体" w:cs="宋体"/>
      <w:b/>
      <w:bCs/>
      <w:color w:val="FF0000"/>
      <w:sz w:val="24"/>
      <w:szCs w:val="24"/>
      <w:u w:val="none"/>
    </w:rPr>
  </w:style>
  <w:style w:type="character" w:customStyle="1" w:styleId="102">
    <w:name w:val="font111"/>
    <w:basedOn w:val="39"/>
    <w:autoRedefine/>
    <w:qFormat/>
    <w:uiPriority w:val="0"/>
    <w:rPr>
      <w:rFonts w:hint="eastAsia" w:ascii="宋体" w:hAnsi="宋体" w:eastAsia="宋体" w:cs="宋体"/>
      <w:b/>
      <w:bCs/>
      <w:color w:val="FF0000"/>
      <w:sz w:val="24"/>
      <w:szCs w:val="24"/>
      <w:u w:val="none"/>
    </w:rPr>
  </w:style>
  <w:style w:type="character" w:customStyle="1" w:styleId="103">
    <w:name w:val="font122"/>
    <w:basedOn w:val="39"/>
    <w:autoRedefine/>
    <w:qFormat/>
    <w:uiPriority w:val="0"/>
    <w:rPr>
      <w:rFonts w:hint="eastAsia" w:ascii="宋体" w:hAnsi="宋体" w:eastAsia="宋体" w:cs="宋体"/>
      <w:color w:val="FF0000"/>
      <w:sz w:val="24"/>
      <w:szCs w:val="24"/>
      <w:u w:val="none"/>
    </w:rPr>
  </w:style>
  <w:style w:type="paragraph" w:customStyle="1" w:styleId="104">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05">
    <w:name w:val="time"/>
    <w:basedOn w:val="39"/>
    <w:autoRedefine/>
    <w:qFormat/>
    <w:uiPriority w:val="0"/>
  </w:style>
  <w:style w:type="character" w:customStyle="1" w:styleId="106">
    <w:name w:val="status"/>
    <w:basedOn w:val="39"/>
    <w:autoRedefine/>
    <w:qFormat/>
    <w:uiPriority w:val="0"/>
    <w:rPr>
      <w:color w:val="0776DD"/>
    </w:rPr>
  </w:style>
  <w:style w:type="character" w:customStyle="1" w:styleId="107">
    <w:name w:val="mini-outputtext1"/>
    <w:basedOn w:val="39"/>
    <w:autoRedefine/>
    <w:qFormat/>
    <w:uiPriority w:val="0"/>
  </w:style>
  <w:style w:type="paragraph" w:customStyle="1" w:styleId="108">
    <w:name w:val="宋体标题"/>
    <w:basedOn w:val="4"/>
    <w:next w:val="1"/>
    <w:autoRedefine/>
    <w:qFormat/>
    <w:uiPriority w:val="0"/>
    <w:pPr>
      <w:spacing w:line="440" w:lineRule="exact"/>
    </w:pPr>
    <w:rPr>
      <w:rFonts w:hint="eastAsia" w:ascii="宋体" w:hAnsi="宋体" w:eastAsia="CESI宋体-GB13000" w:cs="宋体"/>
      <w:color w:val="auto"/>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8378</Words>
  <Characters>9428</Characters>
  <Lines>224</Lines>
  <Paragraphs>63</Paragraphs>
  <TotalTime>14</TotalTime>
  <ScaleCrop>false</ScaleCrop>
  <LinksUpToDate>false</LinksUpToDate>
  <CharactersWithSpaces>9594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2024-03-15T16:41:00Z</dcterms:created>
  <dc:creator>Administrator</dc:creator>
  <cp:lastModifiedBy>Lenovo</cp:lastModifiedBy>
  <cp:lastPrinted>2025-11-10T08:54:00Z</cp:lastPrinted>
  <dcterms:modified xsi:type="dcterms:W3CDTF">2025-12-25T06:47:39Z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8A65D68069D94582A0BFCD4EB8E4F745_13</vt:lpwstr>
  </property>
  <property fmtid="{D5CDD505-2E9C-101B-9397-08002B2CF9AE}" pid="4" name="KSOTemplateDocerSaveRecord">
    <vt:lpwstr>eyJoZGlkIjoiZTYwMjY1M2Y4ZmI1OWMxYTZkNWI3OWNhZWY5OWU4ZTUiLCJ1c2VySWQiOiIxNTYwNTUyOTkyIn0=</vt:lpwstr>
  </property>
</Properties>
</file>