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407EA">
      <w:pPr>
        <w:pStyle w:val="19"/>
        <w:snapToGrid w:val="0"/>
        <w:spacing w:before="120" w:after="120" w:line="360" w:lineRule="auto"/>
        <w:jc w:val="center"/>
        <w:rPr>
          <w:rFonts w:hint="eastAsia"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义乌市市场发展集团有限公司</w:t>
      </w:r>
    </w:p>
    <w:p w14:paraId="3A2B4C7D">
      <w:pPr>
        <w:pStyle w:val="19"/>
        <w:snapToGrid w:val="0"/>
        <w:spacing w:before="120" w:after="120" w:line="360" w:lineRule="auto"/>
        <w:jc w:val="center"/>
        <w:rPr>
          <w:rFonts w:hint="eastAsia"/>
          <w:b/>
          <w:color w:val="auto"/>
          <w:sz w:val="48"/>
          <w:szCs w:val="48"/>
          <w:highlight w:val="none"/>
        </w:rPr>
      </w:pPr>
      <w:r>
        <w:rPr>
          <w:rFonts w:hint="eastAsia" w:hAnsi="宋体" w:cs="宋体"/>
          <w:b/>
          <w:bCs/>
          <w:color w:val="auto"/>
          <w:sz w:val="48"/>
          <w:szCs w:val="48"/>
          <w:highlight w:val="none"/>
          <w:lang w:val="en-US" w:eastAsia="zh-CN"/>
        </w:rPr>
        <w:t>2025年度中期票据主承销商</w:t>
      </w:r>
      <w:r>
        <w:rPr>
          <w:rFonts w:hint="eastAsia" w:ascii="宋体" w:hAnsi="宋体" w:cs="宋体"/>
          <w:b/>
          <w:bCs/>
          <w:color w:val="auto"/>
          <w:sz w:val="48"/>
          <w:szCs w:val="48"/>
          <w:highlight w:val="none"/>
          <w:lang w:val="en-US" w:eastAsia="zh-CN"/>
        </w:rPr>
        <w:t>采购项目</w:t>
      </w:r>
    </w:p>
    <w:p w14:paraId="3FC6053F">
      <w:pPr>
        <w:pStyle w:val="19"/>
        <w:snapToGrid w:val="0"/>
        <w:spacing w:before="120" w:after="120" w:line="360" w:lineRule="auto"/>
        <w:jc w:val="center"/>
        <w:rPr>
          <w:rFonts w:hint="eastAsia" w:hAnsi="宋体"/>
          <w:color w:val="auto"/>
          <w:sz w:val="44"/>
          <w:szCs w:val="44"/>
          <w:highlight w:val="none"/>
        </w:rPr>
      </w:pPr>
    </w:p>
    <w:p w14:paraId="706591BA">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6A3C6F9B">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520F1BF4">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7E6790C2">
      <w:pPr>
        <w:pStyle w:val="19"/>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383F6AE9">
      <w:pPr>
        <w:pStyle w:val="19"/>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 xml:space="preserve">YCQ-2025-CG314 </w:t>
      </w:r>
    </w:p>
    <w:p w14:paraId="1CC4BD81">
      <w:pPr>
        <w:pStyle w:val="19"/>
        <w:snapToGrid w:val="0"/>
        <w:spacing w:before="120" w:after="120" w:line="360" w:lineRule="auto"/>
        <w:ind w:left="2137" w:hanging="2137" w:hangingChars="700"/>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b/>
          <w:color w:val="auto"/>
          <w:sz w:val="32"/>
          <w:szCs w:val="32"/>
          <w:highlight w:val="none"/>
          <w:u w:val="single"/>
          <w:lang w:val="en-US" w:eastAsia="zh-CN"/>
        </w:rPr>
        <w:t>义乌市市场发展集团有限公司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3AA5998">
      <w:pPr>
        <w:pStyle w:val="19"/>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义乌产权交易所有限公司</w:t>
      </w:r>
      <w:r>
        <w:rPr>
          <w:rFonts w:hint="eastAsia" w:hAnsi="宋体"/>
          <w:b/>
          <w:color w:val="auto"/>
          <w:sz w:val="32"/>
          <w:szCs w:val="32"/>
          <w:highlight w:val="none"/>
          <w:u w:val="single"/>
        </w:rPr>
        <w:t>（盖章）</w:t>
      </w:r>
    </w:p>
    <w:p w14:paraId="42EF34A2">
      <w:pPr>
        <w:pStyle w:val="19"/>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b/>
          <w:color w:val="auto"/>
          <w:sz w:val="32"/>
          <w:szCs w:val="32"/>
          <w:highlight w:val="none"/>
          <w:u w:val="single"/>
          <w:lang w:val="en-US"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十二</w:t>
      </w:r>
      <w:r>
        <w:rPr>
          <w:rFonts w:hint="eastAsia" w:hAnsi="宋体"/>
          <w:b/>
          <w:color w:val="auto"/>
          <w:sz w:val="32"/>
          <w:szCs w:val="32"/>
          <w:highlight w:val="none"/>
          <w:u w:val="single"/>
        </w:rPr>
        <w:t>月</w:t>
      </w:r>
    </w:p>
    <w:p w14:paraId="0701E3D3">
      <w:pPr>
        <w:pStyle w:val="19"/>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651D50A1">
      <w:pPr>
        <w:pStyle w:val="19"/>
        <w:snapToGrid w:val="0"/>
        <w:spacing w:before="120" w:after="120" w:line="360" w:lineRule="auto"/>
        <w:rPr>
          <w:rFonts w:hAnsi="宋体"/>
          <w:b/>
          <w:color w:val="auto"/>
          <w:sz w:val="32"/>
          <w:szCs w:val="32"/>
          <w:highlight w:val="none"/>
          <w:u w:val="single"/>
        </w:rPr>
      </w:pPr>
    </w:p>
    <w:p w14:paraId="07B4193E">
      <w:pPr>
        <w:pStyle w:val="25"/>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_Toc6273 </w:instrText>
      </w:r>
      <w:r>
        <w:rPr>
          <w:color w:val="auto"/>
          <w:highlight w:val="none"/>
        </w:rPr>
        <w:fldChar w:fldCharType="separate"/>
      </w:r>
      <w:r>
        <w:rPr>
          <w:rFonts w:ascii="Times New Roman" w:hAnsi="Times New Roman" w:eastAsia="宋体" w:cs="Times New Roman"/>
          <w:bCs/>
          <w:color w:val="auto"/>
          <w:kern w:val="44"/>
          <w:szCs w:val="44"/>
          <w:highlight w:val="none"/>
          <w:lang w:val="en-US" w:eastAsia="zh-CN" w:bidi="ar-SA"/>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_Toc6273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6F60BFC">
      <w:pPr>
        <w:pStyle w:val="25"/>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_Toc28651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_Toc28651 \h </w:instrText>
      </w:r>
      <w:r>
        <w:rPr>
          <w:color w:val="auto"/>
          <w:highlight w:val="none"/>
        </w:rPr>
        <w:fldChar w:fldCharType="separate"/>
      </w:r>
      <w:r>
        <w:rPr>
          <w:color w:val="auto"/>
          <w:highlight w:val="none"/>
        </w:rPr>
        <w:t>7</w:t>
      </w:r>
      <w:r>
        <w:rPr>
          <w:color w:val="auto"/>
          <w:highlight w:val="none"/>
        </w:rPr>
        <w:fldChar w:fldCharType="end"/>
      </w:r>
      <w:r>
        <w:rPr>
          <w:color w:val="auto"/>
          <w:szCs w:val="30"/>
          <w:highlight w:val="none"/>
        </w:rPr>
        <w:fldChar w:fldCharType="end"/>
      </w:r>
    </w:p>
    <w:p w14:paraId="1EEABAD1">
      <w:pPr>
        <w:pStyle w:val="25"/>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_Toc17824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_Toc17824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1EF69DE5">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_Toc4179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_Toc4179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067BB252">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_Toc28080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_Toc28080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720A45E7">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_Toc31337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_Toc31337 \h </w:instrText>
      </w:r>
      <w:r>
        <w:rPr>
          <w:color w:val="auto"/>
          <w:highlight w:val="none"/>
        </w:rPr>
        <w:fldChar w:fldCharType="separate"/>
      </w:r>
      <w:r>
        <w:rPr>
          <w:color w:val="auto"/>
          <w:highlight w:val="none"/>
        </w:rPr>
        <w:t>11</w:t>
      </w:r>
      <w:r>
        <w:rPr>
          <w:color w:val="auto"/>
          <w:highlight w:val="none"/>
        </w:rPr>
        <w:fldChar w:fldCharType="end"/>
      </w:r>
      <w:r>
        <w:rPr>
          <w:color w:val="auto"/>
          <w:szCs w:val="30"/>
          <w:highlight w:val="none"/>
        </w:rPr>
        <w:fldChar w:fldCharType="end"/>
      </w:r>
    </w:p>
    <w:p w14:paraId="2AA9AFE4">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_Toc3648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_Toc3648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151E7D4D">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_Toc27493 </w:instrText>
      </w:r>
      <w:r>
        <w:rPr>
          <w:color w:val="auto"/>
          <w:szCs w:val="30"/>
          <w:highlight w:val="none"/>
        </w:rPr>
        <w:fldChar w:fldCharType="separate"/>
      </w: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费用缴纳</w:t>
      </w:r>
      <w:r>
        <w:rPr>
          <w:color w:val="auto"/>
          <w:highlight w:val="none"/>
        </w:rPr>
        <w:tab/>
      </w:r>
      <w:r>
        <w:rPr>
          <w:color w:val="auto"/>
          <w:highlight w:val="none"/>
        </w:rPr>
        <w:fldChar w:fldCharType="begin"/>
      </w:r>
      <w:r>
        <w:rPr>
          <w:color w:val="auto"/>
          <w:highlight w:val="none"/>
        </w:rPr>
        <w:instrText xml:space="preserve"> PAGEREF _Toc27493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58632B38">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_Toc30185 </w:instrText>
      </w:r>
      <w:r>
        <w:rPr>
          <w:color w:val="auto"/>
          <w:szCs w:val="30"/>
          <w:highlight w:val="none"/>
        </w:rPr>
        <w:fldChar w:fldCharType="separate"/>
      </w:r>
      <w:r>
        <w:rPr>
          <w:rFonts w:hint="eastAsia" w:ascii="宋体" w:hAnsi="宋体" w:eastAsia="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_Toc30185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1882D292">
      <w:pPr>
        <w:pStyle w:val="25"/>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_Toc27832 </w:instrText>
      </w:r>
      <w:r>
        <w:rPr>
          <w:color w:val="auto"/>
          <w:szCs w:val="30"/>
          <w:highlight w:val="none"/>
        </w:rPr>
        <w:fldChar w:fldCharType="separate"/>
      </w:r>
      <w:r>
        <w:rPr>
          <w:rFonts w:hint="eastAsia" w:ascii="Times New Roman" w:hAnsi="Times New Roman" w:eastAsia="宋体" w:cs="Times New Roman"/>
          <w:color w:val="auto"/>
          <w:highlight w:val="none"/>
          <w:lang w:val="en-US" w:eastAsia="zh-CN"/>
        </w:rPr>
        <w:t>第三章  招标项目要求</w:t>
      </w:r>
      <w:r>
        <w:rPr>
          <w:color w:val="auto"/>
          <w:highlight w:val="none"/>
        </w:rPr>
        <w:tab/>
      </w:r>
      <w:r>
        <w:rPr>
          <w:color w:val="auto"/>
          <w:highlight w:val="none"/>
        </w:rPr>
        <w:fldChar w:fldCharType="begin"/>
      </w:r>
      <w:r>
        <w:rPr>
          <w:color w:val="auto"/>
          <w:highlight w:val="none"/>
        </w:rPr>
        <w:instrText xml:space="preserve"> PAGEREF _Toc27832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15C720FF">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_Toc4262 </w:instrText>
      </w:r>
      <w:r>
        <w:rPr>
          <w:color w:val="auto"/>
          <w:szCs w:val="30"/>
          <w:highlight w:val="none"/>
        </w:rPr>
        <w:fldChar w:fldCharType="separate"/>
      </w:r>
      <w:r>
        <w:rPr>
          <w:rFonts w:hint="eastAsia" w:ascii="宋体" w:hAnsi="宋体" w:eastAsia="宋体" w:cs="宋体"/>
          <w:color w:val="auto"/>
          <w:szCs w:val="21"/>
          <w:highlight w:val="none"/>
          <w:lang w:val="en-US" w:eastAsia="zh-CN"/>
        </w:rPr>
        <w:t>一、项目背景</w:t>
      </w:r>
      <w:r>
        <w:rPr>
          <w:color w:val="auto"/>
          <w:highlight w:val="none"/>
        </w:rPr>
        <w:tab/>
      </w:r>
      <w:r>
        <w:rPr>
          <w:color w:val="auto"/>
          <w:highlight w:val="none"/>
        </w:rPr>
        <w:fldChar w:fldCharType="begin"/>
      </w:r>
      <w:r>
        <w:rPr>
          <w:color w:val="auto"/>
          <w:highlight w:val="none"/>
        </w:rPr>
        <w:instrText xml:space="preserve"> PAGEREF _Toc4262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0AB6996F">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_Toc27001 </w:instrText>
      </w:r>
      <w:r>
        <w:rPr>
          <w:color w:val="auto"/>
          <w:szCs w:val="30"/>
          <w:highlight w:val="none"/>
        </w:rPr>
        <w:fldChar w:fldCharType="separate"/>
      </w:r>
      <w:r>
        <w:rPr>
          <w:rFonts w:hint="eastAsia" w:ascii="宋体" w:hAnsi="宋体" w:eastAsia="宋体" w:cs="宋体"/>
          <w:color w:val="auto"/>
          <w:szCs w:val="21"/>
          <w:highlight w:val="none"/>
          <w:lang w:val="en-US" w:eastAsia="zh-CN"/>
        </w:rPr>
        <w:t>二、具体内容</w:t>
      </w:r>
      <w:r>
        <w:rPr>
          <w:color w:val="auto"/>
          <w:highlight w:val="none"/>
        </w:rPr>
        <w:tab/>
      </w:r>
      <w:r>
        <w:rPr>
          <w:color w:val="auto"/>
          <w:highlight w:val="none"/>
        </w:rPr>
        <w:fldChar w:fldCharType="begin"/>
      </w:r>
      <w:r>
        <w:rPr>
          <w:color w:val="auto"/>
          <w:highlight w:val="none"/>
        </w:rPr>
        <w:instrText xml:space="preserve"> PAGEREF _Toc27001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75020DD4">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_Toc14362 </w:instrText>
      </w:r>
      <w:r>
        <w:rPr>
          <w:color w:val="auto"/>
          <w:szCs w:val="30"/>
          <w:highlight w:val="none"/>
        </w:rPr>
        <w:fldChar w:fldCharType="separate"/>
      </w:r>
      <w:r>
        <w:rPr>
          <w:rFonts w:hint="eastAsia" w:ascii="宋体" w:hAnsi="宋体" w:eastAsia="宋体" w:cs="宋体"/>
          <w:color w:val="auto"/>
          <w:szCs w:val="21"/>
          <w:highlight w:val="none"/>
          <w:lang w:val="en-US" w:eastAsia="zh-CN"/>
        </w:rPr>
        <w:t>三、其他要求</w:t>
      </w:r>
      <w:r>
        <w:rPr>
          <w:color w:val="auto"/>
          <w:highlight w:val="none"/>
        </w:rPr>
        <w:tab/>
      </w:r>
      <w:r>
        <w:rPr>
          <w:color w:val="auto"/>
          <w:highlight w:val="none"/>
        </w:rPr>
        <w:fldChar w:fldCharType="begin"/>
      </w:r>
      <w:r>
        <w:rPr>
          <w:color w:val="auto"/>
          <w:highlight w:val="none"/>
        </w:rPr>
        <w:instrText xml:space="preserve"> PAGEREF _Toc14362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402D2642">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_Toc3098 </w:instrText>
      </w:r>
      <w:r>
        <w:rPr>
          <w:color w:val="auto"/>
          <w:szCs w:val="30"/>
          <w:highlight w:val="none"/>
        </w:rPr>
        <w:fldChar w:fldCharType="separate"/>
      </w:r>
      <w:r>
        <w:rPr>
          <w:rFonts w:hint="eastAsia" w:ascii="宋体" w:hAnsi="宋体" w:eastAsia="宋体" w:cs="宋体"/>
          <w:color w:val="auto"/>
          <w:szCs w:val="21"/>
          <w:highlight w:val="none"/>
          <w:lang w:val="en-US" w:eastAsia="zh-CN"/>
        </w:rPr>
        <w:t>四、其他与本项目实施有关的要求见合同条款</w:t>
      </w:r>
      <w:r>
        <w:rPr>
          <w:color w:val="auto"/>
          <w:highlight w:val="none"/>
        </w:rPr>
        <w:tab/>
      </w:r>
      <w:r>
        <w:rPr>
          <w:color w:val="auto"/>
          <w:highlight w:val="none"/>
        </w:rPr>
        <w:fldChar w:fldCharType="begin"/>
      </w:r>
      <w:r>
        <w:rPr>
          <w:color w:val="auto"/>
          <w:highlight w:val="none"/>
        </w:rPr>
        <w:instrText xml:space="preserve"> PAGEREF _Toc3098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16804F1C">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_Toc11996 </w:instrText>
      </w:r>
      <w:r>
        <w:rPr>
          <w:color w:val="auto"/>
          <w:szCs w:val="30"/>
          <w:highlight w:val="none"/>
        </w:rPr>
        <w:fldChar w:fldCharType="separate"/>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_Toc11996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131E200B">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_Toc3844 </w:instrText>
      </w:r>
      <w:r>
        <w:rPr>
          <w:color w:val="auto"/>
          <w:szCs w:val="30"/>
          <w:highlight w:val="none"/>
        </w:rPr>
        <w:fldChar w:fldCharType="separate"/>
      </w:r>
      <w:r>
        <w:rPr>
          <w:rFonts w:hint="eastAsia" w:ascii="宋体" w:hAnsi="宋体" w:eastAsia="宋体" w:cs="宋体"/>
          <w:bCs/>
          <w:color w:val="auto"/>
          <w:szCs w:val="21"/>
          <w:highlight w:val="none"/>
          <w:lang w:val="en-US" w:eastAsia="zh-CN"/>
        </w:rPr>
        <w:t>六</w:t>
      </w:r>
      <w:r>
        <w:rPr>
          <w:rFonts w:hint="eastAsia" w:ascii="宋体" w:hAnsi="宋体" w:eastAsia="宋体" w:cs="宋体"/>
          <w:bCs/>
          <w:color w:val="auto"/>
          <w:szCs w:val="21"/>
          <w:highlight w:val="none"/>
        </w:rPr>
        <w:t>、其他说明</w:t>
      </w:r>
      <w:r>
        <w:rPr>
          <w:color w:val="auto"/>
          <w:highlight w:val="none"/>
        </w:rPr>
        <w:tab/>
      </w:r>
      <w:r>
        <w:rPr>
          <w:color w:val="auto"/>
          <w:highlight w:val="none"/>
        </w:rPr>
        <w:fldChar w:fldCharType="begin"/>
      </w:r>
      <w:r>
        <w:rPr>
          <w:color w:val="auto"/>
          <w:highlight w:val="none"/>
        </w:rPr>
        <w:instrText xml:space="preserve"> PAGEREF _Toc3844 \h </w:instrText>
      </w:r>
      <w:r>
        <w:rPr>
          <w:color w:val="auto"/>
          <w:highlight w:val="none"/>
        </w:rPr>
        <w:fldChar w:fldCharType="separate"/>
      </w:r>
      <w:r>
        <w:rPr>
          <w:color w:val="auto"/>
          <w:highlight w:val="none"/>
        </w:rPr>
        <w:t>18</w:t>
      </w:r>
      <w:r>
        <w:rPr>
          <w:color w:val="auto"/>
          <w:highlight w:val="none"/>
        </w:rPr>
        <w:fldChar w:fldCharType="end"/>
      </w:r>
      <w:r>
        <w:rPr>
          <w:color w:val="auto"/>
          <w:szCs w:val="30"/>
          <w:highlight w:val="none"/>
        </w:rPr>
        <w:fldChar w:fldCharType="end"/>
      </w:r>
    </w:p>
    <w:p w14:paraId="77D92548">
      <w:pPr>
        <w:pStyle w:val="25"/>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_Toc26425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第四章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开标、评标和定标须知</w:t>
      </w:r>
      <w:r>
        <w:rPr>
          <w:color w:val="auto"/>
          <w:highlight w:val="none"/>
        </w:rPr>
        <w:tab/>
      </w:r>
      <w:r>
        <w:rPr>
          <w:color w:val="auto"/>
          <w:highlight w:val="none"/>
        </w:rPr>
        <w:fldChar w:fldCharType="begin"/>
      </w:r>
      <w:r>
        <w:rPr>
          <w:color w:val="auto"/>
          <w:highlight w:val="none"/>
        </w:rPr>
        <w:instrText xml:space="preserve"> PAGEREF _Toc26425 \h </w:instrText>
      </w:r>
      <w:r>
        <w:rPr>
          <w:color w:val="auto"/>
          <w:highlight w:val="none"/>
        </w:rPr>
        <w:fldChar w:fldCharType="separate"/>
      </w:r>
      <w:r>
        <w:rPr>
          <w:color w:val="auto"/>
          <w:highlight w:val="none"/>
        </w:rPr>
        <w:t>19</w:t>
      </w:r>
      <w:r>
        <w:rPr>
          <w:color w:val="auto"/>
          <w:highlight w:val="none"/>
        </w:rPr>
        <w:fldChar w:fldCharType="end"/>
      </w:r>
      <w:r>
        <w:rPr>
          <w:color w:val="auto"/>
          <w:szCs w:val="30"/>
          <w:highlight w:val="none"/>
        </w:rPr>
        <w:fldChar w:fldCharType="end"/>
      </w:r>
    </w:p>
    <w:p w14:paraId="48886A9C">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_Toc16066 </w:instrText>
      </w:r>
      <w:r>
        <w:rPr>
          <w:color w:val="auto"/>
          <w:szCs w:val="30"/>
          <w:highlight w:val="none"/>
        </w:rPr>
        <w:fldChar w:fldCharType="separate"/>
      </w:r>
      <w:r>
        <w:rPr>
          <w:rFonts w:hint="eastAsia" w:ascii="宋体" w:hAnsi="宋体" w:eastAsia="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_Toc16066 \h </w:instrText>
      </w:r>
      <w:r>
        <w:rPr>
          <w:color w:val="auto"/>
          <w:highlight w:val="none"/>
        </w:rPr>
        <w:fldChar w:fldCharType="separate"/>
      </w:r>
      <w:r>
        <w:rPr>
          <w:color w:val="auto"/>
          <w:highlight w:val="none"/>
        </w:rPr>
        <w:t>19</w:t>
      </w:r>
      <w:r>
        <w:rPr>
          <w:color w:val="auto"/>
          <w:highlight w:val="none"/>
        </w:rPr>
        <w:fldChar w:fldCharType="end"/>
      </w:r>
      <w:r>
        <w:rPr>
          <w:color w:val="auto"/>
          <w:szCs w:val="30"/>
          <w:highlight w:val="none"/>
        </w:rPr>
        <w:fldChar w:fldCharType="end"/>
      </w:r>
    </w:p>
    <w:p w14:paraId="677310A9">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_Toc31001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_Toc31001 \h </w:instrText>
      </w:r>
      <w:r>
        <w:rPr>
          <w:color w:val="auto"/>
          <w:highlight w:val="none"/>
        </w:rPr>
        <w:fldChar w:fldCharType="separate"/>
      </w:r>
      <w:r>
        <w:rPr>
          <w:color w:val="auto"/>
          <w:highlight w:val="none"/>
        </w:rPr>
        <w:t>19</w:t>
      </w:r>
      <w:r>
        <w:rPr>
          <w:color w:val="auto"/>
          <w:highlight w:val="none"/>
        </w:rPr>
        <w:fldChar w:fldCharType="end"/>
      </w:r>
      <w:r>
        <w:rPr>
          <w:color w:val="auto"/>
          <w:szCs w:val="30"/>
          <w:highlight w:val="none"/>
        </w:rPr>
        <w:fldChar w:fldCharType="end"/>
      </w:r>
    </w:p>
    <w:p w14:paraId="35E88BDC">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_Toc8939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_Toc8939 \h </w:instrText>
      </w:r>
      <w:r>
        <w:rPr>
          <w:color w:val="auto"/>
          <w:highlight w:val="none"/>
        </w:rPr>
        <w:fldChar w:fldCharType="separate"/>
      </w:r>
      <w:r>
        <w:rPr>
          <w:color w:val="auto"/>
          <w:highlight w:val="none"/>
        </w:rPr>
        <w:t>21</w:t>
      </w:r>
      <w:r>
        <w:rPr>
          <w:color w:val="auto"/>
          <w:highlight w:val="none"/>
        </w:rPr>
        <w:fldChar w:fldCharType="end"/>
      </w:r>
      <w:r>
        <w:rPr>
          <w:color w:val="auto"/>
          <w:szCs w:val="30"/>
          <w:highlight w:val="none"/>
        </w:rPr>
        <w:fldChar w:fldCharType="end"/>
      </w:r>
    </w:p>
    <w:p w14:paraId="0A5D9F72">
      <w:pPr>
        <w:pStyle w:val="25"/>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_Toc2018 </w:instrText>
      </w:r>
      <w:r>
        <w:rPr>
          <w:color w:val="auto"/>
          <w:szCs w:val="30"/>
          <w:highlight w:val="none"/>
        </w:rPr>
        <w:fldChar w:fldCharType="separate"/>
      </w:r>
      <w:r>
        <w:rPr>
          <w:rFonts w:hint="eastAsia" w:hAnsi="宋体"/>
          <w:color w:val="auto"/>
          <w:highlight w:val="none"/>
        </w:rPr>
        <w:t>第五章</w:t>
      </w:r>
      <w:r>
        <w:rPr>
          <w:rFonts w:hAnsi="宋体"/>
          <w:color w:val="auto"/>
          <w:highlight w:val="none"/>
        </w:rPr>
        <w:t xml:space="preserve">  </w:t>
      </w:r>
      <w:r>
        <w:rPr>
          <w:rFonts w:hint="eastAsia" w:hAnsi="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_Toc2018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6479CDA3">
      <w:pPr>
        <w:pStyle w:val="25"/>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_Toc10983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_Toc10983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74CE8272">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_Toc8331 </w:instrText>
      </w:r>
      <w:r>
        <w:rPr>
          <w:color w:val="auto"/>
          <w:szCs w:val="30"/>
          <w:highlight w:val="none"/>
        </w:rPr>
        <w:fldChar w:fldCharType="separate"/>
      </w:r>
      <w:r>
        <w:rPr>
          <w:rFonts w:hint="eastAsia" w:ascii="宋体" w:hAnsi="宋体" w:eastAsia="宋体" w:cs="宋体"/>
          <w:bCs/>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_Toc8331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4983CEB5">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_Toc26171 </w:instrText>
      </w:r>
      <w:r>
        <w:rPr>
          <w:color w:val="auto"/>
          <w:szCs w:val="30"/>
          <w:highlight w:val="none"/>
        </w:rPr>
        <w:fldChar w:fldCharType="separate"/>
      </w:r>
      <w:r>
        <w:rPr>
          <w:rFonts w:hint="eastAsia" w:ascii="宋体" w:hAnsi="宋体" w:eastAsia="宋体" w:cs="宋体"/>
          <w:bCs/>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_Toc26171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7552C650">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_Toc6466 </w:instrText>
      </w:r>
      <w:r>
        <w:rPr>
          <w:color w:val="auto"/>
          <w:szCs w:val="30"/>
          <w:highlight w:val="none"/>
        </w:rPr>
        <w:fldChar w:fldCharType="separate"/>
      </w:r>
      <w:r>
        <w:rPr>
          <w:rFonts w:hint="eastAsia" w:ascii="宋体" w:hAnsi="宋体" w:eastAsia="宋体" w:cs="宋体"/>
          <w:color w:val="auto"/>
          <w:szCs w:val="21"/>
          <w:highlight w:val="none"/>
          <w:lang w:val="en-US"/>
        </w:rPr>
        <w:t>三、</w:t>
      </w:r>
      <w:r>
        <w:rPr>
          <w:rFonts w:hint="eastAsia" w:ascii="宋体" w:hAnsi="宋体" w:eastAsia="宋体" w:cs="宋体"/>
          <w:color w:val="auto"/>
          <w:szCs w:val="21"/>
          <w:highlight w:val="none"/>
        </w:rPr>
        <w:t>评分</w:t>
      </w:r>
      <w:r>
        <w:rPr>
          <w:rFonts w:hint="eastAsia" w:ascii="宋体" w:hAnsi="宋体" w:eastAsia="宋体" w:cs="宋体"/>
          <w:color w:val="auto"/>
          <w:szCs w:val="21"/>
          <w:highlight w:val="none"/>
          <w:lang w:val="en-US" w:eastAsia="zh-CN"/>
        </w:rPr>
        <w:t>办法</w:t>
      </w:r>
      <w:r>
        <w:rPr>
          <w:color w:val="auto"/>
          <w:highlight w:val="none"/>
        </w:rPr>
        <w:tab/>
      </w:r>
      <w:r>
        <w:rPr>
          <w:color w:val="auto"/>
          <w:highlight w:val="none"/>
        </w:rPr>
        <w:fldChar w:fldCharType="begin"/>
      </w:r>
      <w:r>
        <w:rPr>
          <w:color w:val="auto"/>
          <w:highlight w:val="none"/>
        </w:rPr>
        <w:instrText xml:space="preserve"> PAGEREF _Toc6466 \h </w:instrText>
      </w:r>
      <w:r>
        <w:rPr>
          <w:color w:val="auto"/>
          <w:highlight w:val="none"/>
        </w:rPr>
        <w:fldChar w:fldCharType="separate"/>
      </w:r>
      <w:r>
        <w:rPr>
          <w:color w:val="auto"/>
          <w:highlight w:val="none"/>
        </w:rPr>
        <w:t>27</w:t>
      </w:r>
      <w:r>
        <w:rPr>
          <w:color w:val="auto"/>
          <w:highlight w:val="none"/>
        </w:rPr>
        <w:fldChar w:fldCharType="end"/>
      </w:r>
      <w:r>
        <w:rPr>
          <w:color w:val="auto"/>
          <w:szCs w:val="30"/>
          <w:highlight w:val="none"/>
        </w:rPr>
        <w:fldChar w:fldCharType="end"/>
      </w:r>
    </w:p>
    <w:p w14:paraId="518DB866">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_Toc19478 </w:instrText>
      </w:r>
      <w:r>
        <w:rPr>
          <w:color w:val="auto"/>
          <w:szCs w:val="30"/>
          <w:highlight w:val="none"/>
        </w:rPr>
        <w:fldChar w:fldCharType="separate"/>
      </w:r>
      <w:r>
        <w:rPr>
          <w:rFonts w:hint="eastAsia" w:hAnsi="宋体" w:cs="宋体"/>
          <w:color w:val="auto"/>
          <w:szCs w:val="24"/>
          <w:highlight w:val="none"/>
        </w:rPr>
        <w:t>四、评标小组不向落标方解释落标原因</w:t>
      </w:r>
      <w:r>
        <w:rPr>
          <w:rFonts w:hint="eastAsia" w:hAnsi="宋体"/>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_Toc19478 \h </w:instrText>
      </w:r>
      <w:r>
        <w:rPr>
          <w:color w:val="auto"/>
          <w:highlight w:val="none"/>
        </w:rPr>
        <w:fldChar w:fldCharType="separate"/>
      </w:r>
      <w:r>
        <w:rPr>
          <w:color w:val="auto"/>
          <w:highlight w:val="none"/>
        </w:rPr>
        <w:t>28</w:t>
      </w:r>
      <w:r>
        <w:rPr>
          <w:color w:val="auto"/>
          <w:highlight w:val="none"/>
        </w:rPr>
        <w:fldChar w:fldCharType="end"/>
      </w:r>
      <w:r>
        <w:rPr>
          <w:color w:val="auto"/>
          <w:szCs w:val="30"/>
          <w:highlight w:val="none"/>
        </w:rPr>
        <w:fldChar w:fldCharType="end"/>
      </w:r>
    </w:p>
    <w:p w14:paraId="02179C8D">
      <w:pPr>
        <w:pStyle w:val="25"/>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_Toc1875 </w:instrText>
      </w:r>
      <w:r>
        <w:rPr>
          <w:color w:val="auto"/>
          <w:szCs w:val="30"/>
          <w:highlight w:val="none"/>
        </w:rPr>
        <w:fldChar w:fldCharType="separate"/>
      </w:r>
      <w:r>
        <w:rPr>
          <w:rFonts w:hint="eastAsia" w:ascii="宋体" w:hAnsi="宋体"/>
          <w:color w:val="auto"/>
          <w:szCs w:val="36"/>
          <w:highlight w:val="none"/>
        </w:rPr>
        <w:t>第</w:t>
      </w:r>
      <w:r>
        <w:rPr>
          <w:rFonts w:hint="eastAsia" w:ascii="宋体" w:hAnsi="宋体"/>
          <w:color w:val="auto"/>
          <w:szCs w:val="36"/>
          <w:highlight w:val="none"/>
          <w:lang w:val="en-US" w:eastAsia="zh-CN"/>
        </w:rPr>
        <w:t>七</w:t>
      </w:r>
      <w:r>
        <w:rPr>
          <w:rFonts w:hint="eastAsia" w:ascii="宋体" w:hAnsi="宋体"/>
          <w:color w:val="auto"/>
          <w:szCs w:val="36"/>
          <w:highlight w:val="none"/>
        </w:rPr>
        <w:t>章  合同主要条款</w:t>
      </w:r>
      <w:r>
        <w:rPr>
          <w:color w:val="auto"/>
          <w:highlight w:val="none"/>
        </w:rPr>
        <w:tab/>
      </w:r>
      <w:r>
        <w:rPr>
          <w:color w:val="auto"/>
          <w:highlight w:val="none"/>
        </w:rPr>
        <w:fldChar w:fldCharType="begin"/>
      </w:r>
      <w:r>
        <w:rPr>
          <w:color w:val="auto"/>
          <w:highlight w:val="none"/>
        </w:rPr>
        <w:instrText xml:space="preserve"> PAGEREF _Toc1875 \h </w:instrText>
      </w:r>
      <w:r>
        <w:rPr>
          <w:color w:val="auto"/>
          <w:highlight w:val="none"/>
        </w:rPr>
        <w:fldChar w:fldCharType="separate"/>
      </w:r>
      <w:r>
        <w:rPr>
          <w:color w:val="auto"/>
          <w:highlight w:val="none"/>
        </w:rPr>
        <w:t>29</w:t>
      </w:r>
      <w:r>
        <w:rPr>
          <w:color w:val="auto"/>
          <w:highlight w:val="none"/>
        </w:rPr>
        <w:fldChar w:fldCharType="end"/>
      </w:r>
      <w:r>
        <w:rPr>
          <w:color w:val="auto"/>
          <w:szCs w:val="30"/>
          <w:highlight w:val="none"/>
        </w:rPr>
        <w:fldChar w:fldCharType="end"/>
      </w:r>
    </w:p>
    <w:p w14:paraId="0AD152F3">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_Toc29724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第一条 </w:t>
      </w:r>
      <w:r>
        <w:rPr>
          <w:rFonts w:hint="eastAsia" w:ascii="宋体" w:hAnsi="宋体" w:eastAsia="宋体" w:cs="宋体"/>
          <w:bCs/>
          <w:color w:val="auto"/>
          <w:szCs w:val="32"/>
          <w:highlight w:val="none"/>
        </w:rPr>
        <w:t>协议的构成与效力等级</w:t>
      </w:r>
      <w:r>
        <w:rPr>
          <w:color w:val="auto"/>
          <w:highlight w:val="none"/>
        </w:rPr>
        <w:tab/>
      </w:r>
      <w:r>
        <w:rPr>
          <w:color w:val="auto"/>
          <w:highlight w:val="none"/>
        </w:rPr>
        <w:fldChar w:fldCharType="begin"/>
      </w:r>
      <w:r>
        <w:rPr>
          <w:color w:val="auto"/>
          <w:highlight w:val="none"/>
        </w:rPr>
        <w:instrText xml:space="preserve"> PAGEREF _Toc29724 \h </w:instrText>
      </w:r>
      <w:r>
        <w:rPr>
          <w:color w:val="auto"/>
          <w:highlight w:val="none"/>
        </w:rPr>
        <w:fldChar w:fldCharType="separate"/>
      </w:r>
      <w:r>
        <w:rPr>
          <w:color w:val="auto"/>
          <w:highlight w:val="none"/>
        </w:rPr>
        <w:t>29</w:t>
      </w:r>
      <w:r>
        <w:rPr>
          <w:color w:val="auto"/>
          <w:highlight w:val="none"/>
        </w:rPr>
        <w:fldChar w:fldCharType="end"/>
      </w:r>
      <w:r>
        <w:rPr>
          <w:color w:val="auto"/>
          <w:szCs w:val="30"/>
          <w:highlight w:val="none"/>
        </w:rPr>
        <w:fldChar w:fldCharType="end"/>
      </w:r>
    </w:p>
    <w:p w14:paraId="61798CBF">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_Toc17715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第二条 </w:t>
      </w:r>
      <w:r>
        <w:rPr>
          <w:rFonts w:hint="eastAsia" w:ascii="宋体" w:hAnsi="宋体" w:eastAsia="宋体" w:cs="宋体"/>
          <w:bCs/>
          <w:color w:val="auto"/>
          <w:szCs w:val="32"/>
          <w:highlight w:val="none"/>
        </w:rPr>
        <w:t>对承销方的委任</w:t>
      </w:r>
      <w:r>
        <w:rPr>
          <w:color w:val="auto"/>
          <w:highlight w:val="none"/>
        </w:rPr>
        <w:tab/>
      </w:r>
      <w:r>
        <w:rPr>
          <w:color w:val="auto"/>
          <w:highlight w:val="none"/>
        </w:rPr>
        <w:fldChar w:fldCharType="begin"/>
      </w:r>
      <w:r>
        <w:rPr>
          <w:color w:val="auto"/>
          <w:highlight w:val="none"/>
        </w:rPr>
        <w:instrText xml:space="preserve"> PAGEREF _Toc17715 \h </w:instrText>
      </w:r>
      <w:r>
        <w:rPr>
          <w:color w:val="auto"/>
          <w:highlight w:val="none"/>
        </w:rPr>
        <w:fldChar w:fldCharType="separate"/>
      </w:r>
      <w:r>
        <w:rPr>
          <w:color w:val="auto"/>
          <w:highlight w:val="none"/>
        </w:rPr>
        <w:t>29</w:t>
      </w:r>
      <w:r>
        <w:rPr>
          <w:color w:val="auto"/>
          <w:highlight w:val="none"/>
        </w:rPr>
        <w:fldChar w:fldCharType="end"/>
      </w:r>
      <w:r>
        <w:rPr>
          <w:color w:val="auto"/>
          <w:szCs w:val="30"/>
          <w:highlight w:val="none"/>
        </w:rPr>
        <w:fldChar w:fldCharType="end"/>
      </w:r>
    </w:p>
    <w:p w14:paraId="0D2FEF6D">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_Toc29388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第三条 </w:t>
      </w:r>
      <w:r>
        <w:rPr>
          <w:rFonts w:hint="eastAsia" w:ascii="宋体" w:hAnsi="宋体" w:eastAsia="宋体" w:cs="宋体"/>
          <w:bCs/>
          <w:color w:val="auto"/>
          <w:szCs w:val="32"/>
          <w:highlight w:val="none"/>
        </w:rPr>
        <w:t>债务融资工具的发行</w:t>
      </w:r>
      <w:r>
        <w:rPr>
          <w:color w:val="auto"/>
          <w:highlight w:val="none"/>
        </w:rPr>
        <w:tab/>
      </w:r>
      <w:r>
        <w:rPr>
          <w:color w:val="auto"/>
          <w:highlight w:val="none"/>
        </w:rPr>
        <w:fldChar w:fldCharType="begin"/>
      </w:r>
      <w:r>
        <w:rPr>
          <w:color w:val="auto"/>
          <w:highlight w:val="none"/>
        </w:rPr>
        <w:instrText xml:space="preserve"> PAGEREF _Toc29388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500879A0">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_Toc4562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第四条 </w:t>
      </w:r>
      <w:r>
        <w:rPr>
          <w:rFonts w:hint="eastAsia" w:ascii="宋体" w:hAnsi="宋体" w:eastAsia="宋体" w:cs="宋体"/>
          <w:bCs/>
          <w:color w:val="auto"/>
          <w:szCs w:val="32"/>
          <w:highlight w:val="none"/>
        </w:rPr>
        <w:t>债务融资工具的承销</w:t>
      </w:r>
      <w:r>
        <w:rPr>
          <w:color w:val="auto"/>
          <w:highlight w:val="none"/>
        </w:rPr>
        <w:tab/>
      </w:r>
      <w:r>
        <w:rPr>
          <w:color w:val="auto"/>
          <w:highlight w:val="none"/>
        </w:rPr>
        <w:fldChar w:fldCharType="begin"/>
      </w:r>
      <w:r>
        <w:rPr>
          <w:color w:val="auto"/>
          <w:highlight w:val="none"/>
        </w:rPr>
        <w:instrText xml:space="preserve"> PAGEREF _Toc4562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1E8B6AD8">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_Toc24064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第五条 </w:t>
      </w:r>
      <w:r>
        <w:rPr>
          <w:rFonts w:hint="eastAsia" w:ascii="宋体" w:hAnsi="宋体" w:eastAsia="宋体" w:cs="宋体"/>
          <w:bCs/>
          <w:color w:val="auto"/>
          <w:szCs w:val="32"/>
          <w:highlight w:val="none"/>
        </w:rPr>
        <w:t>募集资金划付</w:t>
      </w:r>
      <w:r>
        <w:rPr>
          <w:color w:val="auto"/>
          <w:highlight w:val="none"/>
        </w:rPr>
        <w:tab/>
      </w:r>
      <w:r>
        <w:rPr>
          <w:color w:val="auto"/>
          <w:highlight w:val="none"/>
        </w:rPr>
        <w:fldChar w:fldCharType="begin"/>
      </w:r>
      <w:r>
        <w:rPr>
          <w:color w:val="auto"/>
          <w:highlight w:val="none"/>
        </w:rPr>
        <w:instrText xml:space="preserve"> PAGEREF _Toc24064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4D8C79E7">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_Toc23464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第六条 </w:t>
      </w:r>
      <w:r>
        <w:rPr>
          <w:rFonts w:hint="eastAsia" w:ascii="宋体" w:hAnsi="宋体" w:eastAsia="宋体" w:cs="宋体"/>
          <w:bCs/>
          <w:color w:val="auto"/>
          <w:szCs w:val="32"/>
          <w:highlight w:val="none"/>
        </w:rPr>
        <w:t>费用及支付</w:t>
      </w:r>
      <w:r>
        <w:rPr>
          <w:color w:val="auto"/>
          <w:highlight w:val="none"/>
        </w:rPr>
        <w:tab/>
      </w:r>
      <w:r>
        <w:rPr>
          <w:color w:val="auto"/>
          <w:highlight w:val="none"/>
        </w:rPr>
        <w:fldChar w:fldCharType="begin"/>
      </w:r>
      <w:r>
        <w:rPr>
          <w:color w:val="auto"/>
          <w:highlight w:val="none"/>
        </w:rPr>
        <w:instrText xml:space="preserve"> PAGEREF _Toc23464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1807F5DA">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_Toc25156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第七条 </w:t>
      </w:r>
      <w:r>
        <w:rPr>
          <w:rFonts w:hint="eastAsia" w:ascii="宋体" w:hAnsi="宋体" w:eastAsia="宋体" w:cs="宋体"/>
          <w:bCs/>
          <w:color w:val="auto"/>
          <w:szCs w:val="32"/>
          <w:highlight w:val="none"/>
        </w:rPr>
        <w:t>信息披露</w:t>
      </w:r>
      <w:r>
        <w:rPr>
          <w:color w:val="auto"/>
          <w:highlight w:val="none"/>
        </w:rPr>
        <w:tab/>
      </w:r>
      <w:r>
        <w:rPr>
          <w:color w:val="auto"/>
          <w:highlight w:val="none"/>
        </w:rPr>
        <w:fldChar w:fldCharType="begin"/>
      </w:r>
      <w:r>
        <w:rPr>
          <w:color w:val="auto"/>
          <w:highlight w:val="none"/>
        </w:rPr>
        <w:instrText xml:space="preserve"> PAGEREF _Toc25156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7339DC34">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_Toc7459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第八条 </w:t>
      </w:r>
      <w:r>
        <w:rPr>
          <w:rFonts w:hint="eastAsia" w:ascii="宋体" w:hAnsi="宋体" w:eastAsia="宋体" w:cs="宋体"/>
          <w:bCs/>
          <w:color w:val="auto"/>
          <w:szCs w:val="32"/>
          <w:highlight w:val="none"/>
        </w:rPr>
        <w:t>付息和本金兑付</w:t>
      </w:r>
      <w:r>
        <w:rPr>
          <w:color w:val="auto"/>
          <w:highlight w:val="none"/>
        </w:rPr>
        <w:tab/>
      </w:r>
      <w:r>
        <w:rPr>
          <w:color w:val="auto"/>
          <w:highlight w:val="none"/>
        </w:rPr>
        <w:fldChar w:fldCharType="begin"/>
      </w:r>
      <w:r>
        <w:rPr>
          <w:color w:val="auto"/>
          <w:highlight w:val="none"/>
        </w:rPr>
        <w:instrText xml:space="preserve"> PAGEREF _Toc7459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6E197096">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_Toc22560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第九条 </w:t>
      </w:r>
      <w:r>
        <w:rPr>
          <w:rFonts w:hint="eastAsia" w:ascii="宋体" w:hAnsi="宋体" w:eastAsia="宋体" w:cs="宋体"/>
          <w:bCs/>
          <w:color w:val="auto"/>
          <w:szCs w:val="32"/>
          <w:highlight w:val="none"/>
        </w:rPr>
        <w:t>债务融资工具的后续管理</w:t>
      </w:r>
      <w:r>
        <w:rPr>
          <w:color w:val="auto"/>
          <w:highlight w:val="none"/>
        </w:rPr>
        <w:tab/>
      </w:r>
      <w:r>
        <w:rPr>
          <w:color w:val="auto"/>
          <w:highlight w:val="none"/>
        </w:rPr>
        <w:fldChar w:fldCharType="begin"/>
      </w:r>
      <w:r>
        <w:rPr>
          <w:color w:val="auto"/>
          <w:highlight w:val="none"/>
        </w:rPr>
        <w:instrText xml:space="preserve"> PAGEREF _Toc22560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16E5BB39">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_Toc7500 </w:instrText>
      </w:r>
      <w:r>
        <w:rPr>
          <w:color w:val="auto"/>
          <w:szCs w:val="30"/>
          <w:highlight w:val="none"/>
        </w:rPr>
        <w:fldChar w:fldCharType="separate"/>
      </w:r>
      <w:r>
        <w:rPr>
          <w:rFonts w:hint="eastAsia" w:ascii="宋体" w:hAnsi="宋体" w:eastAsia="宋体" w:cs="宋体"/>
          <w:bCs/>
          <w:color w:val="auto"/>
          <w:szCs w:val="32"/>
          <w:highlight w:val="none"/>
          <w:lang w:val="en-US"/>
        </w:rPr>
        <w:t xml:space="preserve">第十条 </w:t>
      </w:r>
      <w:r>
        <w:rPr>
          <w:rFonts w:hint="eastAsia" w:ascii="宋体" w:hAnsi="宋体" w:eastAsia="宋体" w:cs="宋体"/>
          <w:bCs/>
          <w:color w:val="auto"/>
          <w:szCs w:val="32"/>
          <w:highlight w:val="none"/>
        </w:rPr>
        <w:t>协议的签署和生效</w:t>
      </w:r>
      <w:r>
        <w:rPr>
          <w:color w:val="auto"/>
          <w:highlight w:val="none"/>
        </w:rPr>
        <w:tab/>
      </w:r>
      <w:r>
        <w:rPr>
          <w:color w:val="auto"/>
          <w:highlight w:val="none"/>
        </w:rPr>
        <w:fldChar w:fldCharType="begin"/>
      </w:r>
      <w:r>
        <w:rPr>
          <w:color w:val="auto"/>
          <w:highlight w:val="none"/>
        </w:rPr>
        <w:instrText xml:space="preserve"> PAGEREF _Toc7500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7BF3D696">
      <w:pPr>
        <w:pStyle w:val="25"/>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_Toc142 </w:instrText>
      </w:r>
      <w:r>
        <w:rPr>
          <w:color w:val="auto"/>
          <w:szCs w:val="30"/>
          <w:highlight w:val="none"/>
        </w:rPr>
        <w:fldChar w:fldCharType="separate"/>
      </w:r>
      <w:r>
        <w:rPr>
          <w:rFonts w:hint="eastAsia" w:ascii="宋体" w:hAnsi="宋体" w:eastAsia="宋体" w:cs="Times New Roman"/>
          <w:color w:val="auto"/>
          <w:szCs w:val="36"/>
          <w:highlight w:val="none"/>
        </w:rPr>
        <w:t>第</w:t>
      </w:r>
      <w:r>
        <w:rPr>
          <w:rFonts w:hint="eastAsia" w:ascii="宋体" w:hAnsi="宋体" w:cs="Times New Roman"/>
          <w:color w:val="auto"/>
          <w:szCs w:val="36"/>
          <w:highlight w:val="none"/>
          <w:lang w:val="en-US" w:eastAsia="zh-CN"/>
        </w:rPr>
        <w:t>八</w:t>
      </w:r>
      <w:r>
        <w:rPr>
          <w:rFonts w:hint="eastAsia" w:ascii="宋体" w:hAnsi="宋体" w:eastAsia="宋体" w:cs="Times New Roman"/>
          <w:color w:val="auto"/>
          <w:szCs w:val="36"/>
          <w:highlight w:val="none"/>
        </w:rPr>
        <w:t>章  投标文件部分格式</w:t>
      </w:r>
      <w:r>
        <w:rPr>
          <w:color w:val="auto"/>
          <w:highlight w:val="none"/>
        </w:rPr>
        <w:tab/>
      </w:r>
      <w:r>
        <w:rPr>
          <w:color w:val="auto"/>
          <w:highlight w:val="none"/>
        </w:rPr>
        <w:fldChar w:fldCharType="begin"/>
      </w:r>
      <w:r>
        <w:rPr>
          <w:color w:val="auto"/>
          <w:highlight w:val="none"/>
        </w:rPr>
        <w:instrText xml:space="preserve"> PAGEREF _Toc142 \h </w:instrText>
      </w:r>
      <w:r>
        <w:rPr>
          <w:color w:val="auto"/>
          <w:highlight w:val="none"/>
        </w:rPr>
        <w:fldChar w:fldCharType="separate"/>
      </w:r>
      <w:r>
        <w:rPr>
          <w:color w:val="auto"/>
          <w:highlight w:val="none"/>
        </w:rPr>
        <w:t>33</w:t>
      </w:r>
      <w:r>
        <w:rPr>
          <w:color w:val="auto"/>
          <w:highlight w:val="none"/>
        </w:rPr>
        <w:fldChar w:fldCharType="end"/>
      </w:r>
      <w:r>
        <w:rPr>
          <w:color w:val="auto"/>
          <w:szCs w:val="30"/>
          <w:highlight w:val="none"/>
        </w:rPr>
        <w:fldChar w:fldCharType="end"/>
      </w:r>
    </w:p>
    <w:p w14:paraId="1CB57AE1">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_Toc16104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_Toc16104 \h </w:instrText>
      </w:r>
      <w:r>
        <w:rPr>
          <w:color w:val="auto"/>
          <w:highlight w:val="none"/>
        </w:rPr>
        <w:fldChar w:fldCharType="separate"/>
      </w:r>
      <w:r>
        <w:rPr>
          <w:color w:val="auto"/>
          <w:highlight w:val="none"/>
        </w:rPr>
        <w:t>33</w:t>
      </w:r>
      <w:r>
        <w:rPr>
          <w:color w:val="auto"/>
          <w:highlight w:val="none"/>
        </w:rPr>
        <w:fldChar w:fldCharType="end"/>
      </w:r>
      <w:r>
        <w:rPr>
          <w:color w:val="auto"/>
          <w:szCs w:val="30"/>
          <w:highlight w:val="none"/>
        </w:rPr>
        <w:fldChar w:fldCharType="end"/>
      </w:r>
    </w:p>
    <w:p w14:paraId="303B6ED4">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_Toc2601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_Toc2601 \h </w:instrText>
      </w:r>
      <w:r>
        <w:rPr>
          <w:color w:val="auto"/>
          <w:highlight w:val="none"/>
        </w:rPr>
        <w:fldChar w:fldCharType="separate"/>
      </w:r>
      <w:r>
        <w:rPr>
          <w:color w:val="auto"/>
          <w:highlight w:val="none"/>
        </w:rPr>
        <w:t>33</w:t>
      </w:r>
      <w:r>
        <w:rPr>
          <w:color w:val="auto"/>
          <w:highlight w:val="none"/>
        </w:rPr>
        <w:fldChar w:fldCharType="end"/>
      </w:r>
      <w:r>
        <w:rPr>
          <w:color w:val="auto"/>
          <w:szCs w:val="30"/>
          <w:highlight w:val="none"/>
        </w:rPr>
        <w:fldChar w:fldCharType="end"/>
      </w:r>
    </w:p>
    <w:p w14:paraId="3BE1232C">
      <w:pPr>
        <w:pStyle w:val="30"/>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_Toc6502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_Toc6502 \h </w:instrText>
      </w:r>
      <w:r>
        <w:rPr>
          <w:color w:val="auto"/>
          <w:highlight w:val="none"/>
        </w:rPr>
        <w:fldChar w:fldCharType="separate"/>
      </w:r>
      <w:r>
        <w:rPr>
          <w:color w:val="auto"/>
          <w:highlight w:val="none"/>
        </w:rPr>
        <w:t>33</w:t>
      </w:r>
      <w:r>
        <w:rPr>
          <w:color w:val="auto"/>
          <w:highlight w:val="none"/>
        </w:rPr>
        <w:fldChar w:fldCharType="end"/>
      </w:r>
      <w:r>
        <w:rPr>
          <w:color w:val="auto"/>
          <w:szCs w:val="30"/>
          <w:highlight w:val="none"/>
        </w:rPr>
        <w:fldChar w:fldCharType="end"/>
      </w:r>
    </w:p>
    <w:p w14:paraId="16D29CD9">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2B469234">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6273"/>
      <w:bookmarkStart w:id="1" w:name="_Toc1340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7D0163AC">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739BC206">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Fonts w:hint="eastAsia" w:ascii="宋体" w:hAnsi="宋体" w:cs="宋体"/>
          <w:b w:val="0"/>
          <w:bCs/>
          <w:color w:val="auto"/>
          <w:highlight w:val="none"/>
        </w:rPr>
        <w:t>YWYGZC202512CG0087</w:t>
      </w:r>
      <w:r>
        <w:rPr>
          <w:rFonts w:hint="eastAsia" w:ascii="宋体" w:hAnsi="宋体" w:cs="宋体"/>
          <w:b/>
          <w:bCs w:val="0"/>
          <w:color w:val="auto"/>
          <w:highlight w:val="none"/>
          <w:lang w:eastAsia="zh-CN"/>
        </w:rPr>
        <w:t>（</w:t>
      </w:r>
      <w:r>
        <w:rPr>
          <w:rFonts w:hint="eastAsia" w:ascii="宋体" w:hAnsi="宋体" w:cs="宋体"/>
          <w:b w:val="0"/>
          <w:bCs/>
          <w:color w:val="auto"/>
          <w:highlight w:val="none"/>
        </w:rPr>
        <w:t>YCQ-202</w:t>
      </w:r>
      <w:r>
        <w:rPr>
          <w:rFonts w:hint="eastAsia" w:ascii="宋体" w:hAnsi="宋体" w:cs="宋体"/>
          <w:b w:val="0"/>
          <w:bCs/>
          <w:color w:val="auto"/>
          <w:highlight w:val="none"/>
          <w:lang w:val="en-US" w:eastAsia="zh-CN"/>
        </w:rPr>
        <w:t>5</w:t>
      </w:r>
      <w:r>
        <w:rPr>
          <w:rFonts w:hint="eastAsia" w:ascii="宋体" w:hAnsi="宋体" w:cs="宋体"/>
          <w:b w:val="0"/>
          <w:bCs/>
          <w:color w:val="auto"/>
          <w:highlight w:val="none"/>
        </w:rPr>
        <w:t>-CG</w:t>
      </w:r>
      <w:r>
        <w:rPr>
          <w:rFonts w:hint="eastAsia" w:ascii="宋体" w:hAnsi="宋体" w:cs="宋体"/>
          <w:b w:val="0"/>
          <w:bCs/>
          <w:color w:val="auto"/>
          <w:highlight w:val="none"/>
          <w:lang w:val="en-US" w:eastAsia="zh-CN"/>
        </w:rPr>
        <w:t>314</w:t>
      </w:r>
      <w:r>
        <w:rPr>
          <w:rFonts w:hint="eastAsia" w:ascii="宋体" w:hAnsi="宋体" w:cs="宋体"/>
          <w:b/>
          <w:bCs w:val="0"/>
          <w:color w:val="auto"/>
          <w:highlight w:val="none"/>
          <w:lang w:eastAsia="zh-CN"/>
        </w:rPr>
        <w:t>）</w:t>
      </w:r>
      <w:r>
        <w:rPr>
          <w:rFonts w:hint="eastAsia" w:ascii="宋体" w:hAnsi="宋体" w:cs="宋体"/>
          <w:b/>
          <w:bCs w:val="0"/>
          <w:color w:val="auto"/>
          <w:highlight w:val="none"/>
        </w:rPr>
        <w:t xml:space="preserve">  </w:t>
      </w:r>
    </w:p>
    <w:p w14:paraId="16356388">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cs="宋体"/>
          <w:b w:val="0"/>
          <w:bCs/>
          <w:color w:val="auto"/>
          <w:highlight w:val="none"/>
          <w:lang w:val="en-US" w:eastAsia="zh-CN"/>
        </w:rPr>
        <w:t>2025年度中期票据主承销商</w:t>
      </w:r>
      <w:r>
        <w:rPr>
          <w:rFonts w:hint="eastAsia" w:ascii="宋体" w:hAnsi="宋体"/>
          <w:color w:val="auto"/>
          <w:highlight w:val="none"/>
          <w:lang w:eastAsia="zh-CN"/>
        </w:rPr>
        <w:t>采购，拟注册申报规模不超过</w:t>
      </w:r>
      <w:r>
        <w:rPr>
          <w:rFonts w:hint="eastAsia" w:ascii="宋体" w:hAnsi="宋体"/>
          <w:color w:val="auto"/>
          <w:highlight w:val="none"/>
          <w:lang w:val="en-US" w:eastAsia="zh-CN"/>
        </w:rPr>
        <w:t>9</w:t>
      </w:r>
      <w:r>
        <w:rPr>
          <w:rFonts w:hint="eastAsia" w:ascii="宋体" w:hAnsi="宋体"/>
          <w:color w:val="auto"/>
          <w:highlight w:val="none"/>
          <w:lang w:eastAsia="zh-CN"/>
        </w:rPr>
        <w:t>亿元（含），</w:t>
      </w:r>
      <w:r>
        <w:rPr>
          <w:rFonts w:hint="eastAsia" w:ascii="宋体" w:hAnsi="宋体"/>
          <w:color w:val="auto"/>
          <w:highlight w:val="none"/>
          <w:lang w:val="en-US" w:eastAsia="zh-CN"/>
        </w:rPr>
        <w:t>期限不超过5年（含），</w:t>
      </w:r>
      <w:r>
        <w:rPr>
          <w:rFonts w:hint="eastAsia" w:ascii="宋体" w:hAnsi="宋体"/>
          <w:color w:val="auto"/>
          <w:highlight w:val="none"/>
          <w:lang w:eastAsia="zh-CN"/>
        </w:rPr>
        <w:t>具体</w:t>
      </w:r>
      <w:r>
        <w:rPr>
          <w:rFonts w:hint="eastAsia" w:ascii="宋体" w:hAnsi="宋体"/>
          <w:color w:val="auto"/>
          <w:highlight w:val="none"/>
          <w:lang w:val="en-US" w:eastAsia="zh-CN"/>
        </w:rPr>
        <w:t>内容</w:t>
      </w:r>
      <w:r>
        <w:rPr>
          <w:rFonts w:hint="eastAsia" w:ascii="宋体" w:hAnsi="宋体"/>
          <w:color w:val="auto"/>
          <w:highlight w:val="none"/>
          <w:lang w:eastAsia="zh-CN"/>
        </w:rPr>
        <w:t>详见第三章招标项目要求。</w:t>
      </w:r>
    </w:p>
    <w:p w14:paraId="5D0A6A2F">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eastAsia="宋体" w:cs="宋体"/>
          <w:b/>
          <w:bCs/>
          <w:color w:val="auto"/>
          <w:highlight w:val="none"/>
          <w:lang w:val="en-US" w:eastAsia="zh-CN"/>
        </w:rPr>
        <w:t>承销费率最</w:t>
      </w:r>
      <w:r>
        <w:rPr>
          <w:rFonts w:hint="eastAsia" w:ascii="宋体" w:hAnsi="宋体" w:cs="宋体"/>
          <w:b/>
          <w:bCs/>
          <w:color w:val="auto"/>
          <w:highlight w:val="none"/>
          <w:lang w:val="en-US" w:eastAsia="zh-CN"/>
        </w:rPr>
        <w:t>高限</w:t>
      </w:r>
      <w:r>
        <w:rPr>
          <w:rFonts w:hint="eastAsia" w:ascii="宋体" w:hAnsi="宋体" w:cs="宋体"/>
          <w:b/>
          <w:bCs/>
          <w:color w:val="auto"/>
          <w:highlight w:val="none"/>
        </w:rPr>
        <w:t>价</w:t>
      </w:r>
      <w:r>
        <w:rPr>
          <w:rFonts w:hint="eastAsia" w:ascii="宋体" w:hAnsi="宋体" w:cs="宋体"/>
          <w:color w:val="auto"/>
          <w:highlight w:val="none"/>
        </w:rPr>
        <w:t>：</w:t>
      </w:r>
      <w:r>
        <w:rPr>
          <w:rFonts w:hint="eastAsia" w:ascii="宋体" w:hAnsi="宋体" w:cs="宋体"/>
          <w:color w:val="auto"/>
          <w:highlight w:val="none"/>
          <w:lang w:val="en-US" w:eastAsia="zh-CN"/>
        </w:rPr>
        <w:t>0.1%/年，投标人的投标报价超</w:t>
      </w:r>
      <w:r>
        <w:rPr>
          <w:rFonts w:hint="eastAsia" w:ascii="宋体" w:hAnsi="宋体" w:cs="宋体"/>
          <w:b/>
          <w:bCs/>
          <w:color w:val="auto"/>
          <w:highlight w:val="none"/>
          <w:lang w:val="en-US" w:eastAsia="zh-CN"/>
        </w:rPr>
        <w:t>最高限</w:t>
      </w:r>
      <w:r>
        <w:rPr>
          <w:rFonts w:hint="eastAsia" w:ascii="宋体" w:hAnsi="宋体" w:cs="宋体"/>
          <w:b/>
          <w:bCs/>
          <w:color w:val="auto"/>
          <w:highlight w:val="none"/>
        </w:rPr>
        <w:t>价</w:t>
      </w:r>
      <w:r>
        <w:rPr>
          <w:rFonts w:hint="eastAsia" w:ascii="宋体" w:hAnsi="宋体" w:cs="宋体"/>
          <w:b/>
          <w:bCs/>
          <w:color w:val="auto"/>
          <w:highlight w:val="none"/>
          <w:lang w:val="en-US" w:eastAsia="zh-CN"/>
        </w:rPr>
        <w:t>的作</w:t>
      </w:r>
      <w:r>
        <w:rPr>
          <w:rFonts w:hint="eastAsia" w:ascii="宋体" w:hAnsi="宋体" w:cs="宋体"/>
          <w:color w:val="auto"/>
          <w:highlight w:val="none"/>
          <w:lang w:val="en-US" w:eastAsia="zh-CN"/>
        </w:rPr>
        <w:t>无效标处理。</w:t>
      </w:r>
    </w:p>
    <w:p w14:paraId="4BF8EFF5">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3FC66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047054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信用要求：①未被“信用中国”网站（</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"https://www.creditchina.gov.cn"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www.creditchina.gov.cn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）列入严重失信主体名单；②投标人或法定代表人自2022年1月1日以来在中国裁判文书网（</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https：//we</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 xml:space="preserve"> </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nshu.court.gov.cn/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）上没有行贿犯罪记录情况（以行贿罪判决为准）；</w:t>
      </w:r>
    </w:p>
    <w:p w14:paraId="35A348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3</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投标人具有有效的金融许可证以及银行间市场债务融资的承销资质</w:t>
      </w:r>
      <w:r>
        <w:rPr>
          <w:rFonts w:hint="eastAsia" w:hAnsi="宋体" w:cs="Times New Roman"/>
          <w:b w:val="0"/>
          <w:bCs/>
          <w:color w:val="auto"/>
          <w:highlight w:val="none"/>
          <w:lang w:val="zh-CN"/>
        </w:rPr>
        <w:t>；</w:t>
      </w:r>
    </w:p>
    <w:p w14:paraId="2D01F2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eastAsia="zh-CN"/>
        </w:rPr>
        <w:t>（</w:t>
      </w:r>
      <w:r>
        <w:rPr>
          <w:rFonts w:hint="eastAsia" w:hAnsi="宋体" w:cs="Times New Roman"/>
          <w:b w:val="0"/>
          <w:bCs/>
          <w:color w:val="auto"/>
          <w:highlight w:val="none"/>
          <w:lang w:val="en-US" w:eastAsia="zh-CN"/>
        </w:rPr>
        <w:t>4</w:t>
      </w:r>
      <w:r>
        <w:rPr>
          <w:rFonts w:hint="eastAsia" w:ascii="Times New Roman" w:hAnsi="宋体" w:eastAsia="宋体" w:cs="Times New Roman"/>
          <w:b w:val="0"/>
          <w:bCs/>
          <w:color w:val="auto"/>
          <w:highlight w:val="none"/>
          <w:lang w:val="en-US" w:eastAsia="zh-CN"/>
        </w:rPr>
        <w:t>）</w:t>
      </w:r>
      <w:r>
        <w:rPr>
          <w:rFonts w:hint="eastAsia" w:ascii="Times New Roman" w:hAnsi="宋体" w:eastAsia="宋体" w:cs="Times New Roman"/>
          <w:b w:val="0"/>
          <w:bCs/>
          <w:color w:val="auto"/>
          <w:highlight w:val="none"/>
          <w:lang w:val="zh-CN"/>
        </w:rPr>
        <w:t>本项目不得转包（如有转包，解除合同），可接受联合体投标。若以联合体方式投标，需以一家牵头主承销商及一家联席主承销商的组合参与投标。投标单位不得同时以牵头主承销商角色和联席主承销商角色参加投标，否则该单位参与的投标均做无效标处理。联席主承销商只能与一家投标单位以联合体参与投标。</w:t>
      </w:r>
    </w:p>
    <w:p w14:paraId="73AD2E95">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3D7B732B">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①时间：公告发布时间起至投标截止时间止。</w:t>
      </w:r>
    </w:p>
    <w:p w14:paraId="79B1FFEF">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②地点：义乌市阳光招标采购平台(www.ywygzc.com)、义乌产权交易网（www.ywcq.com）。</w:t>
      </w:r>
    </w:p>
    <w:p w14:paraId="4383E47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③方式：登录义乌市阳光招标采购平台账号获取或直接在招标公告下方获取。</w:t>
      </w:r>
    </w:p>
    <w:p w14:paraId="2FA57F88">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04DF94B4">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义乌市市场发展集团有限公司：傅女士（</w:t>
      </w:r>
      <w:r>
        <w:rPr>
          <w:rFonts w:hint="eastAsia" w:ascii="宋体" w:hAnsi="宋体" w:cs="宋体"/>
          <w:color w:val="auto"/>
          <w:highlight w:val="none"/>
          <w:lang w:val="en-US" w:eastAsia="zh-CN"/>
        </w:rPr>
        <w:t>0579-81566016</w:t>
      </w:r>
      <w:r>
        <w:rPr>
          <w:rFonts w:hint="eastAsia" w:ascii="宋体" w:hAnsi="宋体" w:cs="宋体"/>
          <w:color w:val="auto"/>
          <w:highlight w:val="none"/>
          <w:lang w:eastAsia="zh-CN"/>
        </w:rPr>
        <w:t>）</w:t>
      </w:r>
      <w:r>
        <w:rPr>
          <w:rFonts w:hint="eastAsia" w:ascii="宋体" w:hAnsi="宋体" w:cs="宋体"/>
          <w:color w:val="auto"/>
          <w:highlight w:val="none"/>
        </w:rPr>
        <w:t>和义乌产权交易所有限公司：王小姐（0579-89903039，ywcqztb001@ywcq.com），并致电采购代理机构确认。书面文件邮寄地址：义乌市北苑街道望道路300号405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p>
    <w:p w14:paraId="263CE34D">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695A7AC0">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提交投标文件截止时间：</w:t>
      </w:r>
      <w:r>
        <w:rPr>
          <w:rFonts w:hint="eastAsia" w:ascii="宋体" w:hAnsi="宋体" w:cs="宋体"/>
          <w:color w:val="auto"/>
          <w:highlight w:val="none"/>
          <w:lang w:val="en-US" w:eastAsia="zh-CN"/>
        </w:rPr>
        <w:t>2026年1月23日9:00</w:t>
      </w:r>
      <w:r>
        <w:rPr>
          <w:rFonts w:hint="eastAsia" w:ascii="宋体" w:hAnsi="宋体" w:eastAsia="宋体" w:cs="宋体"/>
          <w:color w:val="auto"/>
          <w:highlight w:val="none"/>
        </w:rPr>
        <w:t>（北京时间）</w:t>
      </w:r>
    </w:p>
    <w:p w14:paraId="3563C181">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2）</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06C81782">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3）</w:t>
      </w:r>
      <w:r>
        <w:rPr>
          <w:rFonts w:hint="eastAsia" w:ascii="宋体" w:hAnsi="宋体" w:cs="Courier New"/>
          <w:color w:val="auto"/>
          <w:highlight w:val="none"/>
        </w:rPr>
        <w:t>开标时间：</w:t>
      </w:r>
      <w:r>
        <w:rPr>
          <w:rFonts w:hint="eastAsia" w:ascii="宋体" w:hAnsi="宋体" w:cs="宋体"/>
          <w:color w:val="auto"/>
          <w:highlight w:val="none"/>
          <w:lang w:val="en-US" w:eastAsia="zh-CN"/>
        </w:rPr>
        <w:t>2026年1月23日9:00</w:t>
      </w:r>
    </w:p>
    <w:p w14:paraId="08B5EFBD">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4）</w:t>
      </w:r>
      <w:r>
        <w:rPr>
          <w:rFonts w:hint="eastAsia" w:ascii="宋体" w:hAnsi="宋体" w:cs="Courier New"/>
          <w:color w:val="auto"/>
          <w:highlight w:val="none"/>
        </w:rPr>
        <w:t>开标地点：“义乌市阳光招标采购平台”（www.ywygzc.com）</w:t>
      </w:r>
    </w:p>
    <w:p w14:paraId="760A3FCC">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6C1C94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目前“义乌市阳光招标采购平台”仅支持天谷CA锁）】。因未注册入库、未办理CA数字证书等原因造成无法投标或投标失败等后果由供应商自行承担。</w:t>
      </w:r>
    </w:p>
    <w:p w14:paraId="74FD533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7C1661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③投标文件上传：投标人应在投标截止时间（</w:t>
      </w:r>
      <w:r>
        <w:rPr>
          <w:rFonts w:hint="eastAsia" w:ascii="宋体" w:hAnsi="宋体" w:cs="宋体"/>
          <w:color w:val="auto"/>
          <w:highlight w:val="none"/>
          <w:lang w:val="en-US" w:eastAsia="zh-CN"/>
        </w:rPr>
        <w:t>2026年1月23日9:00</w:t>
      </w:r>
      <w:r>
        <w:rPr>
          <w:rFonts w:hint="eastAsia" w:ascii="Times New Roman" w:hAnsi="宋体" w:eastAsia="宋体" w:cs="Times New Roman"/>
          <w:b w:val="0"/>
          <w:bCs/>
          <w:color w:val="auto"/>
          <w:highlight w:val="none"/>
          <w:lang w:val="zh-CN"/>
        </w:rPr>
        <w:t>）之前上传投标文件。</w:t>
      </w:r>
    </w:p>
    <w:p w14:paraId="7DF678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1C906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29FCD8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（1）该电脑未安装CA驱动，无法读取CA锁——重新下载安装驱动</w:t>
      </w:r>
      <w:r>
        <w:rPr>
          <w:rFonts w:hint="eastAsia" w:hAnsi="宋体" w:cs="Times New Roman"/>
          <w:b w:val="0"/>
          <w:bCs/>
          <w:color w:val="auto"/>
          <w:highlight w:val="none"/>
          <w:lang w:val="en-US" w:eastAsia="zh-CN"/>
        </w:rPr>
        <w:t>；</w:t>
      </w:r>
    </w:p>
    <w:p w14:paraId="49DE3A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（2）电脑长时间未关机应用程序未响应，导致无法读取CA锁——重启电脑或重新安装驱动</w:t>
      </w:r>
      <w:r>
        <w:rPr>
          <w:rFonts w:hint="eastAsia" w:hAnsi="宋体" w:cs="Times New Roman"/>
          <w:b w:val="0"/>
          <w:bCs/>
          <w:color w:val="auto"/>
          <w:highlight w:val="none"/>
          <w:lang w:val="en-US" w:eastAsia="zh-CN"/>
        </w:rPr>
        <w:t>；</w:t>
      </w:r>
    </w:p>
    <w:p w14:paraId="53E67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（3）浏览器版本过低导致无法识别——更换Egde、谷歌浏览器</w:t>
      </w:r>
      <w:r>
        <w:rPr>
          <w:rFonts w:hint="eastAsia" w:hAnsi="宋体" w:cs="Times New Roman"/>
          <w:b w:val="0"/>
          <w:bCs/>
          <w:color w:val="auto"/>
          <w:highlight w:val="none"/>
          <w:lang w:val="en-US" w:eastAsia="zh-CN"/>
        </w:rPr>
        <w:t>；</w:t>
      </w:r>
    </w:p>
    <w:p w14:paraId="7EC56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（4）密码多次输入错误导致无法解密——打开CA工具进行检测密码是否正确</w:t>
      </w:r>
      <w:r>
        <w:rPr>
          <w:rFonts w:hint="eastAsia" w:hAnsi="宋体" w:cs="Times New Roman"/>
          <w:b w:val="0"/>
          <w:bCs/>
          <w:color w:val="auto"/>
          <w:highlight w:val="none"/>
          <w:lang w:val="en-US" w:eastAsia="zh-CN"/>
        </w:rPr>
        <w:t>；</w:t>
      </w:r>
    </w:p>
    <w:p w14:paraId="34123F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（5）因杀毒软件检测导致无法识别CA锁——关闭杀毒软件</w:t>
      </w:r>
      <w:r>
        <w:rPr>
          <w:rFonts w:hint="eastAsia" w:hAnsi="宋体" w:cs="Times New Roman"/>
          <w:b w:val="0"/>
          <w:bCs/>
          <w:color w:val="auto"/>
          <w:highlight w:val="none"/>
          <w:lang w:val="en-US" w:eastAsia="zh-CN"/>
        </w:rPr>
        <w:t>；</w:t>
      </w:r>
    </w:p>
    <w:p w14:paraId="27BCEE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（6）因系统安装多版本驱动导致无法识别CA锁——卸载其他驱动或更换其他电脑安装驱动。</w:t>
      </w:r>
    </w:p>
    <w:p w14:paraId="523B79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⑤参与在线投标时如遇平台技术问题详询：0579-89920081，电子投标制作问题详询：</w:t>
      </w:r>
      <w:r>
        <w:rPr>
          <w:rFonts w:hint="eastAsia" w:hAnsi="宋体" w:cs="Times New Roman"/>
          <w:b w:val="0"/>
          <w:bCs/>
          <w:color w:val="auto"/>
          <w:highlight w:val="none"/>
          <w:lang w:val="en-US" w:eastAsia="zh-CN"/>
        </w:rPr>
        <w:t>王</w:t>
      </w:r>
      <w:r>
        <w:rPr>
          <w:rFonts w:hint="eastAsia" w:ascii="Times New Roman" w:hAnsi="宋体" w:eastAsia="宋体" w:cs="Times New Roman"/>
          <w:b w:val="0"/>
          <w:bCs/>
          <w:color w:val="auto"/>
          <w:highlight w:val="none"/>
          <w:lang w:val="zh-CN"/>
        </w:rPr>
        <w:t>小姐0579－899</w:t>
      </w:r>
      <w:r>
        <w:rPr>
          <w:rFonts w:hint="eastAsia" w:hAnsi="宋体" w:cs="Times New Roman"/>
          <w:b w:val="0"/>
          <w:bCs/>
          <w:color w:val="auto"/>
          <w:highlight w:val="none"/>
          <w:lang w:val="en-US" w:eastAsia="zh-CN"/>
        </w:rPr>
        <w:t>03039</w:t>
      </w:r>
      <w:r>
        <w:rPr>
          <w:rFonts w:hint="eastAsia" w:ascii="Times New Roman" w:hAnsi="宋体" w:eastAsia="宋体" w:cs="Times New Roman"/>
          <w:b w:val="0"/>
          <w:bCs/>
          <w:color w:val="auto"/>
          <w:highlight w:val="none"/>
          <w:lang w:val="zh-CN"/>
        </w:rPr>
        <w:t>。</w:t>
      </w:r>
    </w:p>
    <w:p w14:paraId="31BC4305">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7ACE5B95">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013182D5">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义乌市市场发展集团有限公司：傅女士  0579-81566016</w:t>
      </w:r>
    </w:p>
    <w:p w14:paraId="46087C15">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default" w:ascii="宋体" w:hAnsi="宋体" w:cs="宋体"/>
          <w:color w:val="auto"/>
          <w:szCs w:val="21"/>
          <w:highlight w:val="none"/>
          <w:lang w:val="en-US"/>
        </w:rPr>
      </w:pPr>
      <w:r>
        <w:rPr>
          <w:rFonts w:hint="eastAsia" w:hAnsi="宋体"/>
          <w:color w:val="auto"/>
          <w:highlight w:val="none"/>
        </w:rPr>
        <w:t>义乌产权交易所有限公司</w:t>
      </w:r>
      <w:r>
        <w:rPr>
          <w:rFonts w:hint="eastAsia" w:hAnsi="宋体"/>
          <w:color w:val="auto"/>
          <w:highlight w:val="none"/>
          <w:lang w:eastAsia="zh-CN"/>
        </w:rPr>
        <w:t>：</w:t>
      </w:r>
      <w:r>
        <w:rPr>
          <w:rFonts w:hint="eastAsia" w:hAnsi="宋体"/>
          <w:color w:val="auto"/>
          <w:highlight w:val="none"/>
          <w:lang w:val="en-US" w:eastAsia="zh-CN"/>
        </w:rPr>
        <w:t xml:space="preserve">王女士 </w:t>
      </w:r>
      <w:r>
        <w:rPr>
          <w:rFonts w:hint="eastAsia" w:ascii="宋体" w:hAnsi="宋体" w:cs="宋体"/>
          <w:color w:val="auto"/>
          <w:szCs w:val="21"/>
          <w:highlight w:val="none"/>
        </w:rPr>
        <w:t xml:space="preserve">  0579-</w:t>
      </w:r>
      <w:r>
        <w:rPr>
          <w:rFonts w:hint="eastAsia" w:ascii="宋体" w:hAnsi="宋体" w:cs="Times New Roman"/>
          <w:color w:val="auto"/>
          <w:highlight w:val="none"/>
          <w:lang w:val="en-US" w:eastAsia="zh-CN"/>
        </w:rPr>
        <w:t xml:space="preserve">89903039 </w:t>
      </w:r>
    </w:p>
    <w:p w14:paraId="03684FBA">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宋体"/>
          <w:color w:val="auto"/>
          <w:szCs w:val="21"/>
          <w:highlight w:val="none"/>
        </w:rPr>
      </w:pPr>
    </w:p>
    <w:p w14:paraId="1547F57F">
      <w:pPr>
        <w:pStyle w:val="14"/>
        <w:rPr>
          <w:rFonts w:hint="eastAsia"/>
          <w:color w:val="auto"/>
          <w:highlight w:val="none"/>
        </w:rPr>
      </w:pPr>
    </w:p>
    <w:p w14:paraId="342E8461">
      <w:pPr>
        <w:pStyle w:val="19"/>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宋体" w:hAnsi="宋体" w:cs="Times New Roman"/>
          <w:color w:val="auto"/>
          <w:highlight w:val="none"/>
          <w:lang w:eastAsia="zh-CN"/>
        </w:rPr>
      </w:pPr>
      <w:r>
        <w:rPr>
          <w:rFonts w:hint="eastAsia" w:hAnsi="宋体" w:cs="Times New Roman"/>
          <w:color w:val="auto"/>
          <w:highlight w:val="none"/>
          <w:lang w:eastAsia="zh-CN"/>
        </w:rPr>
        <w:t>义乌市市场发展集团有限公司</w:t>
      </w:r>
    </w:p>
    <w:p w14:paraId="6B5DDE78">
      <w:pPr>
        <w:pStyle w:val="19"/>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Ansi="宋体"/>
          <w:color w:val="auto"/>
          <w:highlight w:val="none"/>
        </w:rPr>
      </w:pPr>
      <w:r>
        <w:rPr>
          <w:rFonts w:hint="eastAsia" w:hAnsi="宋体"/>
          <w:color w:val="auto"/>
          <w:highlight w:val="none"/>
        </w:rPr>
        <w:t>义乌产权交易所有限公司</w:t>
      </w:r>
    </w:p>
    <w:p w14:paraId="046D7ACB">
      <w:pPr>
        <w:pStyle w:val="19"/>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hAnsi="宋体"/>
          <w:color w:val="auto"/>
          <w:sz w:val="24"/>
          <w:highlight w:val="none"/>
        </w:rPr>
      </w:pPr>
      <w:r>
        <w:rPr>
          <w:rFonts w:hint="eastAsia" w:hAnsi="宋体"/>
          <w:color w:val="auto"/>
          <w:highlight w:val="none"/>
        </w:rPr>
        <w:t>202</w:t>
      </w:r>
      <w:r>
        <w:rPr>
          <w:rFonts w:hint="eastAsia" w:hAnsi="宋体"/>
          <w:color w:val="auto"/>
          <w:highlight w:val="none"/>
          <w:lang w:val="en-US" w:eastAsia="zh-CN"/>
        </w:rPr>
        <w:t>5</w:t>
      </w:r>
      <w:r>
        <w:rPr>
          <w:rFonts w:hint="eastAsia" w:hAnsi="宋体"/>
          <w:color w:val="auto"/>
          <w:highlight w:val="none"/>
        </w:rPr>
        <w:t>年</w:t>
      </w:r>
      <w:r>
        <w:rPr>
          <w:rFonts w:hint="eastAsia" w:hAnsi="宋体"/>
          <w:color w:val="auto"/>
          <w:highlight w:val="none"/>
          <w:lang w:val="en-US" w:eastAsia="zh-CN"/>
        </w:rPr>
        <w:t>12</w:t>
      </w:r>
      <w:r>
        <w:rPr>
          <w:rFonts w:hint="eastAsia" w:hAnsi="宋体"/>
          <w:color w:val="auto"/>
          <w:highlight w:val="none"/>
        </w:rPr>
        <w:t>月</w:t>
      </w:r>
      <w:r>
        <w:rPr>
          <w:rFonts w:hint="eastAsia" w:hAnsi="宋体"/>
          <w:color w:val="auto"/>
          <w:highlight w:val="none"/>
          <w:lang w:val="en-US" w:eastAsia="zh-CN"/>
        </w:rPr>
        <w:t>29</w:t>
      </w:r>
      <w:r>
        <w:rPr>
          <w:rFonts w:hint="eastAsia" w:hAnsi="宋体"/>
          <w:color w:val="auto"/>
          <w:highlight w:val="none"/>
        </w:rPr>
        <w:t>日</w:t>
      </w:r>
    </w:p>
    <w:p w14:paraId="7B1A32A3">
      <w:pPr>
        <w:pStyle w:val="19"/>
        <w:adjustRightInd w:val="0"/>
        <w:snapToGrid w:val="0"/>
        <w:spacing w:line="360" w:lineRule="auto"/>
        <w:jc w:val="right"/>
        <w:rPr>
          <w:rFonts w:hint="eastAsia" w:hAnsi="宋体"/>
          <w:color w:val="auto"/>
          <w:sz w:val="24"/>
          <w:highlight w:val="none"/>
        </w:rPr>
      </w:pPr>
    </w:p>
    <w:p w14:paraId="096D33E8">
      <w:pPr>
        <w:pStyle w:val="19"/>
        <w:adjustRightInd w:val="0"/>
        <w:snapToGrid w:val="0"/>
        <w:spacing w:line="360" w:lineRule="auto"/>
        <w:jc w:val="right"/>
        <w:rPr>
          <w:rFonts w:hint="eastAsia" w:hAnsi="宋体"/>
          <w:color w:val="auto"/>
          <w:sz w:val="24"/>
          <w:highlight w:val="none"/>
        </w:rPr>
      </w:pPr>
    </w:p>
    <w:p w14:paraId="65D714E5">
      <w:pPr>
        <w:pStyle w:val="19"/>
        <w:adjustRightInd w:val="0"/>
        <w:snapToGrid w:val="0"/>
        <w:spacing w:line="400" w:lineRule="exact"/>
        <w:jc w:val="right"/>
        <w:rPr>
          <w:rFonts w:hint="eastAsia" w:hAnsi="宋体"/>
          <w:color w:val="auto"/>
          <w:sz w:val="24"/>
          <w:highlight w:val="none"/>
        </w:rPr>
      </w:pPr>
    </w:p>
    <w:p w14:paraId="778E54CE">
      <w:pPr>
        <w:pStyle w:val="19"/>
        <w:adjustRightInd w:val="0"/>
        <w:snapToGrid w:val="0"/>
        <w:spacing w:line="400" w:lineRule="exact"/>
        <w:jc w:val="right"/>
        <w:rPr>
          <w:rFonts w:hint="eastAsia" w:hAnsi="宋体"/>
          <w:color w:val="auto"/>
          <w:sz w:val="24"/>
          <w:highlight w:val="none"/>
        </w:rPr>
      </w:pPr>
    </w:p>
    <w:p w14:paraId="6DC8F9B4">
      <w:pPr>
        <w:pStyle w:val="19"/>
        <w:adjustRightInd w:val="0"/>
        <w:snapToGrid w:val="0"/>
        <w:spacing w:line="400" w:lineRule="exact"/>
        <w:jc w:val="right"/>
        <w:rPr>
          <w:rFonts w:hint="eastAsia" w:hAnsi="宋体"/>
          <w:color w:val="auto"/>
          <w:sz w:val="24"/>
          <w:highlight w:val="none"/>
        </w:rPr>
      </w:pPr>
    </w:p>
    <w:p w14:paraId="21A49B7E">
      <w:pPr>
        <w:pStyle w:val="19"/>
        <w:adjustRightInd w:val="0"/>
        <w:snapToGrid w:val="0"/>
        <w:spacing w:line="400" w:lineRule="exact"/>
        <w:jc w:val="right"/>
        <w:rPr>
          <w:rFonts w:hint="eastAsia" w:hAnsi="宋体"/>
          <w:color w:val="auto"/>
          <w:sz w:val="24"/>
          <w:highlight w:val="none"/>
        </w:rPr>
      </w:pPr>
    </w:p>
    <w:p w14:paraId="50C73850">
      <w:pPr>
        <w:pStyle w:val="19"/>
        <w:adjustRightInd w:val="0"/>
        <w:snapToGrid w:val="0"/>
        <w:spacing w:line="400" w:lineRule="exact"/>
        <w:jc w:val="right"/>
        <w:rPr>
          <w:rFonts w:hint="eastAsia" w:hAnsi="宋体"/>
          <w:color w:val="auto"/>
          <w:sz w:val="24"/>
          <w:highlight w:val="none"/>
        </w:rPr>
      </w:pPr>
    </w:p>
    <w:p w14:paraId="2B11A254">
      <w:pPr>
        <w:pStyle w:val="19"/>
        <w:adjustRightInd w:val="0"/>
        <w:snapToGrid w:val="0"/>
        <w:spacing w:line="400" w:lineRule="exact"/>
        <w:jc w:val="right"/>
        <w:rPr>
          <w:rFonts w:hAnsi="宋体"/>
          <w:color w:val="auto"/>
          <w:highlight w:val="none"/>
        </w:rPr>
      </w:pPr>
    </w:p>
    <w:p w14:paraId="7B7B53F1">
      <w:pPr>
        <w:pStyle w:val="19"/>
        <w:adjustRightInd w:val="0"/>
        <w:snapToGrid w:val="0"/>
        <w:spacing w:line="400" w:lineRule="exact"/>
        <w:jc w:val="right"/>
        <w:rPr>
          <w:rFonts w:hAnsi="宋体"/>
          <w:color w:val="auto"/>
          <w:highlight w:val="none"/>
        </w:rPr>
      </w:pPr>
    </w:p>
    <w:p w14:paraId="7503A39B">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28651"/>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6BD53F9C">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0820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B0E738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3C509D8F">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3B0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CBF66CC">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5BBD2D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0D0DB30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787A02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cs="Times New Roman"/>
                <w:color w:val="auto"/>
                <w:highlight w:val="none"/>
                <w:lang w:eastAsia="zh-CN"/>
              </w:rPr>
              <w:t>义乌市市场发展集团有限公司2025年度中期票据主承销商采购项目</w:t>
            </w:r>
          </w:p>
          <w:p w14:paraId="6FF9AA6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采购内容</w:t>
            </w:r>
            <w:r>
              <w:rPr>
                <w:rFonts w:hint="eastAsia" w:ascii="宋体" w:hAnsi="宋体" w:eastAsia="宋体" w:cs="宋体"/>
                <w:b/>
                <w:bCs/>
                <w:color w:val="auto"/>
                <w:szCs w:val="21"/>
                <w:highlight w:val="none"/>
                <w:lang w:val="en-US" w:eastAsia="zh-CN"/>
              </w:rPr>
              <w:t>及数量</w:t>
            </w:r>
            <w:r>
              <w:rPr>
                <w:rFonts w:hint="eastAsia" w:ascii="宋体" w:hAnsi="宋体" w:eastAsia="宋体" w:cs="宋体"/>
                <w:b/>
                <w:bCs/>
                <w:color w:val="auto"/>
                <w:szCs w:val="21"/>
                <w:highlight w:val="none"/>
                <w:lang w:eastAsia="zh-CN"/>
              </w:rPr>
              <w:t>：</w:t>
            </w:r>
            <w:r>
              <w:rPr>
                <w:rFonts w:hint="eastAsia" w:ascii="宋体" w:hAnsi="宋体" w:cs="Times New Roman"/>
                <w:color w:val="auto"/>
                <w:highlight w:val="none"/>
                <w:lang w:eastAsia="zh-CN"/>
              </w:rPr>
              <w:t>2025年度中期票据主承销商</w:t>
            </w:r>
            <w:r>
              <w:rPr>
                <w:rFonts w:hint="eastAsia" w:ascii="宋体" w:hAnsi="宋体" w:eastAsia="宋体" w:cs="Times New Roman"/>
                <w:color w:val="auto"/>
                <w:highlight w:val="none"/>
                <w:lang w:eastAsia="zh-CN"/>
              </w:rPr>
              <w:t>采购，具体</w:t>
            </w:r>
            <w:r>
              <w:rPr>
                <w:rFonts w:hint="eastAsia" w:ascii="宋体" w:hAnsi="宋体" w:cs="Times New Roman"/>
                <w:color w:val="auto"/>
                <w:highlight w:val="none"/>
                <w:lang w:val="en-US" w:eastAsia="zh-CN"/>
              </w:rPr>
              <w:t>内容</w:t>
            </w:r>
            <w:r>
              <w:rPr>
                <w:rFonts w:hint="eastAsia" w:ascii="宋体" w:hAnsi="宋体" w:eastAsia="宋体" w:cs="Times New Roman"/>
                <w:color w:val="auto"/>
                <w:highlight w:val="none"/>
                <w:lang w:eastAsia="zh-CN"/>
              </w:rPr>
              <w:t>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02DE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53D90E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579A8D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228733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7AC5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0331A5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B2B9F1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7AD2E9A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505257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4C40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4BB5C3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09B540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A5AD133">
            <w:pPr>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综合评分法</w:t>
            </w:r>
          </w:p>
        </w:tc>
      </w:tr>
      <w:tr w14:paraId="0632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C6EEE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EFE4BCE">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CE4C10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380B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33BBDB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910747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641039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08B1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71ADA6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A6117F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F53ACC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6320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D11CDF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A8757B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340526B">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义乌市市场发展集团有限公司：傅女士（0579-81566016）</w:t>
            </w:r>
            <w:r>
              <w:rPr>
                <w:rFonts w:hint="eastAsia" w:ascii="宋体" w:hAnsi="宋体" w:cs="宋体"/>
                <w:color w:val="auto"/>
                <w:highlight w:val="none"/>
              </w:rPr>
              <w:t>和义乌产权交易所有限公司：王小姐（0579-89903039，ywcqztb001@ywcq.com），并致电采购代理机构确认。书面文件邮寄地址：义乌市北苑街道望道路300号405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p>
        </w:tc>
      </w:tr>
      <w:tr w14:paraId="2D85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3073A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D884FF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C2DF8FE">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0116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B4F30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CA1695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1AC445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2026年1月23日9:00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6AD5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A43C58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CF76FD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47A86A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highlight w:val="none"/>
                <w:lang w:val="en-US" w:eastAsia="zh-CN"/>
              </w:rPr>
              <w:t>2026年1月23日9:00</w:t>
            </w:r>
          </w:p>
          <w:p w14:paraId="1931CB7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1D95385E">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29422D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1D490155">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6FFB2543">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70018D91">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2042DFAB">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07ED785B">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4F860244">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1A6D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CD4FC8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104890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F672375">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1E79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525E5E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F761B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D5E7EC">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2C05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2E0D60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7CFFC0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A14053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7924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40A10D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F8EC235">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E41A6C">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7C00426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1506ECEA">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5E4D473F">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35155AC8">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54F0BCE1">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4FF9483D">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165B68F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4C2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0DD21EC">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926729D">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D99E5CF">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本项目设有最高限价，投标报价最高限价的，其投标为无效标。</w:t>
            </w:r>
          </w:p>
          <w:p w14:paraId="3C51ED6C">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2689EE68">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557E0BF4">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17824"/>
      <w:bookmarkStart w:id="6" w:name="_Toc32581"/>
      <w:bookmarkStart w:id="7" w:name="_Toc8496"/>
      <w:r>
        <w:rPr>
          <w:rFonts w:hint="eastAsia"/>
          <w:color w:val="auto"/>
          <w:sz w:val="32"/>
          <w:szCs w:val="32"/>
          <w:highlight w:val="none"/>
        </w:rPr>
        <w:t>投标须知</w:t>
      </w:r>
      <w:bookmarkEnd w:id="5"/>
      <w:bookmarkEnd w:id="6"/>
      <w:bookmarkEnd w:id="7"/>
    </w:p>
    <w:p w14:paraId="0BBFC1AC">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0416"/>
      <w:bookmarkStart w:id="9" w:name="_Toc274303229"/>
      <w:bookmarkStart w:id="10" w:name="_Toc4179"/>
      <w:bookmarkStart w:id="11" w:name="_Toc362250687"/>
      <w:bookmarkStart w:id="12" w:name="_Toc27843"/>
      <w:r>
        <w:rPr>
          <w:rFonts w:hint="eastAsia" w:ascii="宋体" w:hAnsi="宋体" w:eastAsia="宋体" w:cs="宋体"/>
          <w:color w:val="auto"/>
          <w:sz w:val="21"/>
          <w:szCs w:val="21"/>
          <w:highlight w:val="none"/>
        </w:rPr>
        <w:t>一、说明</w:t>
      </w:r>
      <w:bookmarkEnd w:id="8"/>
      <w:bookmarkEnd w:id="9"/>
      <w:bookmarkEnd w:id="10"/>
      <w:bookmarkEnd w:id="11"/>
      <w:bookmarkEnd w:id="12"/>
    </w:p>
    <w:p w14:paraId="57E2C135">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28F3DCDF">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4C313ED3">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295F8C71">
      <w:pPr>
        <w:pStyle w:val="19"/>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义乌市市场发展集团有限公司</w:t>
      </w:r>
      <w:r>
        <w:rPr>
          <w:rFonts w:hint="eastAsia" w:ascii="宋体" w:hAnsi="宋体" w:eastAsia="宋体" w:cs="宋体"/>
          <w:color w:val="auto"/>
          <w:sz w:val="21"/>
          <w:szCs w:val="21"/>
          <w:highlight w:val="none"/>
        </w:rPr>
        <w:t>。</w:t>
      </w:r>
    </w:p>
    <w:p w14:paraId="5BC85962">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3BDBF4A8">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28BDF0A3">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0FFE01FE">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01BEC193">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285964C3">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1CC16280">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643B16E2">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51852315">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462ACFCD">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65BB38EF">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6D1A6E25">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236FDD9C">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7C4040FB">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7ABD4A76">
      <w:pPr>
        <w:pStyle w:val="19"/>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32BED789">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4C26ACA2">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3A6C7A46">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55A3F888">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34DE9108">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49043A85">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48035CF9">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6BD9CD4C">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本项目接受联合体投标。</w:t>
      </w:r>
    </w:p>
    <w:p w14:paraId="1E1CAD42">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9212"/>
      <w:bookmarkStart w:id="14" w:name="_Toc274303230"/>
      <w:bookmarkStart w:id="15" w:name="_Toc12737"/>
      <w:bookmarkStart w:id="16" w:name="_Toc28080"/>
      <w:bookmarkStart w:id="17" w:name="_Toc362250688"/>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210D038D">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2871F6D1">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21583608">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7544E573">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3124191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5E502F45">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33F9D419">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06D9B9A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6053F231">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2D92D48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3959317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7C7220B8">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147CB8A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992D965">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6CD90E25">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19D3E9A5">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3C9EDA71">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264E9DF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35BB407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1FCC9BD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1A81F57F">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5D19897A">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274303231"/>
      <w:bookmarkStart w:id="19" w:name="_Toc362250689"/>
      <w:bookmarkStart w:id="20" w:name="_Toc16783"/>
      <w:bookmarkStart w:id="21" w:name="_Toc31337"/>
      <w:bookmarkStart w:id="22" w:name="_Toc31250"/>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75CCCF68">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14F4361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460ACC4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01580935">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535A2FD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01C8A25E">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7FB5918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10C8AD74">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25193DF5">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11.5编制的投标文件对招标文件中有关条款未提出异议的，均被视为接受和同意。</w:t>
      </w:r>
    </w:p>
    <w:p w14:paraId="6FDDF3F5">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1C9FBCE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3B87D51B">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061EFB29">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62446D30">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5E81029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4E8705E8">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r>
        <w:rPr>
          <w:rFonts w:hint="eastAsia" w:ascii="宋体" w:hAnsi="宋体" w:cs="宋体"/>
          <w:color w:val="auto"/>
          <w:sz w:val="21"/>
          <w:szCs w:val="21"/>
          <w:highlight w:val="none"/>
          <w:lang w:eastAsia="zh-CN"/>
        </w:rPr>
        <w:t>；</w:t>
      </w:r>
    </w:p>
    <w:p w14:paraId="3C534E1F">
      <w:pPr>
        <w:pStyle w:val="19"/>
        <w:spacing w:line="360" w:lineRule="auto"/>
        <w:ind w:firstLine="422" w:firstLineChars="200"/>
        <w:rPr>
          <w:rFonts w:hint="default" w:ascii="宋体" w:hAnsi="宋体" w:eastAsia="宋体" w:cs="宋体"/>
          <w:color w:val="auto"/>
          <w:highlight w:val="none"/>
          <w:lang w:val="en-US" w:eastAsia="zh-CN" w:bidi="ar-SA"/>
        </w:rPr>
      </w:pPr>
      <w:r>
        <w:rPr>
          <w:rFonts w:hint="eastAsia" w:ascii="宋体" w:hAnsi="宋体" w:eastAsia="宋体" w:cs="宋体"/>
          <w:b/>
          <w:color w:val="auto"/>
          <w:sz w:val="21"/>
          <w:szCs w:val="21"/>
          <w:highlight w:val="none"/>
        </w:rPr>
        <w:t>★</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4</w:t>
      </w:r>
      <w:r>
        <w:rPr>
          <w:rFonts w:hint="eastAsia" w:ascii="宋体" w:hAnsi="宋体" w:eastAsia="宋体" w:cs="宋体"/>
          <w:color w:val="auto"/>
          <w:highlight w:val="none"/>
          <w:lang w:eastAsia="zh-CN" w:bidi="ar-SA"/>
        </w:rPr>
        <w:t>）</w:t>
      </w:r>
      <w:r>
        <w:rPr>
          <w:rFonts w:hint="eastAsia" w:hAnsi="宋体" w:cs="宋体"/>
          <w:color w:val="auto"/>
          <w:highlight w:val="none"/>
          <w:lang w:val="en-US" w:eastAsia="zh-CN" w:bidi="ar-SA"/>
        </w:rPr>
        <w:t>若</w:t>
      </w:r>
      <w:r>
        <w:rPr>
          <w:rFonts w:hint="eastAsia" w:ascii="宋体" w:hAnsi="宋体" w:eastAsia="宋体" w:cs="宋体"/>
          <w:color w:val="auto"/>
          <w:highlight w:val="none"/>
          <w:lang w:eastAsia="zh-CN" w:bidi="ar-SA"/>
        </w:rPr>
        <w:t>采用联合体的，还须提供联合体协议书</w:t>
      </w:r>
      <w:r>
        <w:rPr>
          <w:rFonts w:hint="eastAsia" w:hAnsi="宋体" w:cs="宋体"/>
          <w:color w:val="auto"/>
          <w:highlight w:val="none"/>
          <w:lang w:eastAsia="zh-CN" w:bidi="ar-SA"/>
        </w:rPr>
        <w:t>，如联席承销商为证券类的，则20</w:t>
      </w:r>
      <w:r>
        <w:rPr>
          <w:rFonts w:hint="eastAsia" w:hAnsi="宋体" w:cs="宋体"/>
          <w:color w:val="auto"/>
          <w:highlight w:val="none"/>
          <w:lang w:val="en-US" w:eastAsia="zh-CN" w:bidi="ar-SA"/>
        </w:rPr>
        <w:t>22</w:t>
      </w:r>
      <w:r>
        <w:rPr>
          <w:rFonts w:hint="eastAsia" w:hAnsi="宋体" w:cs="宋体"/>
          <w:color w:val="auto"/>
          <w:highlight w:val="none"/>
          <w:lang w:eastAsia="zh-CN" w:bidi="ar-SA"/>
        </w:rPr>
        <w:t>年度至202</w:t>
      </w:r>
      <w:r>
        <w:rPr>
          <w:rFonts w:hint="eastAsia" w:hAnsi="宋体" w:cs="宋体"/>
          <w:color w:val="auto"/>
          <w:highlight w:val="none"/>
          <w:lang w:val="en-US" w:eastAsia="zh-CN" w:bidi="ar-SA"/>
        </w:rPr>
        <w:t>4</w:t>
      </w:r>
      <w:r>
        <w:rPr>
          <w:rFonts w:hint="eastAsia" w:hAnsi="宋体" w:cs="宋体"/>
          <w:color w:val="auto"/>
          <w:highlight w:val="none"/>
          <w:lang w:eastAsia="zh-CN" w:bidi="ar-SA"/>
        </w:rPr>
        <w:t>年度证监会公布的证券公司分类结果须为BBB类及以上</w:t>
      </w:r>
      <w:r>
        <w:rPr>
          <w:rFonts w:hint="eastAsia" w:ascii="宋体" w:hAnsi="宋体" w:eastAsia="宋体" w:cs="宋体"/>
          <w:color w:val="auto"/>
          <w:highlight w:val="none"/>
          <w:lang w:val="en-US" w:eastAsia="zh-CN" w:bidi="ar-SA"/>
        </w:rPr>
        <w:t>；（须明确牵头主承销商与联席主承销商）</w:t>
      </w:r>
    </w:p>
    <w:p w14:paraId="15BB6B81">
      <w:pPr>
        <w:pStyle w:val="19"/>
        <w:spacing w:line="360" w:lineRule="auto"/>
        <w:ind w:firstLine="420" w:firstLineChars="200"/>
        <w:rPr>
          <w:rFonts w:hint="eastAsia" w:ascii="宋体" w:hAnsi="宋体" w:eastAsia="宋体" w:cs="宋体"/>
          <w:color w:val="auto"/>
          <w:highlight w:val="none"/>
          <w:lang w:eastAsia="zh-CN"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（5）</w:t>
      </w:r>
      <w:r>
        <w:rPr>
          <w:rFonts w:hint="eastAsia" w:ascii="宋体" w:hAnsi="宋体" w:eastAsia="宋体" w:cs="宋体"/>
          <w:color w:val="auto"/>
          <w:highlight w:val="none"/>
          <w:lang w:eastAsia="zh-CN" w:bidi="ar-SA"/>
        </w:rPr>
        <w:t>关于债券承销业务无重大违法记录和无失信的声明</w:t>
      </w:r>
      <w:r>
        <w:rPr>
          <w:rFonts w:hint="eastAsia" w:hAnsi="宋体" w:cs="宋体"/>
          <w:color w:val="auto"/>
          <w:highlight w:val="none"/>
          <w:lang w:eastAsia="zh-CN" w:bidi="ar-SA"/>
        </w:rPr>
        <w:t>；</w:t>
      </w:r>
    </w:p>
    <w:p w14:paraId="1D27628E">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cs="宋体"/>
          <w:color w:val="auto"/>
          <w:highlight w:val="none"/>
          <w:lang w:val="en-US" w:eastAsia="zh-CN" w:bidi="ar-SA"/>
        </w:rPr>
        <w:t>（6）</w:t>
      </w:r>
      <w:r>
        <w:rPr>
          <w:rFonts w:hint="eastAsia" w:ascii="宋体" w:hAnsi="宋体" w:eastAsia="宋体" w:cs="宋体"/>
          <w:color w:val="auto"/>
          <w:highlight w:val="none"/>
          <w:lang w:val="en-US" w:eastAsia="zh-CN" w:bidi="ar-SA"/>
        </w:rPr>
        <w:t>监管部门批准的债券承销等相关资质文件的复印件（盖单位公章）</w:t>
      </w:r>
      <w:r>
        <w:rPr>
          <w:rFonts w:hint="eastAsia" w:ascii="宋体" w:hAnsi="宋体" w:cs="宋体"/>
          <w:color w:val="auto"/>
          <w:sz w:val="21"/>
          <w:szCs w:val="21"/>
          <w:highlight w:val="none"/>
          <w:lang w:eastAsia="zh-CN"/>
        </w:rPr>
        <w:t>。</w:t>
      </w:r>
    </w:p>
    <w:p w14:paraId="49E0D16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54AA2307">
      <w:pPr>
        <w:pStyle w:val="19"/>
        <w:spacing w:line="360" w:lineRule="auto"/>
        <w:ind w:firstLine="420" w:firstLineChars="200"/>
        <w:rPr>
          <w:rFonts w:hint="eastAsia" w:ascii="宋体" w:hAnsi="宋体" w:eastAsia="宋体" w:cs="宋体"/>
          <w:color w:val="auto"/>
          <w:highlight w:val="none"/>
          <w:lang w:val="en-US" w:eastAsia="zh-CN" w:bidi="ar-SA"/>
        </w:rPr>
      </w:pPr>
      <w:r>
        <w:rPr>
          <w:rFonts w:hint="eastAsia" w:hAnsi="宋体" w:cs="宋体"/>
          <w:color w:val="auto"/>
          <w:highlight w:val="none"/>
          <w:lang w:val="en-US" w:eastAsia="zh-CN" w:bidi="ar-SA"/>
        </w:rPr>
        <w:t>（1）</w:t>
      </w:r>
      <w:r>
        <w:rPr>
          <w:rFonts w:hint="eastAsia" w:ascii="宋体" w:hAnsi="宋体" w:eastAsia="宋体" w:cs="宋体"/>
          <w:color w:val="auto"/>
          <w:highlight w:val="none"/>
          <w:lang w:val="en-US" w:eastAsia="zh-CN" w:bidi="ar-SA"/>
        </w:rPr>
        <w:t>发行承销方案</w:t>
      </w:r>
    </w:p>
    <w:p w14:paraId="66068A74">
      <w:pPr>
        <w:pStyle w:val="19"/>
        <w:spacing w:line="360" w:lineRule="auto"/>
        <w:ind w:firstLine="420" w:firstLineChars="200"/>
        <w:rPr>
          <w:rFonts w:hint="eastAsia" w:ascii="宋体" w:hAnsi="宋体" w:eastAsia="宋体" w:cs="宋体"/>
          <w:color w:val="auto"/>
          <w:highlight w:val="none"/>
          <w:lang w:val="en-US" w:eastAsia="zh-CN" w:bidi="ar-SA"/>
        </w:rPr>
      </w:pPr>
      <w:r>
        <w:rPr>
          <w:rFonts w:hint="eastAsia" w:hAnsi="宋体" w:cs="宋体"/>
          <w:color w:val="auto"/>
          <w:highlight w:val="none"/>
          <w:lang w:val="en-US" w:eastAsia="zh-CN" w:bidi="ar-SA"/>
        </w:rPr>
        <w:t>（2）</w:t>
      </w:r>
      <w:r>
        <w:rPr>
          <w:rFonts w:hint="eastAsia" w:ascii="宋体" w:hAnsi="宋体" w:eastAsia="宋体" w:cs="宋体"/>
          <w:color w:val="auto"/>
          <w:highlight w:val="none"/>
          <w:lang w:val="en-US" w:eastAsia="zh-CN" w:bidi="ar-SA"/>
        </w:rPr>
        <w:t>项目负责人情况表</w:t>
      </w:r>
    </w:p>
    <w:p w14:paraId="507766E2">
      <w:pPr>
        <w:pStyle w:val="19"/>
        <w:spacing w:line="360" w:lineRule="auto"/>
        <w:ind w:firstLine="420" w:firstLineChars="200"/>
        <w:rPr>
          <w:rFonts w:hint="eastAsia" w:ascii="宋体" w:hAnsi="宋体" w:eastAsia="宋体" w:cs="宋体"/>
          <w:color w:val="auto"/>
          <w:highlight w:val="none"/>
          <w:lang w:val="en-US" w:eastAsia="zh-CN" w:bidi="ar-SA"/>
        </w:rPr>
      </w:pPr>
      <w:r>
        <w:rPr>
          <w:rFonts w:hint="eastAsia" w:hAnsi="宋体" w:cs="宋体"/>
          <w:color w:val="auto"/>
          <w:highlight w:val="none"/>
          <w:lang w:val="en-US" w:eastAsia="zh-CN" w:bidi="ar-SA"/>
        </w:rPr>
        <w:t>（3）</w:t>
      </w:r>
      <w:r>
        <w:rPr>
          <w:rFonts w:hint="eastAsia" w:ascii="宋体" w:hAnsi="宋体" w:eastAsia="宋体" w:cs="宋体"/>
          <w:color w:val="auto"/>
          <w:highlight w:val="none"/>
          <w:lang w:val="en-US" w:eastAsia="zh-CN" w:bidi="ar-SA"/>
        </w:rPr>
        <w:t>项目组人员一览表</w:t>
      </w:r>
    </w:p>
    <w:p w14:paraId="29ABDBB0">
      <w:pPr>
        <w:pStyle w:val="19"/>
        <w:spacing w:line="360" w:lineRule="auto"/>
        <w:ind w:firstLine="420" w:firstLineChars="200"/>
        <w:rPr>
          <w:rFonts w:hint="eastAsia" w:ascii="宋体" w:hAnsi="宋体" w:eastAsia="宋体" w:cs="宋体"/>
          <w:color w:val="auto"/>
          <w:highlight w:val="none"/>
          <w:lang w:val="en-US" w:eastAsia="zh-CN" w:bidi="ar-SA"/>
        </w:rPr>
      </w:pPr>
      <w:r>
        <w:rPr>
          <w:rFonts w:hint="eastAsia" w:hAnsi="宋体" w:cs="宋体"/>
          <w:color w:val="auto"/>
          <w:highlight w:val="none"/>
          <w:lang w:val="en-US" w:eastAsia="zh-CN" w:bidi="ar-SA"/>
        </w:rPr>
        <w:t>（4）</w:t>
      </w:r>
      <w:r>
        <w:rPr>
          <w:rFonts w:hint="eastAsia" w:ascii="宋体" w:hAnsi="宋体" w:eastAsia="宋体" w:cs="宋体"/>
          <w:color w:val="auto"/>
          <w:highlight w:val="none"/>
          <w:lang w:val="en-US" w:eastAsia="zh-CN" w:bidi="ar-SA"/>
        </w:rPr>
        <w:t>项目完成期限安排表</w:t>
      </w:r>
    </w:p>
    <w:p w14:paraId="6908557A">
      <w:pPr>
        <w:pStyle w:val="19"/>
        <w:spacing w:line="360" w:lineRule="auto"/>
        <w:ind w:firstLine="420" w:firstLineChars="200"/>
        <w:rPr>
          <w:rFonts w:hint="eastAsia" w:ascii="宋体" w:hAnsi="宋体" w:eastAsia="宋体" w:cs="宋体"/>
          <w:color w:val="auto"/>
          <w:highlight w:val="none"/>
          <w:lang w:val="en-US" w:eastAsia="zh-CN" w:bidi="ar-SA"/>
        </w:rPr>
      </w:pPr>
      <w:r>
        <w:rPr>
          <w:rFonts w:hint="eastAsia" w:hAnsi="宋体" w:cs="宋体"/>
          <w:color w:val="auto"/>
          <w:highlight w:val="none"/>
          <w:lang w:val="en-US" w:eastAsia="zh-CN" w:bidi="ar-SA"/>
        </w:rPr>
        <w:t>（5）</w:t>
      </w:r>
      <w:r>
        <w:rPr>
          <w:rFonts w:hint="eastAsia" w:ascii="宋体" w:hAnsi="宋体" w:eastAsia="宋体" w:cs="宋体"/>
          <w:color w:val="auto"/>
          <w:highlight w:val="none"/>
          <w:lang w:val="en-US" w:eastAsia="zh-CN" w:bidi="ar-SA"/>
        </w:rPr>
        <w:t>重要事项摘要表</w:t>
      </w:r>
    </w:p>
    <w:p w14:paraId="2C1CE99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hAnsi="宋体" w:cs="宋体"/>
          <w:color w:val="auto"/>
          <w:highlight w:val="none"/>
          <w:lang w:val="en-US" w:eastAsia="zh-CN" w:bidi="ar-SA"/>
        </w:rPr>
        <w:t>（6）</w:t>
      </w:r>
      <w:r>
        <w:rPr>
          <w:rFonts w:hint="eastAsia" w:ascii="宋体" w:hAnsi="宋体" w:eastAsia="宋体" w:cs="宋体"/>
          <w:color w:val="auto"/>
          <w:highlight w:val="none"/>
          <w:lang w:bidi="ar-SA"/>
        </w:rPr>
        <w:t>根据评审需要、招标文件要求等，投标人自行考虑需提供的资料</w:t>
      </w:r>
    </w:p>
    <w:p w14:paraId="1D419B8E">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3305313E">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6A4B55F">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1FB63034">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1FDD4137">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71AD1C9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0B511DA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631A602C">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1DB9567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67A5E4B5">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6A85D265">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07739C3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59C67B1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3E234DE3">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4255B90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0BF56605">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71E62F0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670316D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58C5BC69">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7524109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2725324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8254"/>
      <w:bookmarkStart w:id="24" w:name="_Toc274303232"/>
      <w:bookmarkStart w:id="25" w:name="_Toc27009"/>
      <w:bookmarkStart w:id="26" w:name="_Toc362250690"/>
    </w:p>
    <w:p w14:paraId="4A9E0C90">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3648"/>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404F9A0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213BF5CA">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sz w:val="21"/>
          <w:szCs w:val="21"/>
          <w:highlight w:val="none"/>
          <w:lang w:eastAsia="zh-CN"/>
        </w:rPr>
        <w:t>2026年1月23日9:00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68AA108A">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3B6D3A8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0B4097FC">
      <w:pPr>
        <w:pStyle w:val="17"/>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7E5B7DBB">
      <w:pPr>
        <w:pStyle w:val="19"/>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640D7135">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410599E4">
      <w:pPr>
        <w:pStyle w:val="19"/>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594BF78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C60762B">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7A8C9937">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7C996AA2">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6882B18B">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6D5918B7">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75B8204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173AD75C">
      <w:pPr>
        <w:pStyle w:val="3"/>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27493"/>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1A4EA455">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color w:val="auto"/>
          <w:spacing w:val="-6"/>
          <w:szCs w:val="21"/>
          <w:highlight w:val="none"/>
          <w:lang w:val="en-US" w:eastAsia="zh-CN"/>
        </w:rPr>
        <w:t>承销规模9亿*</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lang w:val="en-US" w:eastAsia="zh-CN"/>
        </w:rPr>
        <w:t>承销费率</w:t>
      </w:r>
      <w:r>
        <w:rPr>
          <w:rFonts w:hint="eastAsia" w:ascii="宋体" w:hAnsi="宋体" w:cs="宋体"/>
          <w:color w:val="auto"/>
          <w:spacing w:val="-6"/>
          <w:szCs w:val="21"/>
          <w:highlight w:val="none"/>
        </w:rPr>
        <w:t>向中标方收取。单宗招标服务费不足3000元按3000元收取。</w:t>
      </w:r>
    </w:p>
    <w:tbl>
      <w:tblPr>
        <w:tblStyle w:val="38"/>
        <w:tblW w:w="7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1FC5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top"/>
          </w:tcPr>
          <w:p w14:paraId="7835E02E">
            <w:pPr>
              <w:spacing w:line="340" w:lineRule="exact"/>
              <w:rPr>
                <w:rFonts w:hint="eastAsia" w:ascii="宋体"/>
                <w:color w:val="auto"/>
                <w:highlight w:val="none"/>
              </w:rPr>
            </w:pPr>
            <w:r>
              <w:rPr>
                <w:rFonts w:hint="eastAsia" w:ascii="宋体" w:cs="宋体"/>
                <w:color w:val="auto"/>
                <w:highlight w:val="none"/>
                <w:lang w:bidi="ar-SA"/>
              </w:rPr>
              <w:t>中标金额（万元）</w:t>
            </w:r>
          </w:p>
        </w:tc>
        <w:tc>
          <w:tcPr>
            <w:tcW w:w="1384" w:type="dxa"/>
            <w:noWrap w:val="0"/>
            <w:vAlign w:val="top"/>
          </w:tcPr>
          <w:p w14:paraId="75E6E592">
            <w:pPr>
              <w:spacing w:line="340" w:lineRule="exact"/>
              <w:rPr>
                <w:rFonts w:hint="eastAsia" w:ascii="宋体"/>
                <w:color w:val="auto"/>
                <w:highlight w:val="none"/>
              </w:rPr>
            </w:pPr>
            <w:r>
              <w:rPr>
                <w:rFonts w:hint="eastAsia" w:ascii="宋体" w:cs="宋体"/>
                <w:color w:val="auto"/>
                <w:highlight w:val="none"/>
                <w:lang w:bidi="ar-SA"/>
              </w:rPr>
              <w:t>收费标准</w:t>
            </w:r>
          </w:p>
        </w:tc>
        <w:tc>
          <w:tcPr>
            <w:tcW w:w="4048" w:type="dxa"/>
            <w:noWrap w:val="0"/>
            <w:vAlign w:val="top"/>
          </w:tcPr>
          <w:p w14:paraId="7E33FE3B">
            <w:pPr>
              <w:spacing w:line="340" w:lineRule="exact"/>
              <w:rPr>
                <w:rFonts w:hint="eastAsia" w:ascii="宋体"/>
                <w:color w:val="auto"/>
                <w:highlight w:val="none"/>
              </w:rPr>
            </w:pPr>
            <w:r>
              <w:rPr>
                <w:rFonts w:hint="eastAsia" w:ascii="宋体" w:cs="宋体"/>
                <w:color w:val="auto"/>
                <w:highlight w:val="none"/>
                <w:lang w:bidi="ar-SA"/>
              </w:rPr>
              <w:t>备注</w:t>
            </w:r>
          </w:p>
        </w:tc>
      </w:tr>
      <w:tr w14:paraId="1F04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top"/>
          </w:tcPr>
          <w:p w14:paraId="6F954DCF">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100以下</w:t>
            </w:r>
          </w:p>
        </w:tc>
        <w:tc>
          <w:tcPr>
            <w:tcW w:w="1384" w:type="dxa"/>
            <w:noWrap w:val="0"/>
            <w:vAlign w:val="top"/>
          </w:tcPr>
          <w:p w14:paraId="7042C55B">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1.5%</w:t>
            </w:r>
          </w:p>
        </w:tc>
        <w:tc>
          <w:tcPr>
            <w:tcW w:w="4048" w:type="dxa"/>
            <w:vMerge w:val="restart"/>
            <w:noWrap w:val="0"/>
            <w:vAlign w:val="center"/>
          </w:tcPr>
          <w:p w14:paraId="1443D8B0">
            <w:pPr>
              <w:spacing w:line="340" w:lineRule="exact"/>
              <w:rPr>
                <w:rFonts w:hint="eastAsia" w:ascii="宋体"/>
                <w:color w:val="auto"/>
                <w:highlight w:val="none"/>
              </w:rPr>
            </w:pPr>
            <w:r>
              <w:rPr>
                <w:rFonts w:hint="eastAsia" w:ascii="宋体" w:cs="宋体"/>
                <w:color w:val="auto"/>
                <w:highlight w:val="none"/>
                <w:lang w:bidi="ar-SA"/>
              </w:rPr>
              <w:t>招标服务费采用差额定率累进法计算，向采购方或中标方单向收取。</w:t>
            </w:r>
          </w:p>
          <w:p w14:paraId="00370D42">
            <w:pPr>
              <w:spacing w:line="340" w:lineRule="exact"/>
              <w:rPr>
                <w:rFonts w:hint="eastAsia" w:ascii="宋体"/>
                <w:color w:val="auto"/>
                <w:highlight w:val="none"/>
              </w:rPr>
            </w:pPr>
            <w:r>
              <w:rPr>
                <w:rFonts w:hint="eastAsia" w:ascii="宋体"/>
                <w:color w:val="auto"/>
                <w:highlight w:val="none"/>
              </w:rPr>
              <w:t>例：中标金额为1000万。服务费=100万×1.5%+400万×0.8%+500万×0.45%=6.95万</w:t>
            </w:r>
          </w:p>
        </w:tc>
      </w:tr>
      <w:tr w14:paraId="6BD7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top"/>
          </w:tcPr>
          <w:p w14:paraId="04DC9942">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100-500</w:t>
            </w:r>
          </w:p>
        </w:tc>
        <w:tc>
          <w:tcPr>
            <w:tcW w:w="1384" w:type="dxa"/>
            <w:noWrap w:val="0"/>
            <w:vAlign w:val="top"/>
          </w:tcPr>
          <w:p w14:paraId="3CCA69F7">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0.8%</w:t>
            </w:r>
          </w:p>
        </w:tc>
        <w:tc>
          <w:tcPr>
            <w:tcW w:w="4048" w:type="dxa"/>
            <w:vMerge w:val="continue"/>
            <w:noWrap w:val="0"/>
            <w:vAlign w:val="top"/>
          </w:tcPr>
          <w:p w14:paraId="2D708449">
            <w:pPr>
              <w:rPr>
                <w:color w:val="auto"/>
                <w:highlight w:val="none"/>
              </w:rPr>
            </w:pPr>
          </w:p>
        </w:tc>
      </w:tr>
      <w:tr w14:paraId="1D18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top"/>
          </w:tcPr>
          <w:p w14:paraId="0EF7A8B5">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500-1000</w:t>
            </w:r>
          </w:p>
        </w:tc>
        <w:tc>
          <w:tcPr>
            <w:tcW w:w="1384" w:type="dxa"/>
            <w:noWrap w:val="0"/>
            <w:vAlign w:val="top"/>
          </w:tcPr>
          <w:p w14:paraId="55D6E7C4">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0.45%</w:t>
            </w:r>
          </w:p>
        </w:tc>
        <w:tc>
          <w:tcPr>
            <w:tcW w:w="4048" w:type="dxa"/>
            <w:vMerge w:val="continue"/>
            <w:noWrap w:val="0"/>
            <w:vAlign w:val="top"/>
          </w:tcPr>
          <w:p w14:paraId="2C9CFD69">
            <w:pPr>
              <w:rPr>
                <w:color w:val="auto"/>
                <w:highlight w:val="none"/>
              </w:rPr>
            </w:pPr>
          </w:p>
        </w:tc>
      </w:tr>
      <w:tr w14:paraId="09F2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top"/>
          </w:tcPr>
          <w:p w14:paraId="6D468F09">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1000-5000</w:t>
            </w:r>
          </w:p>
        </w:tc>
        <w:tc>
          <w:tcPr>
            <w:tcW w:w="1384" w:type="dxa"/>
            <w:noWrap w:val="0"/>
            <w:vAlign w:val="top"/>
          </w:tcPr>
          <w:p w14:paraId="6C676900">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0.25%</w:t>
            </w:r>
          </w:p>
        </w:tc>
        <w:tc>
          <w:tcPr>
            <w:tcW w:w="4048" w:type="dxa"/>
            <w:vMerge w:val="continue"/>
            <w:noWrap w:val="0"/>
            <w:vAlign w:val="top"/>
          </w:tcPr>
          <w:p w14:paraId="3C2E4325">
            <w:pPr>
              <w:rPr>
                <w:color w:val="auto"/>
                <w:highlight w:val="none"/>
              </w:rPr>
            </w:pPr>
          </w:p>
        </w:tc>
      </w:tr>
      <w:tr w14:paraId="5FE9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top"/>
          </w:tcPr>
          <w:p w14:paraId="31B660CD">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5000-10000</w:t>
            </w:r>
          </w:p>
        </w:tc>
        <w:tc>
          <w:tcPr>
            <w:tcW w:w="1384" w:type="dxa"/>
            <w:noWrap w:val="0"/>
            <w:vAlign w:val="top"/>
          </w:tcPr>
          <w:p w14:paraId="67F4202D">
            <w:pPr>
              <w:spacing w:line="380" w:lineRule="exact"/>
              <w:rPr>
                <w:rFonts w:hint="eastAsia" w:ascii="宋体"/>
                <w:bCs/>
                <w:color w:val="auto"/>
                <w:kern w:val="2"/>
                <w:sz w:val="21"/>
                <w:szCs w:val="21"/>
                <w:highlight w:val="none"/>
                <w:lang w:val="en-US" w:eastAsia="zh-CN" w:bidi="ar-SA"/>
              </w:rPr>
            </w:pPr>
            <w:r>
              <w:rPr>
                <w:rFonts w:hint="eastAsia" w:ascii="宋体"/>
                <w:bCs/>
                <w:color w:val="auto"/>
                <w:szCs w:val="21"/>
                <w:highlight w:val="none"/>
              </w:rPr>
              <w:t>0.1%</w:t>
            </w:r>
          </w:p>
        </w:tc>
        <w:tc>
          <w:tcPr>
            <w:tcW w:w="4048" w:type="dxa"/>
            <w:vMerge w:val="continue"/>
            <w:noWrap w:val="0"/>
            <w:vAlign w:val="top"/>
          </w:tcPr>
          <w:p w14:paraId="5669BDC0">
            <w:pPr>
              <w:rPr>
                <w:color w:val="auto"/>
                <w:highlight w:val="none"/>
              </w:rPr>
            </w:pPr>
          </w:p>
        </w:tc>
      </w:tr>
      <w:tr w14:paraId="703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4F810A26">
            <w:pPr>
              <w:spacing w:line="340" w:lineRule="exact"/>
              <w:rPr>
                <w:rFonts w:hint="eastAsia" w:ascii="宋体"/>
                <w:color w:val="auto"/>
                <w:highlight w:val="none"/>
              </w:rPr>
            </w:pPr>
            <w:r>
              <w:rPr>
                <w:rFonts w:hint="eastAsia" w:ascii="宋体" w:cs="宋体"/>
                <w:color w:val="auto"/>
                <w:highlight w:val="none"/>
                <w:lang w:bidi="ar-SA"/>
              </w:rPr>
              <w:t>10000以上</w:t>
            </w:r>
          </w:p>
        </w:tc>
        <w:tc>
          <w:tcPr>
            <w:tcW w:w="1384" w:type="dxa"/>
            <w:noWrap w:val="0"/>
            <w:vAlign w:val="center"/>
          </w:tcPr>
          <w:p w14:paraId="6A5FECE5">
            <w:pPr>
              <w:spacing w:line="340" w:lineRule="exact"/>
              <w:rPr>
                <w:rFonts w:hint="eastAsia" w:ascii="宋体"/>
                <w:color w:val="auto"/>
                <w:highlight w:val="none"/>
              </w:rPr>
            </w:pPr>
            <w:r>
              <w:rPr>
                <w:rFonts w:hint="eastAsia" w:ascii="宋体" w:cs="宋体"/>
                <w:color w:val="auto"/>
                <w:highlight w:val="none"/>
                <w:lang w:bidi="ar-SA"/>
              </w:rPr>
              <w:t>0.05%</w:t>
            </w:r>
          </w:p>
        </w:tc>
        <w:tc>
          <w:tcPr>
            <w:tcW w:w="4048" w:type="dxa"/>
            <w:vMerge w:val="continue"/>
            <w:noWrap w:val="0"/>
            <w:vAlign w:val="top"/>
          </w:tcPr>
          <w:p w14:paraId="22A5E8E9">
            <w:pPr>
              <w:rPr>
                <w:color w:val="auto"/>
                <w:highlight w:val="none"/>
              </w:rPr>
            </w:pPr>
          </w:p>
        </w:tc>
      </w:tr>
    </w:tbl>
    <w:p w14:paraId="5829104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561E03F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银行账号名称：义乌产权交易所有限公司</w:t>
      </w:r>
    </w:p>
    <w:p w14:paraId="250A2652">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银行账号：1208020009045009586 </w:t>
      </w:r>
    </w:p>
    <w:p w14:paraId="7B5B0C4A">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4A642C24">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6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573"/>
      </w:tblGrid>
      <w:tr w14:paraId="6D4A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2129F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573" w:type="dxa"/>
            <w:noWrap w:val="0"/>
            <w:vAlign w:val="center"/>
          </w:tcPr>
          <w:p w14:paraId="21B336A4">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7BA0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6160B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3573" w:type="dxa"/>
            <w:noWrap w:val="0"/>
            <w:vAlign w:val="center"/>
          </w:tcPr>
          <w:p w14:paraId="4C69697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6A6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1BB50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3573" w:type="dxa"/>
            <w:noWrap w:val="0"/>
            <w:vAlign w:val="center"/>
          </w:tcPr>
          <w:p w14:paraId="17470C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7912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64F41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3573" w:type="dxa"/>
            <w:noWrap w:val="0"/>
            <w:vAlign w:val="center"/>
          </w:tcPr>
          <w:p w14:paraId="66151C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04FC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8D87D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3573" w:type="dxa"/>
            <w:noWrap w:val="0"/>
            <w:vAlign w:val="center"/>
          </w:tcPr>
          <w:p w14:paraId="775893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561E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51CCE1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3573" w:type="dxa"/>
            <w:noWrap w:val="0"/>
            <w:vAlign w:val="center"/>
          </w:tcPr>
          <w:p w14:paraId="6421C0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2A43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622614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3573" w:type="dxa"/>
            <w:noWrap w:val="0"/>
            <w:vAlign w:val="center"/>
          </w:tcPr>
          <w:p w14:paraId="727B93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0DB5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66737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3573" w:type="dxa"/>
            <w:noWrap w:val="0"/>
            <w:vAlign w:val="center"/>
          </w:tcPr>
          <w:p w14:paraId="387C52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4759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D4067E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3573" w:type="dxa"/>
            <w:noWrap w:val="0"/>
            <w:vAlign w:val="center"/>
          </w:tcPr>
          <w:p w14:paraId="1F9A5E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11B7C5DB">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注：1）不涉及具体金额的采购项目，中标单位收取交易服务费1000元/次；2）以上收费不包含作为投标单位</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42995FB5">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30185"/>
      <w:r>
        <w:rPr>
          <w:rFonts w:hint="eastAsia" w:ascii="宋体" w:hAnsi="宋体" w:eastAsia="宋体" w:cs="宋体"/>
          <w:color w:val="auto"/>
          <w:sz w:val="21"/>
          <w:szCs w:val="21"/>
          <w:highlight w:val="none"/>
        </w:rPr>
        <w:t>六、其它</w:t>
      </w:r>
      <w:bookmarkEnd w:id="31"/>
    </w:p>
    <w:p w14:paraId="12A12C7E">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3C0A0395">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bookmarkStart w:id="32" w:name="_Toc27832"/>
      <w:r>
        <w:rPr>
          <w:rFonts w:hint="eastAsia" w:ascii="Times New Roman" w:hAnsi="Times New Roman" w:eastAsia="宋体" w:cs="Times New Roman"/>
          <w:color w:val="auto"/>
          <w:sz w:val="36"/>
          <w:highlight w:val="none"/>
          <w:lang w:val="en-US" w:eastAsia="zh-CN"/>
        </w:rPr>
        <w:t>第三章  招标项目要求</w:t>
      </w:r>
      <w:bookmarkEnd w:id="32"/>
    </w:p>
    <w:p w14:paraId="3192468B">
      <w:pPr>
        <w:pStyle w:val="3"/>
        <w:spacing w:before="120" w:after="120" w:line="240" w:lineRule="auto"/>
        <w:ind w:firstLine="422" w:firstLineChars="200"/>
        <w:rPr>
          <w:rFonts w:hint="eastAsia" w:ascii="宋体" w:hAnsi="宋体" w:eastAsia="宋体" w:cs="宋体"/>
          <w:color w:val="auto"/>
          <w:sz w:val="21"/>
          <w:szCs w:val="21"/>
          <w:highlight w:val="none"/>
          <w:lang w:val="en-US" w:eastAsia="zh-CN"/>
        </w:rPr>
      </w:pPr>
      <w:bookmarkStart w:id="33" w:name="_Toc15533"/>
      <w:bookmarkStart w:id="34" w:name="_Toc4262"/>
      <w:bookmarkStart w:id="35" w:name="_Toc24192"/>
      <w:bookmarkStart w:id="36" w:name="_Toc7717"/>
      <w:r>
        <w:rPr>
          <w:rFonts w:hint="eastAsia" w:ascii="宋体" w:hAnsi="宋体" w:eastAsia="宋体" w:cs="宋体"/>
          <w:color w:val="auto"/>
          <w:sz w:val="21"/>
          <w:szCs w:val="21"/>
          <w:highlight w:val="none"/>
          <w:lang w:val="en-US" w:eastAsia="zh-CN"/>
        </w:rPr>
        <w:t>一、项目背景</w:t>
      </w:r>
      <w:bookmarkEnd w:id="33"/>
      <w:bookmarkEnd w:id="34"/>
      <w:bookmarkEnd w:id="35"/>
    </w:p>
    <w:p w14:paraId="32089987">
      <w:pPr>
        <w:pStyle w:val="19"/>
        <w:spacing w:line="460" w:lineRule="exact"/>
        <w:ind w:firstLine="420" w:firstLineChars="200"/>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lang w:eastAsia="zh-CN"/>
        </w:rPr>
        <w:t>依据义乌市市场发展集团有限公司债券发行计划，202</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lang w:eastAsia="zh-CN"/>
        </w:rPr>
        <w:t>年度公司拟注册申报规模不超过</w:t>
      </w:r>
      <w:r>
        <w:rPr>
          <w:rFonts w:hint="eastAsia" w:ascii="宋体" w:hAnsi="宋体" w:eastAsia="宋体" w:cs="宋体"/>
          <w:bCs/>
          <w:color w:val="auto"/>
          <w:kern w:val="2"/>
          <w:szCs w:val="21"/>
          <w:highlight w:val="none"/>
          <w:lang w:val="en-US" w:eastAsia="zh-CN"/>
        </w:rPr>
        <w:t>9</w:t>
      </w:r>
      <w:r>
        <w:rPr>
          <w:rFonts w:hint="eastAsia" w:ascii="宋体" w:hAnsi="宋体" w:eastAsia="宋体" w:cs="宋体"/>
          <w:bCs/>
          <w:color w:val="auto"/>
          <w:kern w:val="2"/>
          <w:szCs w:val="21"/>
          <w:highlight w:val="none"/>
          <w:lang w:eastAsia="zh-CN"/>
        </w:rPr>
        <w:t>亿元（含）中期票据项目。上述项目需确定一家主承销商。现决定通过</w:t>
      </w:r>
      <w:r>
        <w:rPr>
          <w:rFonts w:hint="eastAsia" w:hAnsi="宋体" w:cs="宋体"/>
          <w:bCs/>
          <w:color w:val="auto"/>
          <w:kern w:val="2"/>
          <w:szCs w:val="21"/>
          <w:highlight w:val="none"/>
          <w:lang w:val="en-US" w:eastAsia="zh-CN"/>
        </w:rPr>
        <w:t>公开招标</w:t>
      </w:r>
      <w:r>
        <w:rPr>
          <w:rFonts w:hint="eastAsia" w:ascii="宋体" w:hAnsi="宋体" w:eastAsia="宋体" w:cs="宋体"/>
          <w:bCs/>
          <w:color w:val="auto"/>
          <w:kern w:val="2"/>
          <w:szCs w:val="21"/>
          <w:highlight w:val="none"/>
          <w:lang w:eastAsia="zh-CN"/>
        </w:rPr>
        <w:t>方式确定</w:t>
      </w:r>
      <w:r>
        <w:rPr>
          <w:rFonts w:hint="eastAsia" w:hAnsi="宋体" w:cs="宋体"/>
          <w:bCs/>
          <w:color w:val="auto"/>
          <w:kern w:val="2"/>
          <w:szCs w:val="21"/>
          <w:highlight w:val="none"/>
          <w:lang w:val="en-US" w:eastAsia="zh-CN"/>
        </w:rPr>
        <w:t>本</w:t>
      </w:r>
      <w:r>
        <w:rPr>
          <w:rFonts w:hint="eastAsia" w:ascii="宋体" w:hAnsi="宋体" w:eastAsia="宋体" w:cs="宋体"/>
          <w:bCs/>
          <w:color w:val="auto"/>
          <w:kern w:val="2"/>
          <w:szCs w:val="21"/>
          <w:highlight w:val="none"/>
          <w:lang w:eastAsia="zh-CN"/>
        </w:rPr>
        <w:t>项目的主承销商。</w:t>
      </w:r>
    </w:p>
    <w:p w14:paraId="4092AC5F">
      <w:pPr>
        <w:pStyle w:val="3"/>
        <w:spacing w:before="120" w:after="120" w:line="240" w:lineRule="auto"/>
        <w:ind w:firstLine="422" w:firstLineChars="200"/>
        <w:rPr>
          <w:rFonts w:hint="eastAsia" w:ascii="宋体" w:hAnsi="宋体" w:eastAsia="宋体" w:cs="宋体"/>
          <w:color w:val="auto"/>
          <w:sz w:val="21"/>
          <w:szCs w:val="21"/>
          <w:highlight w:val="none"/>
          <w:lang w:val="en-US" w:eastAsia="zh-CN"/>
        </w:rPr>
      </w:pPr>
      <w:bookmarkStart w:id="37" w:name="_Toc15130"/>
      <w:bookmarkStart w:id="38" w:name="_Toc27001"/>
      <w:bookmarkStart w:id="39" w:name="_Toc14935"/>
      <w:r>
        <w:rPr>
          <w:rFonts w:hint="eastAsia" w:ascii="宋体" w:hAnsi="宋体" w:eastAsia="宋体" w:cs="宋体"/>
          <w:color w:val="auto"/>
          <w:sz w:val="21"/>
          <w:szCs w:val="21"/>
          <w:highlight w:val="none"/>
          <w:lang w:val="en-US" w:eastAsia="zh-CN"/>
        </w:rPr>
        <w:t>二、具体内容</w:t>
      </w:r>
      <w:bookmarkEnd w:id="37"/>
      <w:bookmarkEnd w:id="38"/>
      <w:bookmarkEnd w:id="39"/>
    </w:p>
    <w:tbl>
      <w:tblPr>
        <w:tblStyle w:val="38"/>
        <w:tblW w:w="8632" w:type="dxa"/>
        <w:jc w:val="center"/>
        <w:tblBorders>
          <w:top w:val="thinThickSmallGap" w:color="1F497D" w:sz="24" w:space="0"/>
          <w:left w:val="none" w:color="auto" w:sz="0" w:space="0"/>
          <w:bottom w:val="thinThickSmallGap" w:color="1F497D" w:sz="24" w:space="0"/>
          <w:right w:val="none" w:color="auto" w:sz="0" w:space="0"/>
          <w:insideH w:val="single" w:color="1F497D" w:sz="8" w:space="0"/>
          <w:insideV w:val="single" w:color="1F497D" w:sz="8" w:space="0"/>
        </w:tblBorders>
        <w:tblLayout w:type="fixed"/>
        <w:tblCellMar>
          <w:top w:w="0" w:type="dxa"/>
          <w:left w:w="108" w:type="dxa"/>
          <w:bottom w:w="0" w:type="dxa"/>
          <w:right w:w="108" w:type="dxa"/>
        </w:tblCellMar>
      </w:tblPr>
      <w:tblGrid>
        <w:gridCol w:w="1970"/>
        <w:gridCol w:w="6662"/>
      </w:tblGrid>
      <w:tr w14:paraId="1871CBFC">
        <w:tblPrEx>
          <w:tblBorders>
            <w:top w:val="thinThickSmallGap" w:color="1F497D" w:sz="24" w:space="0"/>
            <w:left w:val="none" w:color="auto" w:sz="0" w:space="0"/>
            <w:bottom w:val="thinThickSmallGap" w:color="1F497D" w:sz="24" w:space="0"/>
            <w:right w:val="none" w:color="auto" w:sz="0" w:space="0"/>
            <w:insideH w:val="single" w:color="1F497D" w:sz="8" w:space="0"/>
            <w:insideV w:val="single" w:color="1F497D" w:sz="8" w:space="0"/>
          </w:tblBorders>
          <w:tblCellMar>
            <w:top w:w="0" w:type="dxa"/>
            <w:left w:w="108" w:type="dxa"/>
            <w:bottom w:w="0" w:type="dxa"/>
            <w:right w:w="108" w:type="dxa"/>
          </w:tblCellMar>
        </w:tblPrEx>
        <w:trPr>
          <w:trHeight w:val="397" w:hRule="atLeast"/>
          <w:jc w:val="center"/>
        </w:trPr>
        <w:tc>
          <w:tcPr>
            <w:tcW w:w="1970" w:type="dxa"/>
            <w:tcBorders>
              <w:right w:val="single" w:color="auto" w:sz="4" w:space="0"/>
            </w:tcBorders>
            <w:vAlign w:val="center"/>
          </w:tcPr>
          <w:p w14:paraId="060B77FC">
            <w:pPr>
              <w:ind w:firstLine="663" w:firstLineChars="275"/>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发行人</w:t>
            </w:r>
          </w:p>
        </w:tc>
        <w:tc>
          <w:tcPr>
            <w:tcW w:w="6662" w:type="dxa"/>
            <w:tcBorders>
              <w:left w:val="single" w:color="auto" w:sz="4" w:space="0"/>
            </w:tcBorders>
            <w:vAlign w:val="center"/>
          </w:tcPr>
          <w:p w14:paraId="491CDE6C">
            <w:pPr>
              <w:ind w:firstLine="42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义乌市市场发展集团有限公司</w:t>
            </w:r>
          </w:p>
        </w:tc>
      </w:tr>
      <w:tr w14:paraId="42211A34">
        <w:tblPrEx>
          <w:tblBorders>
            <w:top w:val="thinThickSmallGap" w:color="1F497D" w:sz="24" w:space="0"/>
            <w:left w:val="none" w:color="auto" w:sz="0" w:space="0"/>
            <w:bottom w:val="thinThickSmallGap" w:color="1F497D" w:sz="24" w:space="0"/>
            <w:right w:val="none" w:color="auto" w:sz="0" w:space="0"/>
            <w:insideH w:val="single" w:color="1F497D" w:sz="8" w:space="0"/>
            <w:insideV w:val="single" w:color="1F497D" w:sz="8" w:space="0"/>
          </w:tblBorders>
          <w:tblCellMar>
            <w:top w:w="0" w:type="dxa"/>
            <w:left w:w="108" w:type="dxa"/>
            <w:bottom w:w="0" w:type="dxa"/>
            <w:right w:w="108" w:type="dxa"/>
          </w:tblCellMar>
        </w:tblPrEx>
        <w:trPr>
          <w:trHeight w:val="397" w:hRule="atLeast"/>
          <w:jc w:val="center"/>
        </w:trPr>
        <w:tc>
          <w:tcPr>
            <w:tcW w:w="1970" w:type="dxa"/>
            <w:tcBorders>
              <w:right w:val="single" w:color="auto" w:sz="4" w:space="0"/>
            </w:tcBorders>
            <w:vAlign w:val="center"/>
          </w:tcPr>
          <w:p w14:paraId="3E66DBBB">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产品类型</w:t>
            </w:r>
          </w:p>
        </w:tc>
        <w:tc>
          <w:tcPr>
            <w:tcW w:w="6662" w:type="dxa"/>
            <w:tcBorders>
              <w:left w:val="single" w:color="auto" w:sz="4" w:space="0"/>
            </w:tcBorders>
            <w:vAlign w:val="center"/>
          </w:tcPr>
          <w:p w14:paraId="47D0F153">
            <w:pPr>
              <w:ind w:firstLine="42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中期票据</w:t>
            </w:r>
          </w:p>
        </w:tc>
      </w:tr>
      <w:tr w14:paraId="0DBAE72F">
        <w:tblPrEx>
          <w:tblBorders>
            <w:top w:val="thinThickSmallGap" w:color="1F497D" w:sz="24" w:space="0"/>
            <w:left w:val="none" w:color="auto" w:sz="0" w:space="0"/>
            <w:bottom w:val="thinThickSmallGap" w:color="1F497D" w:sz="24" w:space="0"/>
            <w:right w:val="none" w:color="auto" w:sz="0" w:space="0"/>
            <w:insideH w:val="single" w:color="1F497D" w:sz="8" w:space="0"/>
            <w:insideV w:val="single" w:color="1F497D" w:sz="8" w:space="0"/>
          </w:tblBorders>
          <w:tblCellMar>
            <w:top w:w="0" w:type="dxa"/>
            <w:left w:w="108" w:type="dxa"/>
            <w:bottom w:w="0" w:type="dxa"/>
            <w:right w:w="108" w:type="dxa"/>
          </w:tblCellMar>
        </w:tblPrEx>
        <w:trPr>
          <w:trHeight w:val="397" w:hRule="atLeast"/>
          <w:jc w:val="center"/>
        </w:trPr>
        <w:tc>
          <w:tcPr>
            <w:tcW w:w="1970" w:type="dxa"/>
            <w:tcBorders>
              <w:right w:val="single" w:color="auto" w:sz="4" w:space="0"/>
            </w:tcBorders>
            <w:vAlign w:val="center"/>
          </w:tcPr>
          <w:p w14:paraId="20390F0E">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发行规模</w:t>
            </w:r>
          </w:p>
        </w:tc>
        <w:tc>
          <w:tcPr>
            <w:tcW w:w="6662" w:type="dxa"/>
            <w:tcBorders>
              <w:left w:val="single" w:color="auto" w:sz="4" w:space="0"/>
            </w:tcBorders>
            <w:vAlign w:val="center"/>
          </w:tcPr>
          <w:p w14:paraId="4862004A">
            <w:pPr>
              <w:spacing w:line="400" w:lineRule="exact"/>
              <w:ind w:firstLine="4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不超过</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亿元（含）</w:t>
            </w:r>
          </w:p>
        </w:tc>
      </w:tr>
      <w:tr w14:paraId="5FBEAA25">
        <w:tblPrEx>
          <w:tblBorders>
            <w:top w:val="thinThickSmallGap" w:color="1F497D" w:sz="24" w:space="0"/>
            <w:left w:val="none" w:color="auto" w:sz="0" w:space="0"/>
            <w:bottom w:val="thinThickSmallGap" w:color="1F497D" w:sz="24" w:space="0"/>
            <w:right w:val="none" w:color="auto" w:sz="0" w:space="0"/>
            <w:insideH w:val="single" w:color="1F497D" w:sz="8" w:space="0"/>
            <w:insideV w:val="single" w:color="1F497D" w:sz="8" w:space="0"/>
          </w:tblBorders>
          <w:tblCellMar>
            <w:top w:w="0" w:type="dxa"/>
            <w:left w:w="108" w:type="dxa"/>
            <w:bottom w:w="0" w:type="dxa"/>
            <w:right w:w="108" w:type="dxa"/>
          </w:tblCellMar>
        </w:tblPrEx>
        <w:trPr>
          <w:trHeight w:val="90" w:hRule="atLeast"/>
          <w:jc w:val="center"/>
        </w:trPr>
        <w:tc>
          <w:tcPr>
            <w:tcW w:w="1970" w:type="dxa"/>
            <w:tcBorders>
              <w:right w:val="single" w:color="auto" w:sz="4" w:space="0"/>
            </w:tcBorders>
            <w:vAlign w:val="center"/>
          </w:tcPr>
          <w:p w14:paraId="627A74FB">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募集资金用途</w:t>
            </w:r>
          </w:p>
        </w:tc>
        <w:tc>
          <w:tcPr>
            <w:tcW w:w="6662" w:type="dxa"/>
            <w:tcBorders>
              <w:left w:val="single" w:color="auto" w:sz="4" w:space="0"/>
            </w:tcBorders>
            <w:vAlign w:val="center"/>
          </w:tcPr>
          <w:p w14:paraId="18EC4E50">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拟用于偿还公司有息债务和/或补充营运资金</w:t>
            </w:r>
          </w:p>
        </w:tc>
      </w:tr>
      <w:tr w14:paraId="08C42E11">
        <w:tblPrEx>
          <w:tblBorders>
            <w:top w:val="thinThickSmallGap" w:color="1F497D" w:sz="24" w:space="0"/>
            <w:left w:val="none" w:color="auto" w:sz="0" w:space="0"/>
            <w:bottom w:val="thinThickSmallGap" w:color="1F497D" w:sz="24" w:space="0"/>
            <w:right w:val="none" w:color="auto" w:sz="0" w:space="0"/>
            <w:insideH w:val="single" w:color="1F497D" w:sz="8" w:space="0"/>
            <w:insideV w:val="single" w:color="1F497D" w:sz="8" w:space="0"/>
          </w:tblBorders>
          <w:tblCellMar>
            <w:top w:w="0" w:type="dxa"/>
            <w:left w:w="108" w:type="dxa"/>
            <w:bottom w:w="0" w:type="dxa"/>
            <w:right w:w="108" w:type="dxa"/>
          </w:tblCellMar>
        </w:tblPrEx>
        <w:trPr>
          <w:trHeight w:val="397" w:hRule="atLeast"/>
          <w:jc w:val="center"/>
        </w:trPr>
        <w:tc>
          <w:tcPr>
            <w:tcW w:w="1970" w:type="dxa"/>
            <w:tcBorders>
              <w:right w:val="single" w:color="auto" w:sz="4" w:space="0"/>
            </w:tcBorders>
            <w:vAlign w:val="center"/>
          </w:tcPr>
          <w:p w14:paraId="7C4351EC">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债券期限</w:t>
            </w:r>
          </w:p>
        </w:tc>
        <w:tc>
          <w:tcPr>
            <w:tcW w:w="6662" w:type="dxa"/>
            <w:tcBorders>
              <w:left w:val="single" w:color="auto" w:sz="4" w:space="0"/>
            </w:tcBorders>
            <w:vAlign w:val="center"/>
          </w:tcPr>
          <w:p w14:paraId="65A85BBF">
            <w:pPr>
              <w:spacing w:line="400" w:lineRule="exact"/>
              <w:ind w:firstLine="4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不超过5年（含）</w:t>
            </w:r>
          </w:p>
        </w:tc>
      </w:tr>
      <w:tr w14:paraId="2BBD37B2">
        <w:tblPrEx>
          <w:tblBorders>
            <w:top w:val="thinThickSmallGap" w:color="1F497D" w:sz="24" w:space="0"/>
            <w:left w:val="none" w:color="auto" w:sz="0" w:space="0"/>
            <w:bottom w:val="thinThickSmallGap" w:color="1F497D" w:sz="24" w:space="0"/>
            <w:right w:val="none" w:color="auto" w:sz="0" w:space="0"/>
            <w:insideH w:val="single" w:color="1F497D" w:sz="8" w:space="0"/>
            <w:insideV w:val="single" w:color="1F497D" w:sz="8" w:space="0"/>
          </w:tblBorders>
          <w:tblCellMar>
            <w:top w:w="0" w:type="dxa"/>
            <w:left w:w="108" w:type="dxa"/>
            <w:bottom w:w="0" w:type="dxa"/>
            <w:right w:w="108" w:type="dxa"/>
          </w:tblCellMar>
        </w:tblPrEx>
        <w:trPr>
          <w:trHeight w:val="397" w:hRule="atLeast"/>
          <w:jc w:val="center"/>
        </w:trPr>
        <w:tc>
          <w:tcPr>
            <w:tcW w:w="1970" w:type="dxa"/>
            <w:tcBorders>
              <w:right w:val="single" w:color="auto" w:sz="4" w:space="0"/>
            </w:tcBorders>
            <w:vAlign w:val="center"/>
          </w:tcPr>
          <w:p w14:paraId="60D61248">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信用评级</w:t>
            </w:r>
          </w:p>
        </w:tc>
        <w:tc>
          <w:tcPr>
            <w:tcW w:w="6662" w:type="dxa"/>
            <w:tcBorders>
              <w:left w:val="single" w:color="auto" w:sz="4" w:space="0"/>
            </w:tcBorders>
            <w:vAlign w:val="center"/>
          </w:tcPr>
          <w:p w14:paraId="7A96A7DD">
            <w:pPr>
              <w:spacing w:line="400" w:lineRule="exact"/>
              <w:ind w:firstLine="42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主体评级AA</w:t>
            </w:r>
            <w:r>
              <w:rPr>
                <w:rFonts w:hint="eastAsia" w:ascii="仿宋" w:hAnsi="仿宋" w:eastAsia="仿宋" w:cs="仿宋"/>
                <w:color w:val="auto"/>
                <w:sz w:val="24"/>
                <w:highlight w:val="none"/>
                <w:lang w:val="en-US" w:eastAsia="zh-CN"/>
              </w:rPr>
              <w:t>A</w:t>
            </w:r>
            <w:r>
              <w:rPr>
                <w:rFonts w:hint="eastAsia" w:ascii="仿宋" w:hAnsi="仿宋" w:eastAsia="仿宋" w:cs="仿宋"/>
                <w:color w:val="auto"/>
                <w:sz w:val="24"/>
                <w:highlight w:val="none"/>
              </w:rPr>
              <w:t>，债项评级AA</w:t>
            </w:r>
            <w:r>
              <w:rPr>
                <w:rFonts w:hint="eastAsia" w:ascii="仿宋" w:hAnsi="仿宋" w:eastAsia="仿宋" w:cs="仿宋"/>
                <w:color w:val="auto"/>
                <w:sz w:val="24"/>
                <w:highlight w:val="none"/>
                <w:lang w:val="en-US" w:eastAsia="zh-CN"/>
              </w:rPr>
              <w:t>A</w:t>
            </w:r>
          </w:p>
        </w:tc>
      </w:tr>
      <w:tr w14:paraId="61B90E92">
        <w:tblPrEx>
          <w:tblBorders>
            <w:top w:val="thinThickSmallGap" w:color="1F497D" w:sz="24" w:space="0"/>
            <w:left w:val="none" w:color="auto" w:sz="0" w:space="0"/>
            <w:bottom w:val="thinThickSmallGap" w:color="1F497D" w:sz="24" w:space="0"/>
            <w:right w:val="none" w:color="auto" w:sz="0" w:space="0"/>
            <w:insideH w:val="single" w:color="1F497D" w:sz="8" w:space="0"/>
            <w:insideV w:val="single" w:color="1F497D" w:sz="8" w:space="0"/>
          </w:tblBorders>
          <w:tblCellMar>
            <w:top w:w="0" w:type="dxa"/>
            <w:left w:w="108" w:type="dxa"/>
            <w:bottom w:w="0" w:type="dxa"/>
            <w:right w:w="108" w:type="dxa"/>
          </w:tblCellMar>
        </w:tblPrEx>
        <w:trPr>
          <w:trHeight w:val="397" w:hRule="atLeast"/>
          <w:jc w:val="center"/>
        </w:trPr>
        <w:tc>
          <w:tcPr>
            <w:tcW w:w="1970" w:type="dxa"/>
            <w:tcBorders>
              <w:right w:val="single" w:color="auto" w:sz="4" w:space="0"/>
            </w:tcBorders>
            <w:vAlign w:val="center"/>
          </w:tcPr>
          <w:p w14:paraId="15599A9A">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交易场所</w:t>
            </w:r>
          </w:p>
        </w:tc>
        <w:tc>
          <w:tcPr>
            <w:tcW w:w="6662" w:type="dxa"/>
            <w:tcBorders>
              <w:left w:val="single" w:color="auto" w:sz="4" w:space="0"/>
            </w:tcBorders>
            <w:vAlign w:val="center"/>
          </w:tcPr>
          <w:p w14:paraId="4F85BBCD">
            <w:pPr>
              <w:spacing w:line="400" w:lineRule="exact"/>
              <w:ind w:firstLine="42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银行间交易商协会</w:t>
            </w:r>
          </w:p>
        </w:tc>
      </w:tr>
    </w:tbl>
    <w:p w14:paraId="3BFAEDB2">
      <w:pPr>
        <w:pStyle w:val="19"/>
        <w:spacing w:line="460" w:lineRule="exact"/>
        <w:ind w:firstLine="420" w:firstLineChars="200"/>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lang w:eastAsia="zh-CN"/>
        </w:rPr>
        <w:t>根据中国银行间市场交易商协会7月30日发布的《关于规范银行间债券市场簿记建档发行及承销有关工作的通知（中市协发〔2025〕146号）》，结合公司实际，</w:t>
      </w:r>
      <w:r>
        <w:rPr>
          <w:rFonts w:hint="eastAsia" w:hAnsi="宋体" w:cs="宋体"/>
          <w:bCs/>
          <w:color w:val="auto"/>
          <w:kern w:val="2"/>
          <w:szCs w:val="21"/>
          <w:highlight w:val="none"/>
          <w:lang w:val="en-US" w:eastAsia="zh-CN"/>
        </w:rPr>
        <w:t>中标单位</w:t>
      </w:r>
      <w:r>
        <w:rPr>
          <w:rFonts w:hint="eastAsia" w:ascii="宋体" w:hAnsi="宋体" w:eastAsia="宋体" w:cs="宋体"/>
          <w:bCs/>
          <w:color w:val="auto"/>
          <w:kern w:val="2"/>
          <w:szCs w:val="21"/>
          <w:highlight w:val="none"/>
          <w:lang w:eastAsia="zh-CN"/>
        </w:rPr>
        <w:t>承销方案如下：</w:t>
      </w:r>
    </w:p>
    <w:p w14:paraId="1356946A">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（一）担当本次招标项目承销商的职责和义务如下：</w:t>
      </w:r>
    </w:p>
    <w:p w14:paraId="3699AE68">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1、策划招标人发行债券承销的前期准备工作；</w:t>
      </w:r>
    </w:p>
    <w:p w14:paraId="1C9B2F94">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2、协调各中介机构，快速、高质量的完成相关工作；</w:t>
      </w:r>
    </w:p>
    <w:p w14:paraId="4B43AF52">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3、设计切实可行的发行方案； </w:t>
      </w:r>
    </w:p>
    <w:p w14:paraId="6F92FEED">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4、制作全套发行申请材料；</w:t>
      </w:r>
    </w:p>
    <w:p w14:paraId="3CCADC76">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5、协助招标人与主管部门进行沟通；</w:t>
      </w:r>
    </w:p>
    <w:p w14:paraId="403337B9">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6、组建承销团，领导承销团成员共同完成债券承销发行工作；</w:t>
      </w:r>
    </w:p>
    <w:p w14:paraId="407D6B3E">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7、协助招标人完成债券承销的登记托管工作；</w:t>
      </w:r>
    </w:p>
    <w:p w14:paraId="49E140BB">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8、协助招标人完成发行后信息披露工作；</w:t>
      </w:r>
    </w:p>
    <w:p w14:paraId="2D4931E4">
      <w:pPr>
        <w:spacing w:line="360" w:lineRule="auto"/>
        <w:ind w:right="-21" w:rightChars="-1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9、协助招标人完成发行后还本付息工作；</w:t>
      </w:r>
    </w:p>
    <w:p w14:paraId="3ABD465D">
      <w:pPr>
        <w:pStyle w:val="19"/>
        <w:spacing w:line="460" w:lineRule="exact"/>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10、其他应当由主承销商完成的合理工作。</w:t>
      </w:r>
    </w:p>
    <w:p w14:paraId="649CA217">
      <w:pPr>
        <w:pStyle w:val="19"/>
        <w:spacing w:line="460" w:lineRule="exact"/>
        <w:ind w:firstLine="420" w:firstLineChars="200"/>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lang w:eastAsia="zh-CN"/>
        </w:rPr>
        <w:t>（</w:t>
      </w:r>
      <w:r>
        <w:rPr>
          <w:rFonts w:hint="eastAsia" w:hAnsi="宋体" w:cs="宋体"/>
          <w:bCs/>
          <w:color w:val="auto"/>
          <w:kern w:val="2"/>
          <w:szCs w:val="21"/>
          <w:highlight w:val="none"/>
          <w:lang w:val="en-US" w:eastAsia="zh-CN"/>
        </w:rPr>
        <w:t>二</w:t>
      </w:r>
      <w:r>
        <w:rPr>
          <w:rFonts w:hint="eastAsia" w:ascii="宋体" w:hAnsi="宋体" w:eastAsia="宋体" w:cs="宋体"/>
          <w:bCs/>
          <w:color w:val="auto"/>
          <w:kern w:val="2"/>
          <w:szCs w:val="21"/>
          <w:highlight w:val="none"/>
          <w:lang w:eastAsia="zh-CN"/>
        </w:rPr>
        <w:t>）</w:t>
      </w:r>
      <w:r>
        <w:rPr>
          <w:rFonts w:hint="eastAsia" w:hAnsi="宋体" w:cs="宋体"/>
          <w:bCs/>
          <w:color w:val="auto"/>
          <w:kern w:val="2"/>
          <w:szCs w:val="21"/>
          <w:highlight w:val="none"/>
          <w:lang w:val="en-US" w:eastAsia="zh-CN"/>
        </w:rPr>
        <w:t>主承销商</w:t>
      </w:r>
      <w:r>
        <w:rPr>
          <w:rFonts w:hint="eastAsia" w:ascii="宋体" w:hAnsi="宋体" w:eastAsia="宋体" w:cs="宋体"/>
          <w:bCs/>
          <w:color w:val="auto"/>
          <w:kern w:val="2"/>
          <w:szCs w:val="21"/>
          <w:highlight w:val="none"/>
          <w:lang w:eastAsia="zh-CN"/>
        </w:rPr>
        <w:t>的确定</w:t>
      </w:r>
    </w:p>
    <w:p w14:paraId="0AA01C7D">
      <w:pPr>
        <w:pStyle w:val="19"/>
        <w:spacing w:line="460" w:lineRule="exact"/>
        <w:ind w:firstLine="420" w:firstLineChars="200"/>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lang w:eastAsia="zh-CN"/>
        </w:rPr>
        <w:t>根据中国银行间市场交易商协会的最新要求，单期发行规模在20亿以下的，主承销商不得超过2家。</w:t>
      </w:r>
      <w:bookmarkStart w:id="40" w:name="_Toc17143"/>
      <w:bookmarkStart w:id="41" w:name="_Toc25549"/>
    </w:p>
    <w:p w14:paraId="43B15CA0">
      <w:pPr>
        <w:pStyle w:val="3"/>
        <w:spacing w:before="120" w:after="120" w:line="240" w:lineRule="auto"/>
        <w:ind w:firstLine="422" w:firstLineChars="200"/>
        <w:rPr>
          <w:rFonts w:hint="eastAsia" w:ascii="宋体" w:hAnsi="宋体" w:eastAsia="宋体" w:cs="宋体"/>
          <w:color w:val="auto"/>
          <w:sz w:val="21"/>
          <w:szCs w:val="21"/>
          <w:highlight w:val="none"/>
          <w:lang w:val="en-US" w:eastAsia="zh-CN"/>
        </w:rPr>
      </w:pPr>
      <w:bookmarkStart w:id="42" w:name="_Toc14362"/>
      <w:r>
        <w:rPr>
          <w:rFonts w:hint="eastAsia" w:ascii="宋体" w:hAnsi="宋体" w:eastAsia="宋体" w:cs="宋体"/>
          <w:color w:val="auto"/>
          <w:sz w:val="21"/>
          <w:szCs w:val="21"/>
          <w:highlight w:val="none"/>
          <w:lang w:val="en-US" w:eastAsia="zh-CN"/>
        </w:rPr>
        <w:t>三、其他要求</w:t>
      </w:r>
      <w:bookmarkEnd w:id="40"/>
      <w:bookmarkEnd w:id="41"/>
      <w:bookmarkEnd w:id="42"/>
    </w:p>
    <w:p w14:paraId="0E804B2F">
      <w:pPr>
        <w:pStyle w:val="19"/>
        <w:spacing w:line="460" w:lineRule="exact"/>
        <w:ind w:firstLine="420" w:firstLineChars="200"/>
        <w:rPr>
          <w:rFonts w:hint="eastAsia" w:ascii="宋体" w:hAnsi="宋体" w:eastAsia="宋体" w:cs="宋体"/>
          <w:bCs/>
          <w:color w:val="auto"/>
          <w:kern w:val="2"/>
          <w:szCs w:val="21"/>
          <w:highlight w:val="none"/>
          <w:lang w:val="en-US" w:eastAsia="zh-CN"/>
        </w:rPr>
      </w:pPr>
      <w:r>
        <w:rPr>
          <w:rFonts w:hint="eastAsia" w:ascii="宋体" w:hAnsi="宋体" w:eastAsia="宋体" w:cs="宋体"/>
          <w:bCs/>
          <w:color w:val="auto"/>
          <w:kern w:val="2"/>
          <w:szCs w:val="21"/>
          <w:highlight w:val="none"/>
          <w:lang w:eastAsia="zh-CN"/>
        </w:rPr>
        <w:t>各中选承销商需投入必要且充分的资源对发行人提供的信息进行审慎核查检验，并独立负责对募集说明书及其他发行文件的最终编制和审核以确保发行文件表述严谨，内容完整真实准确，避免各类形式的错误。</w:t>
      </w:r>
    </w:p>
    <w:p w14:paraId="384F28ED">
      <w:pPr>
        <w:pStyle w:val="3"/>
        <w:spacing w:before="120" w:after="120" w:line="240" w:lineRule="auto"/>
        <w:ind w:firstLine="422" w:firstLineChars="200"/>
        <w:rPr>
          <w:rFonts w:hint="eastAsia" w:ascii="宋体" w:hAnsi="宋体" w:eastAsia="宋体" w:cs="宋体"/>
          <w:color w:val="auto"/>
          <w:sz w:val="21"/>
          <w:szCs w:val="21"/>
          <w:highlight w:val="none"/>
          <w:lang w:val="en-US" w:eastAsia="zh-CN"/>
        </w:rPr>
      </w:pPr>
      <w:bookmarkStart w:id="43" w:name="_Toc12513"/>
      <w:bookmarkStart w:id="44" w:name="_Toc15918"/>
      <w:bookmarkStart w:id="45" w:name="_Toc3098"/>
      <w:r>
        <w:rPr>
          <w:rFonts w:hint="eastAsia" w:ascii="宋体" w:hAnsi="宋体" w:eastAsia="宋体" w:cs="宋体"/>
          <w:color w:val="auto"/>
          <w:sz w:val="21"/>
          <w:szCs w:val="21"/>
          <w:highlight w:val="none"/>
          <w:lang w:val="en-US" w:eastAsia="zh-CN"/>
        </w:rPr>
        <w:t>四、</w:t>
      </w:r>
      <w:bookmarkEnd w:id="43"/>
      <w:bookmarkEnd w:id="44"/>
      <w:bookmarkStart w:id="46" w:name="_Toc3151"/>
      <w:bookmarkStart w:id="47" w:name="_Toc11136"/>
      <w:r>
        <w:rPr>
          <w:rFonts w:hint="eastAsia" w:ascii="宋体" w:hAnsi="宋体" w:eastAsia="宋体" w:cs="宋体"/>
          <w:color w:val="auto"/>
          <w:sz w:val="21"/>
          <w:szCs w:val="21"/>
          <w:highlight w:val="none"/>
          <w:lang w:val="en-US" w:eastAsia="zh-CN"/>
        </w:rPr>
        <w:t>其他与本项目实施有关的要求见合同条款</w:t>
      </w:r>
      <w:bookmarkEnd w:id="45"/>
      <w:bookmarkEnd w:id="46"/>
      <w:bookmarkEnd w:id="47"/>
    </w:p>
    <w:p w14:paraId="1C1EA8F7">
      <w:pPr>
        <w:pStyle w:val="3"/>
        <w:spacing w:before="120" w:after="120" w:line="240" w:lineRule="auto"/>
        <w:ind w:firstLine="422" w:firstLineChars="200"/>
        <w:rPr>
          <w:rFonts w:hint="eastAsia" w:ascii="宋体" w:hAnsi="宋体" w:eastAsia="宋体" w:cs="宋体"/>
          <w:color w:val="auto"/>
          <w:sz w:val="21"/>
          <w:szCs w:val="21"/>
          <w:highlight w:val="none"/>
        </w:rPr>
      </w:pPr>
      <w:bookmarkStart w:id="48" w:name="_Toc11751"/>
      <w:bookmarkStart w:id="49" w:name="_Toc11996"/>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、商务要求</w:t>
      </w:r>
      <w:bookmarkEnd w:id="48"/>
      <w:bookmarkEnd w:id="49"/>
    </w:p>
    <w:p w14:paraId="64610FA9">
      <w:pPr>
        <w:spacing w:line="360" w:lineRule="auto"/>
        <w:ind w:firstLine="422" w:firstLineChars="200"/>
        <w:outlineLvl w:val="2"/>
        <w:rPr>
          <w:rFonts w:hint="eastAsia" w:ascii="宋体" w:hAnsi="宋体" w:cs="宋体"/>
          <w:b/>
          <w:bCs/>
          <w:color w:val="auto"/>
          <w:szCs w:val="21"/>
          <w:highlight w:val="none"/>
        </w:rPr>
      </w:pPr>
      <w:r>
        <w:rPr>
          <w:rFonts w:hint="eastAsia" w:ascii="宋体" w:hAnsi="宋体" w:cs="宋体"/>
          <w:b/>
          <w:bCs/>
          <w:color w:val="auto"/>
          <w:szCs w:val="21"/>
          <w:highlight w:val="none"/>
        </w:rPr>
        <w:t>（一）项目投标报价要求</w:t>
      </w:r>
    </w:p>
    <w:p w14:paraId="449FA30A">
      <w:pPr>
        <w:keepNext w:val="0"/>
        <w:keepLines w:val="0"/>
        <w:widowControl w:val="0"/>
        <w:suppressLineNumbers w:val="0"/>
        <w:shd w:val="clear" w:color="auto" w:fill="auto"/>
        <w:spacing w:before="0" w:beforeAutospacing="0" w:after="0" w:afterAutospacing="0" w:line="360" w:lineRule="auto"/>
        <w:ind w:left="0" w:right="0" w:firstLine="420" w:firstLineChars="200"/>
        <w:jc w:val="both"/>
        <w:rPr>
          <w:rFonts w:hint="eastAsia" w:hAnsi="宋体" w:cs="宋体"/>
          <w:strike/>
          <w:color w:val="auto"/>
          <w:highlight w:val="none"/>
        </w:rPr>
      </w:pPr>
      <w:r>
        <w:rPr>
          <w:rFonts w:hint="eastAsia" w:hAnsi="宋体" w:cs="宋体"/>
          <w:bCs/>
          <w:color w:val="auto"/>
          <w:highlight w:val="none"/>
        </w:rPr>
        <w:t>1.</w:t>
      </w:r>
      <w:r>
        <w:rPr>
          <w:rFonts w:hint="eastAsia" w:hAnsi="宋体" w:cs="宋体"/>
          <w:color w:val="auto"/>
          <w:highlight w:val="none"/>
        </w:rPr>
        <w:t>投标报价以人民币为结算货币，投标报价包括</w:t>
      </w:r>
      <w:r>
        <w:rPr>
          <w:rFonts w:hint="eastAsia" w:ascii="宋体" w:hAnsi="宋体" w:cs="宋体"/>
          <w:b w:val="0"/>
          <w:color w:val="auto"/>
          <w:kern w:val="0"/>
          <w:sz w:val="21"/>
          <w:szCs w:val="21"/>
          <w:highlight w:val="none"/>
          <w:u w:val="single"/>
          <w:lang w:val="en-US" w:eastAsia="zh-CN" w:bidi="ar"/>
        </w:rPr>
        <w:t>2025年度中期票据主承销商</w:t>
      </w:r>
      <w:r>
        <w:rPr>
          <w:rFonts w:hint="eastAsia" w:ascii="宋体" w:hAnsi="宋体" w:eastAsia="宋体" w:cs="宋体"/>
          <w:b w:val="0"/>
          <w:color w:val="auto"/>
          <w:kern w:val="0"/>
          <w:sz w:val="21"/>
          <w:szCs w:val="21"/>
          <w:highlight w:val="none"/>
          <w:u w:val="single"/>
          <w:lang w:val="en-US" w:eastAsia="zh-CN" w:bidi="ar"/>
        </w:rPr>
        <w:t>服务费</w:t>
      </w:r>
      <w:r>
        <w:rPr>
          <w:rFonts w:hint="eastAsia" w:ascii="宋体" w:hAnsi="宋体" w:eastAsia="宋体" w:cs="宋体"/>
          <w:color w:val="auto"/>
          <w:kern w:val="0"/>
          <w:szCs w:val="21"/>
          <w:highlight w:val="none"/>
          <w:u w:val="single"/>
          <w:lang w:bidi="ar-SA"/>
        </w:rPr>
        <w:t>、技术指导费、培训费、技术资料费、保险费、利润、税金、完成本项目的其他费用和政策性文件规定</w:t>
      </w:r>
      <w:r>
        <w:rPr>
          <w:rFonts w:hint="eastAsia" w:ascii="宋体" w:hAnsi="宋体" w:eastAsia="宋体" w:cs="宋体"/>
          <w:color w:val="auto"/>
          <w:kern w:val="0"/>
          <w:szCs w:val="21"/>
          <w:highlight w:val="none"/>
          <w:u w:val="none"/>
          <w:lang w:bidi="ar-SA"/>
        </w:rPr>
        <w:t>及合同中明示的所有一般风险、责任和义务等一切应由</w:t>
      </w:r>
      <w:r>
        <w:rPr>
          <w:rFonts w:hint="default" w:ascii="宋体" w:hAnsi="宋体" w:eastAsia="宋体" w:cs="宋体"/>
          <w:color w:val="auto"/>
          <w:kern w:val="0"/>
          <w:szCs w:val="21"/>
          <w:highlight w:val="none"/>
          <w:u w:val="none"/>
          <w:lang w:bidi="ar-SA"/>
        </w:rPr>
        <w:t>采购人</w:t>
      </w:r>
      <w:r>
        <w:rPr>
          <w:rFonts w:hint="eastAsia" w:ascii="宋体" w:hAnsi="宋体" w:eastAsia="宋体" w:cs="宋体"/>
          <w:color w:val="auto"/>
          <w:kern w:val="0"/>
          <w:szCs w:val="21"/>
          <w:highlight w:val="none"/>
          <w:u w:val="none"/>
          <w:lang w:bidi="ar-SA"/>
        </w:rPr>
        <w:t>支付的费用</w:t>
      </w:r>
      <w:r>
        <w:rPr>
          <w:rFonts w:hint="eastAsia" w:hAnsi="宋体" w:cs="宋体"/>
          <w:color w:val="auto"/>
          <w:highlight w:val="none"/>
        </w:rPr>
        <w:t>，如有漏项，视同已包含在其总项目中，合同总价不予调整。投标报价为投标方所能承受的最低、最终一次性报价。</w:t>
      </w:r>
    </w:p>
    <w:p w14:paraId="0C1C9954">
      <w:pPr>
        <w:pStyle w:val="19"/>
        <w:spacing w:line="460" w:lineRule="exact"/>
        <w:ind w:firstLine="420" w:firstLineChars="200"/>
        <w:rPr>
          <w:rFonts w:hint="eastAsia" w:hAnsi="宋体" w:cs="宋体"/>
          <w:color w:val="auto"/>
          <w:highlight w:val="none"/>
        </w:rPr>
      </w:pPr>
      <w:r>
        <w:rPr>
          <w:rFonts w:hint="eastAsia" w:hAnsi="宋体" w:cs="宋体"/>
          <w:color w:val="auto"/>
          <w:highlight w:val="none"/>
        </w:rPr>
        <w:t>2.投标方须在《开标一览表》上写明</w:t>
      </w:r>
      <w:r>
        <w:rPr>
          <w:rFonts w:hint="eastAsia" w:hAnsi="宋体" w:cs="宋体"/>
          <w:color w:val="auto"/>
          <w:highlight w:val="none"/>
          <w:lang w:val="en-US" w:eastAsia="zh-CN"/>
        </w:rPr>
        <w:t>承销费率</w:t>
      </w:r>
      <w:r>
        <w:rPr>
          <w:rFonts w:hint="eastAsia" w:hAnsi="宋体" w:cs="宋体"/>
          <w:color w:val="auto"/>
          <w:highlight w:val="none"/>
        </w:rPr>
        <w:t>。如果大写金额和小写金额不一致的，以大写金额为准；单价金额小数点或者百分比有明显错位的，以《开标一览表》的总价为准，并修改单价；总价金额与按单价汇总金额不一致的，以单价金额计算结果为准。</w:t>
      </w:r>
    </w:p>
    <w:p w14:paraId="2F6CFD31">
      <w:pPr>
        <w:pStyle w:val="19"/>
        <w:spacing w:line="460" w:lineRule="exact"/>
        <w:ind w:firstLine="420" w:firstLineChars="200"/>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中标人所填写的单价在合同实施期间不因市场变化因素而变动；</w:t>
      </w:r>
      <w:r>
        <w:rPr>
          <w:rFonts w:hint="eastAsia" w:hAnsi="宋体" w:cs="宋体"/>
          <w:color w:val="auto"/>
          <w:highlight w:val="none"/>
        </w:rPr>
        <w:t>投标人在计算报价时应考虑一定的风险系数。</w:t>
      </w:r>
    </w:p>
    <w:p w14:paraId="69A8075C">
      <w:pPr>
        <w:pStyle w:val="19"/>
        <w:spacing w:line="460" w:lineRule="exact"/>
        <w:ind w:firstLine="420" w:firstLineChars="200"/>
        <w:rPr>
          <w:rFonts w:hint="eastAsia" w:hAnsi="宋体" w:cs="宋体"/>
          <w:color w:val="auto"/>
          <w:highlight w:val="none"/>
        </w:rPr>
      </w:pPr>
      <w:r>
        <w:rPr>
          <w:rFonts w:hAnsi="宋体" w:cs="宋体"/>
          <w:color w:val="auto"/>
          <w:highlight w:val="none"/>
        </w:rPr>
        <w:t>4</w:t>
      </w:r>
      <w:r>
        <w:rPr>
          <w:rFonts w:hint="eastAsia" w:hAnsi="宋体" w:cs="宋体"/>
          <w:color w:val="auto"/>
          <w:highlight w:val="none"/>
        </w:rPr>
        <w:t>.投标人应按招标文件规定的报价格式进行投标报价。投标人只允许有一个报价，采购人不接受任何有选择性的报价。</w:t>
      </w:r>
    </w:p>
    <w:p w14:paraId="2D242958">
      <w:pPr>
        <w:pStyle w:val="19"/>
        <w:spacing w:line="460" w:lineRule="exact"/>
        <w:ind w:firstLine="420" w:firstLineChars="200"/>
        <w:rPr>
          <w:rFonts w:hint="eastAsia" w:hAnsi="宋体" w:cs="宋体"/>
          <w:color w:val="auto"/>
          <w:spacing w:val="-8"/>
          <w:highlight w:val="none"/>
        </w:rPr>
      </w:pPr>
      <w:r>
        <w:rPr>
          <w:rFonts w:hAnsi="宋体" w:cs="宋体"/>
          <w:color w:val="auto"/>
          <w:highlight w:val="none"/>
        </w:rPr>
        <w:t>5</w:t>
      </w:r>
      <w:r>
        <w:rPr>
          <w:rFonts w:hint="eastAsia" w:hAnsi="宋体" w:cs="宋体"/>
          <w:color w:val="auto"/>
          <w:highlight w:val="none"/>
        </w:rPr>
        <w:t>.</w:t>
      </w:r>
      <w:r>
        <w:rPr>
          <w:rFonts w:hint="eastAsia" w:hAnsi="宋体" w:cs="宋体"/>
          <w:color w:val="auto"/>
          <w:spacing w:val="-8"/>
          <w:highlight w:val="none"/>
        </w:rPr>
        <w:t>采购人不接受低于成本的投标报价。</w:t>
      </w:r>
    </w:p>
    <w:p w14:paraId="063F6F56">
      <w:pPr>
        <w:pStyle w:val="19"/>
        <w:spacing w:line="460" w:lineRule="exact"/>
        <w:ind w:firstLine="420" w:firstLineChars="200"/>
        <w:rPr>
          <w:rFonts w:hint="eastAsia" w:hAnsi="宋体" w:cs="宋体"/>
          <w:color w:val="auto"/>
          <w:highlight w:val="none"/>
        </w:rPr>
      </w:pPr>
      <w:r>
        <w:rPr>
          <w:rFonts w:hAnsi="宋体" w:cs="宋体"/>
          <w:color w:val="auto"/>
          <w:highlight w:val="none"/>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5FA57440">
      <w:pPr>
        <w:pStyle w:val="19"/>
        <w:spacing w:line="460" w:lineRule="exact"/>
        <w:ind w:firstLine="420" w:firstLineChars="200"/>
        <w:rPr>
          <w:rFonts w:hint="eastAsia" w:hAnsi="宋体" w:cs="宋体"/>
          <w:color w:val="auto"/>
          <w:highlight w:val="none"/>
        </w:rPr>
      </w:pPr>
      <w:r>
        <w:rPr>
          <w:rFonts w:hAnsi="宋体" w:cs="宋体"/>
          <w:color w:val="auto"/>
          <w:highlight w:val="none"/>
        </w:rPr>
        <w:t>7</w:t>
      </w:r>
      <w:r>
        <w:rPr>
          <w:rFonts w:hint="eastAsia" w:hAnsi="宋体" w:cs="宋体"/>
          <w:color w:val="auto"/>
          <w:highlight w:val="none"/>
        </w:rPr>
        <w:t>.须由中标单位开具正式发票。</w:t>
      </w:r>
    </w:p>
    <w:p w14:paraId="0AB19B81">
      <w:pPr>
        <w:spacing w:line="360" w:lineRule="auto"/>
        <w:ind w:firstLine="420" w:firstLineChars="200"/>
        <w:rPr>
          <w:rFonts w:hint="eastAsia" w:ascii="宋体" w:hAnsi="宋体" w:cs="宋体"/>
          <w:b/>
          <w:bCs/>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.招标文件中规定由投标单位承担并支付的相关费用在投标报价时应一并考虑</w:t>
      </w:r>
      <w:r>
        <w:rPr>
          <w:rFonts w:hint="eastAsia" w:ascii="宋体" w:hAnsi="宋体" w:cs="宋体"/>
          <w:bCs/>
          <w:color w:val="auto"/>
          <w:szCs w:val="21"/>
          <w:highlight w:val="none"/>
        </w:rPr>
        <w:t>。</w:t>
      </w:r>
    </w:p>
    <w:p w14:paraId="6148A6BA">
      <w:pPr>
        <w:spacing w:line="360" w:lineRule="auto"/>
        <w:ind w:firstLine="420" w:firstLineChars="0"/>
        <w:outlineLvl w:val="2"/>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（二）</w:t>
      </w:r>
      <w:r>
        <w:rPr>
          <w:rFonts w:hint="eastAsia" w:ascii="宋体" w:hAnsi="宋体" w:eastAsia="宋体" w:cs="宋体"/>
          <w:bCs/>
          <w:color w:val="auto"/>
          <w:kern w:val="2"/>
          <w:szCs w:val="21"/>
          <w:highlight w:val="none"/>
          <w:lang w:eastAsia="zh-CN"/>
        </w:rPr>
        <w:t>合作期限</w:t>
      </w:r>
    </w:p>
    <w:p w14:paraId="59AC5609">
      <w:pPr>
        <w:numPr>
          <w:ilvl w:val="0"/>
          <w:numId w:val="0"/>
        </w:numPr>
        <w:spacing w:line="360" w:lineRule="auto"/>
        <w:ind w:left="0" w:leftChars="0" w:firstLine="420" w:firstLineChars="200"/>
        <w:rPr>
          <w:rFonts w:hint="default" w:ascii="宋体" w:hAnsi="宋体" w:cs="Arial"/>
          <w:color w:val="auto"/>
          <w:szCs w:val="21"/>
          <w:highlight w:val="none"/>
          <w:lang w:eastAsia="zh-CN"/>
        </w:rPr>
      </w:pPr>
      <w:r>
        <w:rPr>
          <w:rFonts w:hint="eastAsia" w:ascii="宋体" w:hAnsi="宋体" w:eastAsia="宋体" w:cs="宋体"/>
          <w:bCs/>
          <w:color w:val="auto"/>
          <w:kern w:val="2"/>
          <w:szCs w:val="21"/>
          <w:highlight w:val="none"/>
          <w:lang w:eastAsia="zh-CN"/>
        </w:rPr>
        <w:t>合作期限自承销协议签署日起至本轮交易商协会《接受注册通知书》项下发行的各期债务融资工具全部兑付完成之日终止</w:t>
      </w:r>
      <w:r>
        <w:rPr>
          <w:rFonts w:hint="eastAsia" w:ascii="宋体" w:hAnsi="宋体" w:eastAsia="宋体" w:cs="宋体"/>
          <w:bCs/>
          <w:color w:val="auto"/>
          <w:kern w:val="2"/>
          <w:sz w:val="21"/>
          <w:szCs w:val="21"/>
          <w:highlight w:val="none"/>
          <w:lang w:eastAsia="zh-CN" w:bidi="ar"/>
        </w:rPr>
        <w:t>。</w:t>
      </w:r>
    </w:p>
    <w:p w14:paraId="50827F8F">
      <w:pPr>
        <w:spacing w:line="360" w:lineRule="auto"/>
        <w:ind w:firstLine="420" w:firstLineChars="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default" w:ascii="宋体" w:hAnsi="宋体" w:eastAsia="宋体" w:cs="宋体"/>
          <w:b/>
          <w:bCs/>
          <w:color w:val="auto"/>
          <w:szCs w:val="21"/>
          <w:highlight w:val="none"/>
          <w:lang w:eastAsia="zh-CN"/>
        </w:rPr>
        <w:t>三</w:t>
      </w:r>
      <w:r>
        <w:rPr>
          <w:rFonts w:hint="eastAsia" w:ascii="宋体" w:hAnsi="宋体" w:eastAsia="宋体" w:cs="宋体"/>
          <w:b/>
          <w:bCs/>
          <w:color w:val="auto"/>
          <w:szCs w:val="21"/>
          <w:highlight w:val="none"/>
          <w:lang w:val="en-US" w:eastAsia="zh-CN"/>
        </w:rPr>
        <w:t>）验收办法及</w:t>
      </w:r>
      <w:r>
        <w:rPr>
          <w:rFonts w:hint="default" w:ascii="宋体" w:hAnsi="宋体" w:eastAsia="宋体" w:cs="宋体"/>
          <w:b/>
          <w:bCs/>
          <w:color w:val="auto"/>
          <w:szCs w:val="21"/>
          <w:highlight w:val="none"/>
          <w:lang w:eastAsia="zh-CN"/>
        </w:rPr>
        <w:t>标准</w:t>
      </w:r>
    </w:p>
    <w:p w14:paraId="168C9B13">
      <w:pPr>
        <w:keepNext w:val="0"/>
        <w:keepLines w:val="0"/>
        <w:widowControl w:val="0"/>
        <w:numPr>
          <w:ilvl w:val="0"/>
          <w:numId w:val="0"/>
        </w:numPr>
        <w:suppressLineNumbers w:val="0"/>
        <w:spacing w:before="0" w:beforeAutospacing="0" w:after="0" w:afterAutospacing="0" w:line="480" w:lineRule="exact"/>
        <w:ind w:left="0" w:right="0" w:firstLine="420" w:firstLineChars="200"/>
        <w:jc w:val="both"/>
        <w:rPr>
          <w:rFonts w:hint="eastAsia" w:ascii="宋体" w:hAnsi="宋体" w:cs="宋体"/>
          <w:bCs/>
          <w:color w:val="auto"/>
          <w:szCs w:val="21"/>
          <w:highlight w:val="none"/>
          <w:lang w:val="en-US" w:eastAsia="zh-CN"/>
        </w:rPr>
      </w:pPr>
      <w:r>
        <w:rPr>
          <w:rFonts w:hint="eastAsia" w:ascii="宋体" w:hAnsi="宋体" w:cs="宋体"/>
          <w:bCs/>
          <w:color w:val="auto"/>
          <w:szCs w:val="21"/>
          <w:highlight w:val="none"/>
        </w:rPr>
        <w:t>根据中华人民共和国现行技术标准，按招标文件以及合同规定的验收评定标准等规范，由采购人组织验收</w:t>
      </w:r>
      <w:r>
        <w:rPr>
          <w:rFonts w:hint="default" w:ascii="宋体" w:cs="宋体"/>
          <w:bCs/>
          <w:color w:val="auto"/>
          <w:szCs w:val="21"/>
          <w:highlight w:val="none"/>
        </w:rPr>
        <w:t>。</w:t>
      </w:r>
      <w:r>
        <w:rPr>
          <w:rFonts w:hint="eastAsia" w:ascii="宋体" w:hAnsi="宋体" w:eastAsia="宋体" w:cs="宋体"/>
          <w:color w:val="auto"/>
          <w:kern w:val="2"/>
          <w:sz w:val="21"/>
          <w:szCs w:val="21"/>
          <w:highlight w:val="none"/>
          <w:lang w:val="en-US" w:eastAsia="zh-CN" w:bidi="ar"/>
        </w:rPr>
        <w:t>验收产生的费用由中标方承担。</w:t>
      </w:r>
      <w:r>
        <w:rPr>
          <w:rFonts w:hint="eastAsia" w:ascii="宋体" w:hAnsi="宋体" w:cs="宋体"/>
          <w:bCs/>
          <w:color w:val="auto"/>
          <w:szCs w:val="21"/>
          <w:highlight w:val="none"/>
        </w:rPr>
        <w:t>如果发现与合同中要求不符，</w:t>
      </w:r>
      <w:r>
        <w:rPr>
          <w:rFonts w:hint="eastAsia" w:ascii="宋体" w:hAnsi="宋体" w:cs="宋体"/>
          <w:bCs/>
          <w:color w:val="auto"/>
          <w:szCs w:val="21"/>
          <w:highlight w:val="none"/>
          <w:lang w:val="en-US" w:eastAsia="zh-CN"/>
        </w:rPr>
        <w:t>中标人</w:t>
      </w:r>
      <w:r>
        <w:rPr>
          <w:rFonts w:hint="eastAsia" w:ascii="宋体" w:hAnsi="宋体" w:cs="宋体"/>
          <w:bCs/>
          <w:color w:val="auto"/>
          <w:szCs w:val="21"/>
          <w:highlight w:val="none"/>
        </w:rPr>
        <w:t>须承担由此发生的一切损失和费用，并承担相应的法律责任。</w:t>
      </w:r>
    </w:p>
    <w:p w14:paraId="23BE425D">
      <w:pPr>
        <w:spacing w:line="480" w:lineRule="exact"/>
        <w:ind w:left="0" w:leftChars="0" w:firstLine="420" w:firstLineChars="0"/>
        <w:outlineLvl w:val="2"/>
        <w:rPr>
          <w:rFonts w:hint="eastAsia"/>
          <w:b/>
          <w:bCs/>
          <w:color w:val="auto"/>
          <w:szCs w:val="21"/>
          <w:highlight w:val="none"/>
        </w:rPr>
      </w:pPr>
      <w:r>
        <w:rPr>
          <w:rFonts w:hint="default" w:ascii="宋体"/>
          <w:b/>
          <w:bCs/>
          <w:color w:val="auto"/>
          <w:szCs w:val="21"/>
          <w:highlight w:val="none"/>
        </w:rPr>
        <w:t>（四</w:t>
      </w:r>
      <w:r>
        <w:rPr>
          <w:rFonts w:hint="eastAsia" w:ascii="宋体" w:hAnsi="宋体"/>
          <w:b/>
          <w:bCs/>
          <w:color w:val="auto"/>
          <w:szCs w:val="21"/>
          <w:highlight w:val="none"/>
        </w:rPr>
        <w:t>）</w:t>
      </w:r>
      <w:r>
        <w:rPr>
          <w:rFonts w:hint="eastAsia"/>
          <w:b/>
          <w:bCs/>
          <w:color w:val="auto"/>
          <w:szCs w:val="21"/>
          <w:highlight w:val="none"/>
        </w:rPr>
        <w:t>付款方式</w:t>
      </w:r>
    </w:p>
    <w:p w14:paraId="7A665D3D">
      <w:pPr>
        <w:keepNext w:val="0"/>
        <w:keepLines w:val="0"/>
        <w:widowControl w:val="0"/>
        <w:numPr>
          <w:ilvl w:val="0"/>
          <w:numId w:val="0"/>
        </w:numPr>
        <w:suppressLineNumbers w:val="0"/>
        <w:spacing w:before="0" w:beforeAutospacing="0" w:after="0" w:afterAutospacing="0" w:line="440" w:lineRule="exact"/>
        <w:ind w:left="0" w:right="0" w:firstLine="420" w:firstLineChars="200"/>
        <w:jc w:val="both"/>
        <w:outlineLvl w:val="9"/>
        <w:rPr>
          <w:rFonts w:hint="eastAsia" w:ascii="宋体" w:hAnsi="宋体"/>
          <w:strike w:val="0"/>
          <w:dstrike w:val="0"/>
          <w:color w:val="auto"/>
          <w:szCs w:val="21"/>
          <w:highlight w:val="none"/>
          <w:lang w:eastAsia="zh-CN"/>
        </w:rPr>
      </w:pPr>
      <w:r>
        <w:rPr>
          <w:rFonts w:hint="eastAsia" w:ascii="宋体" w:hAnsi="宋体"/>
          <w:strike w:val="0"/>
          <w:dstrike w:val="0"/>
          <w:color w:val="auto"/>
          <w:szCs w:val="21"/>
          <w:highlight w:val="none"/>
          <w:lang w:eastAsia="zh-CN"/>
        </w:rPr>
        <w:t>发行成功后，</w:t>
      </w:r>
      <w:r>
        <w:rPr>
          <w:rFonts w:hint="eastAsia" w:ascii="宋体" w:hAnsi="宋体"/>
          <w:strike w:val="0"/>
          <w:dstrike w:val="0"/>
          <w:color w:val="auto"/>
          <w:szCs w:val="21"/>
          <w:highlight w:val="none"/>
          <w:lang w:val="en-US" w:eastAsia="zh-CN"/>
        </w:rPr>
        <w:t>采购人</w:t>
      </w:r>
      <w:r>
        <w:rPr>
          <w:rFonts w:hint="eastAsia" w:ascii="宋体" w:hAnsi="宋体"/>
          <w:strike w:val="0"/>
          <w:dstrike w:val="0"/>
          <w:color w:val="auto"/>
          <w:szCs w:val="21"/>
          <w:highlight w:val="none"/>
          <w:lang w:eastAsia="zh-CN"/>
        </w:rPr>
        <w:t>向主承销方支付承销费。承销费计算方式如下：</w:t>
      </w:r>
    </w:p>
    <w:p w14:paraId="57D77D27">
      <w:pPr>
        <w:keepNext w:val="0"/>
        <w:keepLines w:val="0"/>
        <w:widowControl w:val="0"/>
        <w:numPr>
          <w:ilvl w:val="0"/>
          <w:numId w:val="0"/>
        </w:numPr>
        <w:suppressLineNumbers w:val="0"/>
        <w:spacing w:before="0" w:beforeAutospacing="0" w:after="0" w:afterAutospacing="0" w:line="440" w:lineRule="exact"/>
        <w:ind w:left="0" w:right="0" w:firstLine="420" w:firstLineChars="200"/>
        <w:jc w:val="both"/>
        <w:outlineLvl w:val="9"/>
        <w:rPr>
          <w:rFonts w:hint="eastAsia" w:ascii="宋体" w:hAnsi="宋体"/>
          <w:strike w:val="0"/>
          <w:dstrike w:val="0"/>
          <w:color w:val="auto"/>
          <w:szCs w:val="21"/>
          <w:highlight w:val="none"/>
          <w:lang w:eastAsia="zh-CN"/>
        </w:rPr>
      </w:pPr>
      <w:r>
        <w:rPr>
          <w:rFonts w:hint="eastAsia" w:ascii="宋体" w:hAnsi="宋体"/>
          <w:strike w:val="0"/>
          <w:dstrike w:val="0"/>
          <w:color w:val="auto"/>
          <w:szCs w:val="21"/>
          <w:highlight w:val="none"/>
          <w:lang w:eastAsia="zh-CN"/>
        </w:rPr>
        <w:t>承销费＝当期债务融资工具发行面值总额×发行年限×年承销费率；</w:t>
      </w:r>
    </w:p>
    <w:p w14:paraId="731F5B38">
      <w:pPr>
        <w:pStyle w:val="3"/>
        <w:spacing w:before="120" w:after="120" w:line="240" w:lineRule="auto"/>
        <w:ind w:firstLine="0" w:firstLineChars="0"/>
        <w:rPr>
          <w:rFonts w:hint="eastAsia" w:ascii="宋体" w:hAnsi="宋体" w:eastAsia="宋体" w:cs="宋体"/>
          <w:b/>
          <w:bCs/>
          <w:color w:val="auto"/>
          <w:sz w:val="21"/>
          <w:szCs w:val="21"/>
          <w:highlight w:val="none"/>
        </w:rPr>
      </w:pPr>
      <w:bookmarkStart w:id="50" w:name="_Toc20533"/>
      <w:bookmarkStart w:id="51" w:name="_Toc3844"/>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、其他</w:t>
      </w:r>
      <w:bookmarkEnd w:id="50"/>
      <w:r>
        <w:rPr>
          <w:rFonts w:hint="eastAsia" w:ascii="宋体" w:hAnsi="宋体" w:eastAsia="宋体" w:cs="宋体"/>
          <w:b/>
          <w:bCs/>
          <w:color w:val="auto"/>
          <w:sz w:val="21"/>
          <w:szCs w:val="21"/>
          <w:highlight w:val="none"/>
        </w:rPr>
        <w:t>说明</w:t>
      </w:r>
      <w:bookmarkEnd w:id="51"/>
    </w:p>
    <w:p w14:paraId="73771AE6">
      <w:pPr>
        <w:spacing w:line="460" w:lineRule="exact"/>
        <w:ind w:firstLine="420" w:firstLineChars="200"/>
        <w:rPr>
          <w:rFonts w:hint="eastAsia" w:ascii="宋体" w:hAnsi="宋体"/>
          <w:b/>
          <w:color w:val="auto"/>
          <w:sz w:val="21"/>
          <w:szCs w:val="21"/>
          <w:highlight w:val="none"/>
        </w:rPr>
      </w:pPr>
      <w:r>
        <w:rPr>
          <w:rFonts w:hint="eastAsia" w:ascii="宋体" w:hAnsi="宋体" w:eastAsia="宋体" w:cs="宋体"/>
          <w:color w:val="auto"/>
          <w:kern w:val="2"/>
          <w:sz w:val="21"/>
          <w:szCs w:val="21"/>
          <w:highlight w:val="none"/>
          <w:lang w:val="en-US" w:eastAsia="zh-CN" w:bidi="ar"/>
        </w:rPr>
        <w:t>中标之后，如发现投标文件与招标文件内容如有不一致，应以有利于采购人原则为准。</w:t>
      </w:r>
    </w:p>
    <w:p w14:paraId="58BE0D8D">
      <w:pPr>
        <w:rPr>
          <w:rFonts w:hint="eastAsia" w:hAnsi="宋体" w:cs="宋体"/>
          <w:b w:val="0"/>
          <w:bCs w:val="0"/>
          <w:color w:val="auto"/>
          <w:sz w:val="21"/>
          <w:szCs w:val="21"/>
          <w:highlight w:val="none"/>
          <w:lang w:eastAsia="zh-CN"/>
        </w:rPr>
      </w:pPr>
      <w:r>
        <w:rPr>
          <w:rFonts w:hint="eastAsia" w:hAnsi="宋体" w:cs="宋体"/>
          <w:b w:val="0"/>
          <w:bCs w:val="0"/>
          <w:color w:val="auto"/>
          <w:sz w:val="21"/>
          <w:szCs w:val="21"/>
          <w:highlight w:val="none"/>
          <w:lang w:eastAsia="zh-CN"/>
        </w:rPr>
        <w:br w:type="page"/>
      </w:r>
    </w:p>
    <w:p w14:paraId="11FB5D5E">
      <w:pPr>
        <w:keepNext w:val="0"/>
        <w:keepLines w:val="0"/>
        <w:pageBreakBefore w:val="0"/>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52" w:name="_Toc26425"/>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6"/>
      <w:bookmarkEnd w:id="52"/>
    </w:p>
    <w:p w14:paraId="4B1CA69A">
      <w:pPr>
        <w:pStyle w:val="3"/>
        <w:spacing w:before="0" w:after="0" w:line="460" w:lineRule="exact"/>
        <w:rPr>
          <w:rFonts w:ascii="宋体" w:hAnsi="宋体" w:eastAsia="宋体"/>
          <w:color w:val="auto"/>
          <w:sz w:val="21"/>
          <w:szCs w:val="21"/>
          <w:highlight w:val="none"/>
        </w:rPr>
      </w:pPr>
      <w:bookmarkStart w:id="53" w:name="_Toc16066"/>
      <w:bookmarkStart w:id="54" w:name="_Toc406413937"/>
      <w:bookmarkStart w:id="55" w:name="_Toc22509"/>
      <w:bookmarkStart w:id="56" w:name="_Toc362250705"/>
      <w:bookmarkStart w:id="57" w:name="_Toc261519847"/>
      <w:bookmarkStart w:id="58" w:name="_Toc20175"/>
      <w:bookmarkStart w:id="59" w:name="_Toc226973002"/>
      <w:bookmarkStart w:id="60" w:name="_Toc274303253"/>
      <w:bookmarkStart w:id="61" w:name="_Toc263090375"/>
      <w:bookmarkStart w:id="62" w:name="_Toc27000"/>
      <w:r>
        <w:rPr>
          <w:rFonts w:hint="eastAsia" w:ascii="宋体" w:hAnsi="宋体" w:eastAsia="宋体"/>
          <w:color w:val="auto"/>
          <w:sz w:val="21"/>
          <w:szCs w:val="21"/>
          <w:highlight w:val="none"/>
        </w:rPr>
        <w:t>一、开标</w:t>
      </w:r>
      <w:bookmarkEnd w:id="53"/>
      <w:bookmarkEnd w:id="54"/>
      <w:bookmarkEnd w:id="55"/>
    </w:p>
    <w:p w14:paraId="70EF6EDC">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171084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14D5B1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6607D6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5ED7DA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1B8F47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018BC7EF">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7AD4FF9E">
      <w:pPr>
        <w:pStyle w:val="3"/>
        <w:spacing w:before="120" w:after="120" w:line="460" w:lineRule="exact"/>
        <w:rPr>
          <w:rFonts w:ascii="宋体" w:hAnsi="宋体" w:eastAsia="宋体" w:cs="宋体"/>
          <w:color w:val="auto"/>
          <w:sz w:val="21"/>
          <w:szCs w:val="21"/>
          <w:highlight w:val="none"/>
        </w:rPr>
      </w:pPr>
      <w:bookmarkStart w:id="63" w:name="_Toc31001"/>
      <w:r>
        <w:rPr>
          <w:rFonts w:hint="eastAsia" w:ascii="宋体" w:hAnsi="宋体" w:eastAsia="宋体" w:cs="宋体"/>
          <w:color w:val="auto"/>
          <w:sz w:val="21"/>
          <w:szCs w:val="21"/>
          <w:highlight w:val="none"/>
        </w:rPr>
        <w:t>二、评标</w:t>
      </w:r>
      <w:bookmarkEnd w:id="56"/>
      <w:bookmarkEnd w:id="57"/>
      <w:bookmarkEnd w:id="58"/>
      <w:bookmarkEnd w:id="59"/>
      <w:bookmarkEnd w:id="60"/>
      <w:bookmarkEnd w:id="61"/>
      <w:bookmarkEnd w:id="62"/>
      <w:bookmarkEnd w:id="63"/>
    </w:p>
    <w:p w14:paraId="056E14DE">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7E1A266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7CFCFDEA">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5A9639B6">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2C1562EB">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6924BDDA">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F049171">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310827F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5A73777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5362DD3B">
      <w:pPr>
        <w:pStyle w:val="19"/>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06245F03">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72747455">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180C3A4E">
      <w:pPr>
        <w:pStyle w:val="19"/>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63E96DA5">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1021B109">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345A9D1A">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022767FA">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75710C6B">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7BF1CD3F">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65A62CE8">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50C78DFC">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58A5DDBB">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577F61F3">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1DD4E490">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79DE4E18">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202DED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7AA1DEC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74798851">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3CCDE83A">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45278864">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6ABF9C5C">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5DA247DC">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5AB0A2BF">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B782651">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4C1F79F7">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3A78209E">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071C9799">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6FFBD03F">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6E2E8578">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17BE92C8">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要求当事投标人作相应的答辩；</w:t>
      </w:r>
    </w:p>
    <w:p w14:paraId="61911FF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63491A88">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61E40983">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490EC539">
      <w:pPr>
        <w:pStyle w:val="19"/>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5AD1330E">
      <w:pPr>
        <w:pStyle w:val="19"/>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20954D5B">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综合评分法</w:t>
      </w:r>
      <w:r>
        <w:rPr>
          <w:rFonts w:hint="eastAsia" w:ascii="宋体" w:hAnsi="宋体" w:cs="宋体"/>
          <w:b/>
          <w:color w:val="auto"/>
          <w:szCs w:val="21"/>
          <w:highlight w:val="none"/>
        </w:rPr>
        <w:t>（具体评标办法见后）。</w:t>
      </w:r>
    </w:p>
    <w:p w14:paraId="2403B641">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60BBE20E">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64" w:name="_Toc4305"/>
      <w:bookmarkStart w:id="65" w:name="_Toc226973003"/>
      <w:bookmarkStart w:id="66" w:name="_Toc362250706"/>
      <w:bookmarkStart w:id="67" w:name="_Toc261519848"/>
      <w:bookmarkStart w:id="68" w:name="_Toc274303254"/>
      <w:bookmarkStart w:id="69" w:name="_Toc10636"/>
      <w:bookmarkStart w:id="70" w:name="_Toc263090376"/>
      <w:r>
        <w:rPr>
          <w:rFonts w:hint="eastAsia" w:ascii="宋体" w:hAnsi="宋体" w:cs="宋体"/>
          <w:color w:val="auto"/>
          <w:szCs w:val="21"/>
          <w:highlight w:val="none"/>
          <w:lang w:val="en-US" w:eastAsia="zh-CN"/>
        </w:rPr>
        <w:t>采购人授权评标小组直接确定中标人。</w:t>
      </w:r>
    </w:p>
    <w:p w14:paraId="5D73FA63">
      <w:pPr>
        <w:pStyle w:val="3"/>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71" w:name="_Toc8939"/>
      <w:r>
        <w:rPr>
          <w:rFonts w:hint="eastAsia" w:ascii="宋体" w:hAnsi="宋体" w:eastAsia="宋体" w:cs="宋体"/>
          <w:color w:val="auto"/>
          <w:sz w:val="21"/>
          <w:szCs w:val="21"/>
          <w:highlight w:val="none"/>
        </w:rPr>
        <w:t>三、定标</w:t>
      </w:r>
      <w:bookmarkEnd w:id="64"/>
      <w:bookmarkEnd w:id="65"/>
      <w:bookmarkEnd w:id="66"/>
      <w:bookmarkEnd w:id="67"/>
      <w:bookmarkEnd w:id="68"/>
      <w:bookmarkEnd w:id="69"/>
      <w:bookmarkEnd w:id="70"/>
      <w:bookmarkEnd w:id="71"/>
    </w:p>
    <w:p w14:paraId="4F8AD72B">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5E1B3F3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7129A5E7">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436948C6">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18C88D90">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07BE03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5FB91B8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293E7A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026778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48D838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2BCE12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1BF37D88">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55F46F99">
      <w:pPr>
        <w:pStyle w:val="19"/>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400345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4B12EB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67A795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381297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064F7B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0F9C3D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47862B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46DE8E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646940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74CEC22E">
      <w:pPr>
        <w:spacing w:line="420" w:lineRule="exact"/>
        <w:ind w:firstLine="480" w:firstLineChars="200"/>
        <w:rPr>
          <w:color w:val="auto"/>
          <w:sz w:val="24"/>
          <w:highlight w:val="none"/>
        </w:rPr>
      </w:pPr>
    </w:p>
    <w:p w14:paraId="7527D7EE">
      <w:pPr>
        <w:spacing w:line="420" w:lineRule="exact"/>
        <w:ind w:firstLine="480" w:firstLineChars="200"/>
        <w:rPr>
          <w:rFonts w:hint="eastAsia"/>
          <w:color w:val="auto"/>
          <w:sz w:val="24"/>
          <w:highlight w:val="none"/>
        </w:rPr>
      </w:pPr>
    </w:p>
    <w:p w14:paraId="23FEB418">
      <w:pPr>
        <w:spacing w:line="420" w:lineRule="exact"/>
        <w:ind w:firstLine="480" w:firstLineChars="200"/>
        <w:rPr>
          <w:rFonts w:hint="eastAsia"/>
          <w:color w:val="auto"/>
          <w:sz w:val="24"/>
          <w:highlight w:val="none"/>
        </w:rPr>
      </w:pPr>
    </w:p>
    <w:p w14:paraId="7AE9C513">
      <w:pPr>
        <w:spacing w:line="420" w:lineRule="exact"/>
        <w:ind w:firstLine="480" w:firstLineChars="200"/>
        <w:rPr>
          <w:rFonts w:hint="eastAsia"/>
          <w:color w:val="auto"/>
          <w:sz w:val="24"/>
          <w:highlight w:val="none"/>
        </w:rPr>
      </w:pPr>
    </w:p>
    <w:p w14:paraId="1646FF41">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72" w:name="_Toc23756"/>
      <w:r>
        <w:rPr>
          <w:rFonts w:hint="eastAsia" w:hAnsi="宋体"/>
          <w:color w:val="auto"/>
          <w:sz w:val="36"/>
          <w:highlight w:val="none"/>
        </w:rPr>
        <w:br w:type="page"/>
      </w:r>
      <w:bookmarkStart w:id="73" w:name="_Toc2018"/>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72"/>
      <w:bookmarkEnd w:id="73"/>
    </w:p>
    <w:p w14:paraId="0264CB15">
      <w:pPr>
        <w:pStyle w:val="19"/>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1C4BA78D">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44DA8037">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03AC907C">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1793CEF8">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3B377123">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F66595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3EC9900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0707AD8B">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6D04EEC6">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704BBE21">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6D53EE21">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24C0951C">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787B3510">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113F8E76">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64298DFA">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4F943F70">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401CA3F3">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4B57B8F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395952B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1F39F6F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264762E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098E2E1F">
      <w:pP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5DD61CB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14AA959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07F042D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39DDB298">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15B9E9F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5D471B6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6FC6BAE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195D7C8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5FD07EE7">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6895422E">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39DC40A0">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6E43919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5A9308BC">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50DDF382">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2A798351">
      <w:pPr>
        <w:spacing w:line="420" w:lineRule="exact"/>
        <w:ind w:firstLine="422" w:firstLineChars="200"/>
        <w:rPr>
          <w:rFonts w:hint="eastAsia"/>
          <w:b/>
          <w:bCs/>
          <w:color w:val="auto"/>
          <w:szCs w:val="21"/>
          <w:highlight w:val="none"/>
        </w:rPr>
      </w:pPr>
    </w:p>
    <w:p w14:paraId="1C412562">
      <w:pPr>
        <w:spacing w:line="420" w:lineRule="exact"/>
        <w:ind w:firstLine="480" w:firstLineChars="200"/>
        <w:rPr>
          <w:rFonts w:hint="eastAsia"/>
          <w:color w:val="auto"/>
          <w:sz w:val="24"/>
          <w:highlight w:val="none"/>
        </w:rPr>
      </w:pPr>
    </w:p>
    <w:p w14:paraId="1A8891E5">
      <w:pPr>
        <w:spacing w:line="420" w:lineRule="exact"/>
        <w:rPr>
          <w:rFonts w:hint="eastAsia"/>
          <w:color w:val="auto"/>
          <w:sz w:val="24"/>
          <w:highlight w:val="none"/>
        </w:rPr>
      </w:pPr>
    </w:p>
    <w:p w14:paraId="0A351274">
      <w:pPr>
        <w:spacing w:line="420" w:lineRule="exact"/>
        <w:rPr>
          <w:rFonts w:hint="eastAsia"/>
          <w:color w:val="auto"/>
          <w:sz w:val="24"/>
          <w:highlight w:val="none"/>
        </w:rPr>
      </w:pPr>
    </w:p>
    <w:p w14:paraId="770B0991">
      <w:pPr>
        <w:spacing w:line="420" w:lineRule="exact"/>
        <w:rPr>
          <w:rFonts w:hint="eastAsia"/>
          <w:color w:val="auto"/>
          <w:sz w:val="24"/>
          <w:highlight w:val="none"/>
        </w:rPr>
      </w:pPr>
    </w:p>
    <w:p w14:paraId="3FEB6790">
      <w:pPr>
        <w:spacing w:line="420" w:lineRule="exact"/>
        <w:rPr>
          <w:rFonts w:hint="eastAsia"/>
          <w:color w:val="auto"/>
          <w:sz w:val="24"/>
          <w:highlight w:val="none"/>
        </w:rPr>
      </w:pPr>
    </w:p>
    <w:p w14:paraId="63611F19">
      <w:pPr>
        <w:spacing w:line="420" w:lineRule="exact"/>
        <w:rPr>
          <w:rFonts w:hint="eastAsia"/>
          <w:color w:val="auto"/>
          <w:sz w:val="24"/>
          <w:highlight w:val="none"/>
        </w:rPr>
      </w:pPr>
    </w:p>
    <w:p w14:paraId="65EE86B6">
      <w:pPr>
        <w:spacing w:line="420" w:lineRule="exact"/>
        <w:rPr>
          <w:rFonts w:hint="eastAsia"/>
          <w:color w:val="auto"/>
          <w:sz w:val="24"/>
          <w:highlight w:val="none"/>
        </w:rPr>
      </w:pPr>
    </w:p>
    <w:p w14:paraId="47B463DF">
      <w:pPr>
        <w:spacing w:line="420" w:lineRule="exact"/>
        <w:rPr>
          <w:rFonts w:hint="eastAsia"/>
          <w:color w:val="auto"/>
          <w:sz w:val="24"/>
          <w:highlight w:val="none"/>
        </w:rPr>
      </w:pPr>
    </w:p>
    <w:p w14:paraId="510760C3">
      <w:pPr>
        <w:spacing w:line="420" w:lineRule="exact"/>
        <w:rPr>
          <w:rFonts w:hint="eastAsia"/>
          <w:color w:val="auto"/>
          <w:sz w:val="24"/>
          <w:highlight w:val="none"/>
        </w:rPr>
      </w:pPr>
    </w:p>
    <w:p w14:paraId="45452B98">
      <w:pPr>
        <w:pStyle w:val="59"/>
        <w:ind w:firstLine="420" w:firstLineChars="200"/>
        <w:rPr>
          <w:rFonts w:hint="eastAsia" w:ascii="宋体" w:hAnsi="宋体" w:cs="宋体"/>
          <w:color w:val="auto"/>
          <w:sz w:val="21"/>
          <w:szCs w:val="21"/>
          <w:highlight w:val="none"/>
        </w:rPr>
      </w:pPr>
      <w:bookmarkStart w:id="74" w:name="_Toc274303257"/>
    </w:p>
    <w:p w14:paraId="6B23FF34">
      <w:pPr>
        <w:pStyle w:val="2"/>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75" w:name="_Toc145992551"/>
      <w:bookmarkStart w:id="76" w:name="_Toc226973004"/>
      <w:bookmarkStart w:id="77" w:name="_Toc362250708"/>
      <w:bookmarkStart w:id="78" w:name="_Toc274303255"/>
      <w:bookmarkStart w:id="79" w:name="_Toc19786"/>
      <w:r>
        <w:rPr>
          <w:rFonts w:hint="eastAsia"/>
          <w:color w:val="auto"/>
          <w:sz w:val="36"/>
          <w:highlight w:val="none"/>
        </w:rPr>
        <w:br w:type="page"/>
      </w:r>
      <w:bookmarkStart w:id="80" w:name="_Toc10983"/>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75"/>
      <w:bookmarkEnd w:id="76"/>
      <w:bookmarkEnd w:id="77"/>
      <w:bookmarkEnd w:id="78"/>
      <w:bookmarkEnd w:id="79"/>
      <w:bookmarkEnd w:id="80"/>
    </w:p>
    <w:bookmarkEnd w:id="74"/>
    <w:p w14:paraId="3729B2A7">
      <w:pPr>
        <w:pStyle w:val="59"/>
        <w:ind w:firstLine="420" w:firstLineChars="200"/>
        <w:rPr>
          <w:rFonts w:hint="eastAsia" w:ascii="宋体" w:hAnsi="宋体" w:cs="宋体"/>
          <w:color w:val="auto"/>
          <w:sz w:val="21"/>
          <w:szCs w:val="21"/>
          <w:highlight w:val="none"/>
        </w:rPr>
      </w:pPr>
      <w:bookmarkStart w:id="81" w:name="_Toc295815145"/>
      <w:bookmarkStart w:id="82" w:name="_Toc362250710"/>
      <w:bookmarkStart w:id="83" w:name="_Toc323024194"/>
      <w:bookmarkStart w:id="84" w:name="_Toc330474791"/>
      <w:bookmarkStart w:id="85" w:name="_Toc269969080"/>
      <w:bookmarkStart w:id="86" w:name="_Toc358884475"/>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151B24C7">
      <w:pPr>
        <w:pStyle w:val="3"/>
        <w:spacing w:before="120" w:after="120" w:line="460" w:lineRule="exact"/>
        <w:rPr>
          <w:rFonts w:hint="eastAsia" w:ascii="宋体" w:hAnsi="宋体" w:eastAsia="宋体" w:cs="宋体"/>
          <w:b/>
          <w:bCs/>
          <w:color w:val="auto"/>
          <w:sz w:val="21"/>
          <w:szCs w:val="21"/>
          <w:highlight w:val="none"/>
        </w:rPr>
      </w:pPr>
      <w:bookmarkStart w:id="87" w:name="_Toc8331"/>
      <w:bookmarkStart w:id="88" w:name="_Toc15486"/>
      <w:r>
        <w:rPr>
          <w:rFonts w:hint="eastAsia" w:ascii="宋体" w:hAnsi="宋体" w:eastAsia="宋体" w:cs="宋体"/>
          <w:b/>
          <w:bCs/>
          <w:color w:val="auto"/>
          <w:sz w:val="21"/>
          <w:szCs w:val="21"/>
          <w:highlight w:val="none"/>
        </w:rPr>
        <w:t>一、评审程序</w:t>
      </w:r>
      <w:bookmarkEnd w:id="87"/>
      <w:bookmarkEnd w:id="88"/>
    </w:p>
    <w:p w14:paraId="3C751BA8">
      <w:pPr>
        <w:pStyle w:val="19"/>
        <w:spacing w:line="44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43ED6BF9">
      <w:pPr>
        <w:pStyle w:val="19"/>
        <w:spacing w:line="44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（一）对所有投标人的资格响应文件进行审查，并以开标当日为准，对投标人“信用中国”网站（www.creditchina.gov.cn）信用记录情况进行查询；</w:t>
      </w:r>
    </w:p>
    <w:p w14:paraId="7BBD2423">
      <w:pPr>
        <w:pStyle w:val="19"/>
        <w:spacing w:line="44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3D35EF41">
      <w:pPr>
        <w:pStyle w:val="19"/>
        <w:spacing w:line="44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w:t>
      </w:r>
      <w:r>
        <w:rPr>
          <w:rFonts w:hint="eastAsia" w:hAnsi="宋体" w:cs="宋体"/>
          <w:color w:val="auto"/>
          <w:highlight w:val="none"/>
          <w:lang w:val="en-US" w:eastAsia="zh-CN"/>
        </w:rPr>
        <w:t>细则</w:t>
      </w:r>
      <w:r>
        <w:rPr>
          <w:rFonts w:hint="eastAsia" w:hAnsi="宋体" w:cs="宋体"/>
          <w:color w:val="auto"/>
          <w:highlight w:val="none"/>
        </w:rPr>
        <w:t>）；</w:t>
      </w:r>
    </w:p>
    <w:p w14:paraId="5625DF73">
      <w:pPr>
        <w:pStyle w:val="19"/>
        <w:spacing w:line="440" w:lineRule="exact"/>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4450D0BC">
      <w:pPr>
        <w:pStyle w:val="19"/>
        <w:spacing w:line="440" w:lineRule="exact"/>
        <w:ind w:firstLine="420" w:firstLineChars="200"/>
        <w:rPr>
          <w:rFonts w:hint="eastAsia" w:hAnsi="宋体" w:eastAsia="宋体" w:cs="宋体"/>
          <w:color w:val="auto"/>
          <w:highlight w:val="none"/>
          <w:lang w:eastAsia="zh-CN"/>
        </w:rPr>
      </w:pPr>
      <w:r>
        <w:rPr>
          <w:rFonts w:hint="eastAsia" w:hAnsi="宋体" w:cs="宋体"/>
          <w:color w:val="auto"/>
          <w:highlight w:val="none"/>
        </w:rPr>
        <w:t>（五）对通过报价评审有效的投标人，由“</w:t>
      </w:r>
      <w:r>
        <w:rPr>
          <w:rFonts w:hint="eastAsia" w:hAnsi="宋体" w:cs="宋体"/>
          <w:color w:val="auto"/>
          <w:highlight w:val="none"/>
          <w:lang w:eastAsia="zh-CN"/>
        </w:rPr>
        <w:t>义乌市阳光招标采购平台</w:t>
      </w:r>
      <w:r>
        <w:rPr>
          <w:rFonts w:hint="eastAsia" w:hAnsi="宋体" w:cs="宋体"/>
          <w:color w:val="auto"/>
          <w:highlight w:val="none"/>
        </w:rPr>
        <w:t>”平台计算出其报价分及总得分，并由评标委员会进行确认</w:t>
      </w:r>
      <w:r>
        <w:rPr>
          <w:rFonts w:hint="eastAsia" w:hAnsi="宋体" w:cs="宋体"/>
          <w:color w:val="auto"/>
          <w:highlight w:val="none"/>
          <w:lang w:eastAsia="zh-CN"/>
        </w:rPr>
        <w:t>。</w:t>
      </w:r>
    </w:p>
    <w:p w14:paraId="2569B79B">
      <w:pPr>
        <w:pStyle w:val="19"/>
        <w:spacing w:line="440" w:lineRule="exact"/>
        <w:ind w:firstLine="420" w:firstLineChars="200"/>
        <w:rPr>
          <w:rFonts w:hint="eastAsia" w:hAnsi="宋体" w:cs="宋体"/>
          <w:color w:val="auto"/>
          <w:highlight w:val="none"/>
        </w:rPr>
      </w:pPr>
      <w:r>
        <w:rPr>
          <w:rFonts w:hint="eastAsia" w:hAnsi="宋体" w:cs="宋体"/>
          <w:color w:val="auto"/>
          <w:highlight w:val="none"/>
        </w:rPr>
        <w:t>（六）确定中标人</w:t>
      </w:r>
    </w:p>
    <w:p w14:paraId="377962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1.首先，评分结果按评分后得分由高到低顺序排列，得分最高的一家为</w:t>
      </w:r>
      <w:r>
        <w:rPr>
          <w:rFonts w:hint="eastAsia" w:ascii="宋体" w:hAnsi="宋体" w:cs="宋体"/>
          <w:color w:val="auto"/>
          <w:szCs w:val="21"/>
          <w:highlight w:val="none"/>
          <w:lang w:val="en-US" w:eastAsia="zh-CN"/>
        </w:rPr>
        <w:t>义乌市市场发展集团有限公司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年度</w:t>
      </w:r>
      <w:r>
        <w:rPr>
          <w:rFonts w:hint="eastAsia" w:ascii="宋体" w:hAnsi="宋体" w:cs="宋体"/>
          <w:color w:val="auto"/>
          <w:szCs w:val="21"/>
          <w:highlight w:val="none"/>
          <w:lang w:val="en-US" w:eastAsia="zh-CN"/>
        </w:rPr>
        <w:t>中期票据</w:t>
      </w:r>
      <w:r>
        <w:rPr>
          <w:rFonts w:hint="eastAsia" w:ascii="宋体" w:hAnsi="宋体" w:cs="宋体"/>
          <w:color w:val="auto"/>
          <w:szCs w:val="21"/>
          <w:highlight w:val="none"/>
        </w:rPr>
        <w:t>主承销商</w:t>
      </w:r>
      <w:r>
        <w:rPr>
          <w:rFonts w:hint="eastAsia" w:ascii="宋体" w:hAnsi="宋体" w:cs="宋体"/>
          <w:color w:val="auto"/>
          <w:szCs w:val="21"/>
          <w:highlight w:val="none"/>
          <w:lang w:val="en-US" w:eastAsia="zh-CN"/>
        </w:rPr>
        <w:t>中标单位</w:t>
      </w:r>
      <w:r>
        <w:rPr>
          <w:rFonts w:hint="eastAsia" w:ascii="宋体" w:hAnsi="宋体" w:cs="宋体"/>
          <w:color w:val="auto"/>
          <w:szCs w:val="21"/>
          <w:highlight w:val="none"/>
        </w:rPr>
        <w:t>。得分相同的，按照近三年（20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全国范围内地方国有企业中期票据承销</w:t>
      </w:r>
      <w:r>
        <w:rPr>
          <w:rFonts w:hint="eastAsia" w:ascii="宋体" w:hAnsi="宋体" w:cs="宋体"/>
          <w:color w:val="auto"/>
          <w:szCs w:val="21"/>
          <w:highlight w:val="none"/>
        </w:rPr>
        <w:t>金额由高到低顺序排序，承销规模（金额）更高者为中标</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。如以上排序均相同，则通过随机抽取方式确定中标单位。</w:t>
      </w:r>
    </w:p>
    <w:p w14:paraId="0C7C99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w:t>
      </w:r>
      <w:r>
        <w:rPr>
          <w:rFonts w:hint="eastAsia" w:ascii="宋体" w:hAnsi="宋体" w:cs="宋体"/>
          <w:color w:val="auto"/>
          <w:szCs w:val="21"/>
          <w:highlight w:val="none"/>
          <w:lang w:eastAsia="zh-CN"/>
        </w:rPr>
        <w:t>排名第一</w:t>
      </w:r>
      <w:r>
        <w:rPr>
          <w:rFonts w:hint="eastAsia" w:ascii="宋体" w:hAnsi="宋体" w:cs="宋体"/>
          <w:color w:val="auto"/>
          <w:szCs w:val="21"/>
          <w:highlight w:val="none"/>
        </w:rPr>
        <w:t>的投标人为</w:t>
      </w:r>
      <w:r>
        <w:rPr>
          <w:rFonts w:hint="eastAsia" w:ascii="宋体" w:hAnsi="宋体" w:cs="宋体"/>
          <w:color w:val="auto"/>
          <w:szCs w:val="21"/>
          <w:highlight w:val="none"/>
          <w:lang w:val="en-US" w:eastAsia="zh-CN"/>
        </w:rPr>
        <w:t>中标单位</w:t>
      </w:r>
      <w:r>
        <w:rPr>
          <w:rFonts w:hint="eastAsia" w:ascii="宋体" w:hAnsi="宋体" w:cs="宋体"/>
          <w:color w:val="auto"/>
          <w:szCs w:val="21"/>
          <w:highlight w:val="none"/>
        </w:rPr>
        <w:t>。</w:t>
      </w:r>
    </w:p>
    <w:p w14:paraId="06D675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7642308E">
      <w:pPr>
        <w:pStyle w:val="19"/>
        <w:spacing w:line="44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0C0AEB41">
      <w:pPr>
        <w:pStyle w:val="3"/>
        <w:spacing w:before="120" w:after="120" w:line="460" w:lineRule="exact"/>
        <w:rPr>
          <w:rFonts w:hint="eastAsia" w:ascii="宋体" w:hAnsi="宋体" w:eastAsia="宋体" w:cs="宋体"/>
          <w:b/>
          <w:bCs/>
          <w:color w:val="auto"/>
          <w:sz w:val="21"/>
          <w:szCs w:val="21"/>
          <w:highlight w:val="none"/>
        </w:rPr>
      </w:pPr>
      <w:bookmarkStart w:id="89" w:name="_Toc21239"/>
      <w:bookmarkStart w:id="90" w:name="_Toc26171"/>
      <w:r>
        <w:rPr>
          <w:rFonts w:hint="eastAsia" w:ascii="宋体" w:hAnsi="宋体" w:eastAsia="宋体" w:cs="宋体"/>
          <w:b/>
          <w:bCs/>
          <w:color w:val="auto"/>
          <w:sz w:val="21"/>
          <w:szCs w:val="21"/>
          <w:highlight w:val="none"/>
        </w:rPr>
        <w:t>二、确定的中标人放弃中标等情况的处理</w:t>
      </w:r>
      <w:bookmarkEnd w:id="89"/>
      <w:bookmarkEnd w:id="90"/>
    </w:p>
    <w:p w14:paraId="61E23617">
      <w:pPr>
        <w:pStyle w:val="19"/>
        <w:spacing w:line="44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5E8BD650">
      <w:pPr>
        <w:pStyle w:val="19"/>
        <w:spacing w:line="44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08CFF640">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3F439535">
      <w:pPr>
        <w:pStyle w:val="3"/>
        <w:numPr>
          <w:ilvl w:val="0"/>
          <w:numId w:val="4"/>
        </w:numPr>
        <w:spacing w:before="120" w:after="120" w:line="360" w:lineRule="auto"/>
        <w:rPr>
          <w:rFonts w:hint="default" w:ascii="宋体" w:hAnsi="宋体" w:eastAsia="宋体" w:cs="宋体"/>
          <w:color w:val="auto"/>
          <w:sz w:val="21"/>
          <w:szCs w:val="21"/>
          <w:highlight w:val="none"/>
          <w:lang w:val="en-US"/>
        </w:rPr>
      </w:pPr>
      <w:bookmarkStart w:id="91" w:name="_Toc30301"/>
      <w:bookmarkStart w:id="92" w:name="_Toc6466"/>
      <w:r>
        <w:rPr>
          <w:rFonts w:hint="eastAsia" w:ascii="宋体" w:hAnsi="宋体" w:eastAsia="宋体" w:cs="宋体"/>
          <w:color w:val="auto"/>
          <w:sz w:val="21"/>
          <w:szCs w:val="21"/>
          <w:highlight w:val="none"/>
        </w:rPr>
        <w:t>评分</w:t>
      </w:r>
      <w:bookmarkEnd w:id="91"/>
      <w:bookmarkEnd w:id="92"/>
      <w:r>
        <w:rPr>
          <w:rFonts w:hint="eastAsia" w:ascii="宋体" w:hAnsi="宋体" w:eastAsia="宋体" w:cs="宋体"/>
          <w:color w:val="auto"/>
          <w:sz w:val="21"/>
          <w:szCs w:val="21"/>
          <w:highlight w:val="none"/>
          <w:lang w:val="en-US" w:eastAsia="zh-CN"/>
        </w:rPr>
        <w:t>细则</w:t>
      </w:r>
    </w:p>
    <w:tbl>
      <w:tblPr>
        <w:tblStyle w:val="38"/>
        <w:tblW w:w="91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857"/>
        <w:gridCol w:w="885"/>
        <w:gridCol w:w="4123"/>
      </w:tblGrid>
      <w:tr w14:paraId="5EC2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1C53">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项目</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4F69">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评价指标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E17">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分值</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B03">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评价标准和评分方法</w:t>
            </w:r>
          </w:p>
        </w:tc>
      </w:tr>
      <w:tr w14:paraId="321C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A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u w:val="none"/>
                <w:lang w:val="en-US" w:eastAsia="zh-CN" w:bidi="ar"/>
              </w:rPr>
            </w:pPr>
            <w:r>
              <w:rPr>
                <w:rStyle w:val="100"/>
                <w:rFonts w:hint="eastAsia" w:ascii="宋体" w:hAnsi="宋体" w:eastAsia="宋体" w:cs="宋体"/>
                <w:color w:val="auto"/>
                <w:kern w:val="2"/>
                <w:sz w:val="21"/>
                <w:szCs w:val="21"/>
                <w:highlight w:val="none"/>
                <w:lang w:val="en-US" w:eastAsia="zh-CN" w:bidi="ar"/>
              </w:rPr>
              <w:t>一</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D6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u w:val="none"/>
                <w:lang w:val="en-US" w:eastAsia="zh-CN" w:bidi="ar"/>
              </w:rPr>
            </w:pPr>
            <w:r>
              <w:rPr>
                <w:rStyle w:val="100"/>
                <w:rFonts w:hint="eastAsia" w:ascii="宋体" w:hAnsi="宋体" w:eastAsia="宋体" w:cs="宋体"/>
                <w:color w:val="auto"/>
                <w:kern w:val="2"/>
                <w:sz w:val="21"/>
                <w:szCs w:val="21"/>
                <w:highlight w:val="none"/>
                <w:lang w:val="en-US" w:eastAsia="zh-CN" w:bidi="ar"/>
              </w:rPr>
              <w:t>技术分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76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color w:val="auto"/>
                <w:kern w:val="0"/>
                <w:sz w:val="21"/>
                <w:szCs w:val="21"/>
                <w:highlight w:val="none"/>
                <w:lang w:eastAsia="zh-CN" w:bidi="ar"/>
              </w:rPr>
              <w:t>70</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137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b/>
                <w:bCs/>
                <w:i w:val="0"/>
                <w:iCs w:val="0"/>
                <w:color w:val="000000"/>
                <w:kern w:val="0"/>
                <w:sz w:val="21"/>
                <w:szCs w:val="21"/>
                <w:u w:val="none"/>
                <w:lang w:val="en-US" w:eastAsia="zh-CN" w:bidi="ar"/>
              </w:rPr>
            </w:pPr>
            <w:r>
              <w:rPr>
                <w:rStyle w:val="100"/>
                <w:rFonts w:hint="eastAsia" w:ascii="宋体" w:hAnsi="宋体" w:eastAsia="宋体" w:cs="宋体"/>
                <w:color w:val="auto"/>
                <w:kern w:val="2"/>
                <w:sz w:val="21"/>
                <w:szCs w:val="21"/>
                <w:highlight w:val="none"/>
                <w:lang w:val="en-US" w:eastAsia="zh-CN" w:bidi="ar"/>
              </w:rPr>
              <w:t>评标委员会根据评分细则，对各投标人的技术文件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第三位四舍五入)。</w:t>
            </w:r>
          </w:p>
        </w:tc>
      </w:tr>
      <w:tr w14:paraId="7CD0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BDE8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1.发行承销业绩（</w:t>
            </w:r>
            <w:r>
              <w:rPr>
                <w:rFonts w:hint="eastAsia" w:ascii="宋体" w:hAnsi="宋体" w:cs="宋体"/>
                <w:i w:val="0"/>
                <w:iCs w:val="0"/>
                <w:color w:val="auto"/>
                <w:kern w:val="0"/>
                <w:sz w:val="21"/>
                <w:szCs w:val="21"/>
                <w:highlight w:val="none"/>
                <w:u w:val="none"/>
                <w:lang w:val="en-US" w:eastAsia="zh-CN" w:bidi="ar"/>
              </w:rPr>
              <w:t>28</w:t>
            </w:r>
            <w:r>
              <w:rPr>
                <w:rFonts w:hint="eastAsia" w:ascii="宋体" w:hAnsi="宋体" w:eastAsia="宋体" w:cs="宋体"/>
                <w:i w:val="0"/>
                <w:iCs w:val="0"/>
                <w:color w:val="auto"/>
                <w:kern w:val="0"/>
                <w:sz w:val="21"/>
                <w:szCs w:val="21"/>
                <w:highlight w:val="none"/>
                <w:u w:val="none"/>
                <w:lang w:val="en-US" w:eastAsia="zh-CN" w:bidi="ar"/>
              </w:rPr>
              <w:t>分）</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0F0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 2022年1月1日至2025年9月30日全国范围内地方国有企业协会类产品（短期融资券、中期票据、超短期融资券、定向工具）的总承销规模</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6D2F8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D5F09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以Wind资讯统计为依据，排名前三得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分，排名第4至第6得</w:t>
            </w:r>
            <w:r>
              <w:rPr>
                <w:rFonts w:hint="eastAsia" w:ascii="宋体" w:hAnsi="宋体" w:cs="宋体"/>
                <w:i w:val="0"/>
                <w:iCs w:val="0"/>
                <w:color w:val="auto"/>
                <w:kern w:val="0"/>
                <w:sz w:val="21"/>
                <w:szCs w:val="21"/>
                <w:highlight w:val="none"/>
                <w:u w:val="none"/>
                <w:lang w:val="en-US" w:eastAsia="zh-CN" w:bidi="ar"/>
              </w:rPr>
              <w:t>5.6</w:t>
            </w:r>
            <w:r>
              <w:rPr>
                <w:rFonts w:hint="eastAsia" w:ascii="宋体" w:hAnsi="宋体" w:eastAsia="宋体" w:cs="宋体"/>
                <w:i w:val="0"/>
                <w:iCs w:val="0"/>
                <w:color w:val="auto"/>
                <w:kern w:val="0"/>
                <w:sz w:val="21"/>
                <w:szCs w:val="21"/>
                <w:highlight w:val="none"/>
                <w:u w:val="none"/>
                <w:lang w:val="en-US" w:eastAsia="zh-CN" w:bidi="ar"/>
              </w:rPr>
              <w:t>分，排名第7至第9得</w:t>
            </w:r>
            <w:r>
              <w:rPr>
                <w:rFonts w:hint="eastAsia" w:ascii="宋体" w:hAnsi="宋体" w:cs="宋体"/>
                <w:i w:val="0"/>
                <w:iCs w:val="0"/>
                <w:color w:val="auto"/>
                <w:kern w:val="0"/>
                <w:sz w:val="21"/>
                <w:szCs w:val="21"/>
                <w:highlight w:val="none"/>
                <w:u w:val="none"/>
                <w:lang w:val="en-US" w:eastAsia="zh-CN" w:bidi="ar"/>
              </w:rPr>
              <w:t>4.2</w:t>
            </w:r>
            <w:r>
              <w:rPr>
                <w:rFonts w:hint="eastAsia" w:ascii="宋体" w:hAnsi="宋体" w:eastAsia="宋体" w:cs="宋体"/>
                <w:i w:val="0"/>
                <w:iCs w:val="0"/>
                <w:color w:val="auto"/>
                <w:kern w:val="0"/>
                <w:sz w:val="21"/>
                <w:szCs w:val="21"/>
                <w:highlight w:val="none"/>
                <w:u w:val="none"/>
                <w:lang w:val="en-US" w:eastAsia="zh-CN" w:bidi="ar"/>
              </w:rPr>
              <w:t>分，排名第10至第12得</w:t>
            </w:r>
            <w:r>
              <w:rPr>
                <w:rFonts w:hint="eastAsia" w:ascii="宋体" w:hAnsi="宋体" w:cs="宋体"/>
                <w:i w:val="0"/>
                <w:iCs w:val="0"/>
                <w:color w:val="auto"/>
                <w:kern w:val="0"/>
                <w:sz w:val="21"/>
                <w:szCs w:val="21"/>
                <w:highlight w:val="none"/>
                <w:u w:val="none"/>
                <w:lang w:val="en-US" w:eastAsia="zh-CN" w:bidi="ar"/>
              </w:rPr>
              <w:t>2.8</w:t>
            </w:r>
            <w:r>
              <w:rPr>
                <w:rFonts w:hint="eastAsia" w:ascii="宋体" w:hAnsi="宋体" w:eastAsia="宋体" w:cs="宋体"/>
                <w:i w:val="0"/>
                <w:iCs w:val="0"/>
                <w:color w:val="auto"/>
                <w:kern w:val="0"/>
                <w:sz w:val="21"/>
                <w:szCs w:val="21"/>
                <w:highlight w:val="none"/>
                <w:u w:val="none"/>
                <w:lang w:val="en-US" w:eastAsia="zh-CN" w:bidi="ar"/>
              </w:rPr>
              <w:t>分，排名第13至第15得</w:t>
            </w:r>
            <w:r>
              <w:rPr>
                <w:rFonts w:hint="eastAsia" w:ascii="宋体" w:hAnsi="宋体" w:cs="宋体"/>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分，排名第15以外不得分。</w:t>
            </w:r>
          </w:p>
        </w:tc>
      </w:tr>
      <w:tr w14:paraId="54CF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C381">
            <w:pPr>
              <w:jc w:val="left"/>
              <w:rPr>
                <w:rFonts w:hint="eastAsia" w:ascii="宋体" w:hAnsi="宋体" w:eastAsia="宋体" w:cs="宋体"/>
                <w:i w:val="0"/>
                <w:iCs w:val="0"/>
                <w:color w:val="auto"/>
                <w:sz w:val="21"/>
                <w:szCs w:val="21"/>
                <w:highlight w:val="none"/>
                <w:u w:val="none"/>
              </w:rPr>
            </w:pP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A72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 2022年1月1日至2025年9月30日全国范围内地方国有企业协会类产品（短期融资券、中期票据、超短期融资券、定向工具）的总承销只数</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68443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CFF4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以Wind资讯统计为依据，排名前三得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分，排名第4至第6得</w:t>
            </w:r>
            <w:r>
              <w:rPr>
                <w:rFonts w:hint="eastAsia" w:ascii="宋体" w:hAnsi="宋体" w:cs="宋体"/>
                <w:i w:val="0"/>
                <w:iCs w:val="0"/>
                <w:color w:val="auto"/>
                <w:kern w:val="0"/>
                <w:sz w:val="21"/>
                <w:szCs w:val="21"/>
                <w:highlight w:val="none"/>
                <w:u w:val="none"/>
                <w:lang w:val="en-US" w:eastAsia="zh-CN" w:bidi="ar"/>
              </w:rPr>
              <w:t>5.6</w:t>
            </w:r>
            <w:r>
              <w:rPr>
                <w:rFonts w:hint="eastAsia" w:ascii="宋体" w:hAnsi="宋体" w:eastAsia="宋体" w:cs="宋体"/>
                <w:i w:val="0"/>
                <w:iCs w:val="0"/>
                <w:color w:val="auto"/>
                <w:kern w:val="0"/>
                <w:sz w:val="21"/>
                <w:szCs w:val="21"/>
                <w:highlight w:val="none"/>
                <w:u w:val="none"/>
                <w:lang w:val="en-US" w:eastAsia="zh-CN" w:bidi="ar"/>
              </w:rPr>
              <w:t>分，排名第7至第9得</w:t>
            </w:r>
            <w:r>
              <w:rPr>
                <w:rFonts w:hint="eastAsia" w:ascii="宋体" w:hAnsi="宋体" w:cs="宋体"/>
                <w:i w:val="0"/>
                <w:iCs w:val="0"/>
                <w:color w:val="auto"/>
                <w:kern w:val="0"/>
                <w:sz w:val="21"/>
                <w:szCs w:val="21"/>
                <w:highlight w:val="none"/>
                <w:u w:val="none"/>
                <w:lang w:val="en-US" w:eastAsia="zh-CN" w:bidi="ar"/>
              </w:rPr>
              <w:t>4.2</w:t>
            </w:r>
            <w:r>
              <w:rPr>
                <w:rFonts w:hint="eastAsia" w:ascii="宋体" w:hAnsi="宋体" w:eastAsia="宋体" w:cs="宋体"/>
                <w:i w:val="0"/>
                <w:iCs w:val="0"/>
                <w:color w:val="auto"/>
                <w:kern w:val="0"/>
                <w:sz w:val="21"/>
                <w:szCs w:val="21"/>
                <w:highlight w:val="none"/>
                <w:u w:val="none"/>
                <w:lang w:val="en-US" w:eastAsia="zh-CN" w:bidi="ar"/>
              </w:rPr>
              <w:t>分，排名第10至第12得</w:t>
            </w:r>
            <w:r>
              <w:rPr>
                <w:rFonts w:hint="eastAsia" w:ascii="宋体" w:hAnsi="宋体" w:cs="宋体"/>
                <w:i w:val="0"/>
                <w:iCs w:val="0"/>
                <w:color w:val="auto"/>
                <w:kern w:val="0"/>
                <w:sz w:val="21"/>
                <w:szCs w:val="21"/>
                <w:highlight w:val="none"/>
                <w:u w:val="none"/>
                <w:lang w:val="en-US" w:eastAsia="zh-CN" w:bidi="ar"/>
              </w:rPr>
              <w:t>2.8</w:t>
            </w:r>
            <w:r>
              <w:rPr>
                <w:rFonts w:hint="eastAsia" w:ascii="宋体" w:hAnsi="宋体" w:eastAsia="宋体" w:cs="宋体"/>
                <w:i w:val="0"/>
                <w:iCs w:val="0"/>
                <w:color w:val="auto"/>
                <w:kern w:val="0"/>
                <w:sz w:val="21"/>
                <w:szCs w:val="21"/>
                <w:highlight w:val="none"/>
                <w:u w:val="none"/>
                <w:lang w:val="en-US" w:eastAsia="zh-CN" w:bidi="ar"/>
              </w:rPr>
              <w:t>分，排名第13至第15得</w:t>
            </w:r>
            <w:r>
              <w:rPr>
                <w:rFonts w:hint="eastAsia" w:ascii="宋体" w:hAnsi="宋体" w:cs="宋体"/>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分，排名第15以外不得分。</w:t>
            </w:r>
          </w:p>
        </w:tc>
      </w:tr>
      <w:tr w14:paraId="6C82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AA51">
            <w:pPr>
              <w:jc w:val="left"/>
              <w:rPr>
                <w:rFonts w:hint="eastAsia" w:ascii="宋体" w:hAnsi="宋体" w:eastAsia="宋体" w:cs="宋体"/>
                <w:i w:val="0"/>
                <w:iCs w:val="0"/>
                <w:color w:val="auto"/>
                <w:sz w:val="21"/>
                <w:szCs w:val="21"/>
                <w:highlight w:val="none"/>
                <w:u w:val="none"/>
              </w:rPr>
            </w:pP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958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 2022年1月1日-2025年9月30日全国范围内地方国有企业中期票据的总承销规模</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36FD9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3585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以Wind资讯统计为依据，排名前三得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分，排名第4至第6得</w:t>
            </w:r>
            <w:r>
              <w:rPr>
                <w:rFonts w:hint="eastAsia" w:ascii="宋体" w:hAnsi="宋体" w:cs="宋体"/>
                <w:i w:val="0"/>
                <w:iCs w:val="0"/>
                <w:color w:val="auto"/>
                <w:kern w:val="0"/>
                <w:sz w:val="21"/>
                <w:szCs w:val="21"/>
                <w:highlight w:val="none"/>
                <w:u w:val="none"/>
                <w:lang w:val="en-US" w:eastAsia="zh-CN" w:bidi="ar"/>
              </w:rPr>
              <w:t>5.6</w:t>
            </w:r>
            <w:r>
              <w:rPr>
                <w:rFonts w:hint="eastAsia" w:ascii="宋体" w:hAnsi="宋体" w:eastAsia="宋体" w:cs="宋体"/>
                <w:i w:val="0"/>
                <w:iCs w:val="0"/>
                <w:color w:val="auto"/>
                <w:kern w:val="0"/>
                <w:sz w:val="21"/>
                <w:szCs w:val="21"/>
                <w:highlight w:val="none"/>
                <w:u w:val="none"/>
                <w:lang w:val="en-US" w:eastAsia="zh-CN" w:bidi="ar"/>
              </w:rPr>
              <w:t>分，排名第7至第9得</w:t>
            </w:r>
            <w:r>
              <w:rPr>
                <w:rFonts w:hint="eastAsia" w:ascii="宋体" w:hAnsi="宋体" w:cs="宋体"/>
                <w:i w:val="0"/>
                <w:iCs w:val="0"/>
                <w:color w:val="auto"/>
                <w:kern w:val="0"/>
                <w:sz w:val="21"/>
                <w:szCs w:val="21"/>
                <w:highlight w:val="none"/>
                <w:u w:val="none"/>
                <w:lang w:val="en-US" w:eastAsia="zh-CN" w:bidi="ar"/>
              </w:rPr>
              <w:t>4.2</w:t>
            </w:r>
            <w:r>
              <w:rPr>
                <w:rFonts w:hint="eastAsia" w:ascii="宋体" w:hAnsi="宋体" w:eastAsia="宋体" w:cs="宋体"/>
                <w:i w:val="0"/>
                <w:iCs w:val="0"/>
                <w:color w:val="auto"/>
                <w:kern w:val="0"/>
                <w:sz w:val="21"/>
                <w:szCs w:val="21"/>
                <w:highlight w:val="none"/>
                <w:u w:val="none"/>
                <w:lang w:val="en-US" w:eastAsia="zh-CN" w:bidi="ar"/>
              </w:rPr>
              <w:t>分，排名第10至第12得</w:t>
            </w:r>
            <w:r>
              <w:rPr>
                <w:rFonts w:hint="eastAsia" w:ascii="宋体" w:hAnsi="宋体" w:cs="宋体"/>
                <w:i w:val="0"/>
                <w:iCs w:val="0"/>
                <w:color w:val="auto"/>
                <w:kern w:val="0"/>
                <w:sz w:val="21"/>
                <w:szCs w:val="21"/>
                <w:highlight w:val="none"/>
                <w:u w:val="none"/>
                <w:lang w:val="en-US" w:eastAsia="zh-CN" w:bidi="ar"/>
              </w:rPr>
              <w:t>2.8</w:t>
            </w:r>
            <w:r>
              <w:rPr>
                <w:rFonts w:hint="eastAsia" w:ascii="宋体" w:hAnsi="宋体" w:eastAsia="宋体" w:cs="宋体"/>
                <w:i w:val="0"/>
                <w:iCs w:val="0"/>
                <w:color w:val="auto"/>
                <w:kern w:val="0"/>
                <w:sz w:val="21"/>
                <w:szCs w:val="21"/>
                <w:highlight w:val="none"/>
                <w:u w:val="none"/>
                <w:lang w:val="en-US" w:eastAsia="zh-CN" w:bidi="ar"/>
              </w:rPr>
              <w:t>分，排名第13至第15得</w:t>
            </w:r>
            <w:r>
              <w:rPr>
                <w:rFonts w:hint="eastAsia" w:ascii="宋体" w:hAnsi="宋体" w:cs="宋体"/>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分，排名第15以外不得分。</w:t>
            </w:r>
          </w:p>
        </w:tc>
      </w:tr>
      <w:tr w14:paraId="1A14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7CD8">
            <w:pPr>
              <w:jc w:val="left"/>
              <w:rPr>
                <w:rFonts w:hint="eastAsia" w:ascii="宋体" w:hAnsi="宋体" w:eastAsia="宋体" w:cs="宋体"/>
                <w:i w:val="0"/>
                <w:iCs w:val="0"/>
                <w:color w:val="auto"/>
                <w:sz w:val="21"/>
                <w:szCs w:val="21"/>
                <w:highlight w:val="none"/>
                <w:u w:val="none"/>
              </w:rPr>
            </w:pP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7AE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 2022年1月1日-2025年9月30日全国范围内地方国有企业中期票据的总承销只数</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47EDC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CCC53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以Wind资讯统计为依据，排名前三得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分，排名第4至第6得</w:t>
            </w:r>
            <w:r>
              <w:rPr>
                <w:rFonts w:hint="eastAsia" w:ascii="宋体" w:hAnsi="宋体" w:cs="宋体"/>
                <w:i w:val="0"/>
                <w:iCs w:val="0"/>
                <w:color w:val="auto"/>
                <w:kern w:val="0"/>
                <w:sz w:val="21"/>
                <w:szCs w:val="21"/>
                <w:highlight w:val="none"/>
                <w:u w:val="none"/>
                <w:lang w:val="en-US" w:eastAsia="zh-CN" w:bidi="ar"/>
              </w:rPr>
              <w:t>5.6</w:t>
            </w:r>
            <w:r>
              <w:rPr>
                <w:rFonts w:hint="eastAsia" w:ascii="宋体" w:hAnsi="宋体" w:eastAsia="宋体" w:cs="宋体"/>
                <w:i w:val="0"/>
                <w:iCs w:val="0"/>
                <w:color w:val="auto"/>
                <w:kern w:val="0"/>
                <w:sz w:val="21"/>
                <w:szCs w:val="21"/>
                <w:highlight w:val="none"/>
                <w:u w:val="none"/>
                <w:lang w:val="en-US" w:eastAsia="zh-CN" w:bidi="ar"/>
              </w:rPr>
              <w:t>分，排名第7至第9得</w:t>
            </w:r>
            <w:r>
              <w:rPr>
                <w:rFonts w:hint="eastAsia" w:ascii="宋体" w:hAnsi="宋体" w:cs="宋体"/>
                <w:i w:val="0"/>
                <w:iCs w:val="0"/>
                <w:color w:val="auto"/>
                <w:kern w:val="0"/>
                <w:sz w:val="21"/>
                <w:szCs w:val="21"/>
                <w:highlight w:val="none"/>
                <w:u w:val="none"/>
                <w:lang w:val="en-US" w:eastAsia="zh-CN" w:bidi="ar"/>
              </w:rPr>
              <w:t>4.2</w:t>
            </w:r>
            <w:r>
              <w:rPr>
                <w:rFonts w:hint="eastAsia" w:ascii="宋体" w:hAnsi="宋体" w:eastAsia="宋体" w:cs="宋体"/>
                <w:i w:val="0"/>
                <w:iCs w:val="0"/>
                <w:color w:val="auto"/>
                <w:kern w:val="0"/>
                <w:sz w:val="21"/>
                <w:szCs w:val="21"/>
                <w:highlight w:val="none"/>
                <w:u w:val="none"/>
                <w:lang w:val="en-US" w:eastAsia="zh-CN" w:bidi="ar"/>
              </w:rPr>
              <w:t>分，排名第10至第12得</w:t>
            </w:r>
            <w:r>
              <w:rPr>
                <w:rFonts w:hint="eastAsia" w:ascii="宋体" w:hAnsi="宋体" w:cs="宋体"/>
                <w:i w:val="0"/>
                <w:iCs w:val="0"/>
                <w:color w:val="auto"/>
                <w:kern w:val="0"/>
                <w:sz w:val="21"/>
                <w:szCs w:val="21"/>
                <w:highlight w:val="none"/>
                <w:u w:val="none"/>
                <w:lang w:val="en-US" w:eastAsia="zh-CN" w:bidi="ar"/>
              </w:rPr>
              <w:t>2.8</w:t>
            </w:r>
            <w:r>
              <w:rPr>
                <w:rFonts w:hint="eastAsia" w:ascii="宋体" w:hAnsi="宋体" w:eastAsia="宋体" w:cs="宋体"/>
                <w:i w:val="0"/>
                <w:iCs w:val="0"/>
                <w:color w:val="auto"/>
                <w:kern w:val="0"/>
                <w:sz w:val="21"/>
                <w:szCs w:val="21"/>
                <w:highlight w:val="none"/>
                <w:u w:val="none"/>
                <w:lang w:val="en-US" w:eastAsia="zh-CN" w:bidi="ar"/>
              </w:rPr>
              <w:t>分，排名第13至第15得</w:t>
            </w:r>
            <w:r>
              <w:rPr>
                <w:rFonts w:hint="eastAsia" w:ascii="宋体" w:hAnsi="宋体" w:cs="宋体"/>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分，排名第15以外不得分。</w:t>
            </w:r>
          </w:p>
        </w:tc>
      </w:tr>
      <w:tr w14:paraId="6766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6997">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2.发行承销方案（</w:t>
            </w:r>
            <w:r>
              <w:rPr>
                <w:rFonts w:hint="eastAsia" w:ascii="宋体" w:hAnsi="宋体" w:cs="宋体"/>
                <w:i w:val="0"/>
                <w:iCs w:val="0"/>
                <w:color w:val="auto"/>
                <w:kern w:val="0"/>
                <w:sz w:val="21"/>
                <w:szCs w:val="21"/>
                <w:highlight w:val="none"/>
                <w:u w:val="none"/>
                <w:lang w:val="en-US" w:eastAsia="zh-CN" w:bidi="ar"/>
              </w:rPr>
              <w:t>35</w:t>
            </w:r>
            <w:r>
              <w:rPr>
                <w:rFonts w:hint="eastAsia" w:ascii="宋体" w:hAnsi="宋体" w:eastAsia="宋体" w:cs="宋体"/>
                <w:i w:val="0"/>
                <w:iCs w:val="0"/>
                <w:color w:val="auto"/>
                <w:kern w:val="0"/>
                <w:sz w:val="21"/>
                <w:szCs w:val="21"/>
                <w:highlight w:val="none"/>
                <w:u w:val="none"/>
                <w:lang w:val="en-US" w:eastAsia="zh-CN" w:bidi="ar"/>
              </w:rPr>
              <w:t>分）</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D89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 对发行人认知深度与方案针对性（包括但不限于与发行人的具体合作案例如流贷金额、债券投资额度、其他金融服务、发行时机、利率区间预测、期限结构设计等）</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98F3C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14</w:t>
            </w:r>
          </w:p>
        </w:tc>
        <w:tc>
          <w:tcPr>
            <w:tcW w:w="41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86AFE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优秀(</w:t>
            </w:r>
            <w:r>
              <w:rPr>
                <w:rFonts w:hint="eastAsia" w:ascii="宋体" w:hAnsi="宋体" w:cs="宋体"/>
                <w:i w:val="0"/>
                <w:iCs w:val="0"/>
                <w:color w:val="auto"/>
                <w:kern w:val="0"/>
                <w:sz w:val="21"/>
                <w:szCs w:val="21"/>
                <w:highlight w:val="none"/>
                <w:u w:val="none"/>
                <w:lang w:val="en-US" w:eastAsia="zh-CN" w:bidi="ar"/>
              </w:rPr>
              <w:t>9.1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14.0</w:t>
            </w:r>
            <w:r>
              <w:rPr>
                <w:rFonts w:hint="eastAsia" w:ascii="宋体" w:hAnsi="宋体" w:eastAsia="宋体" w:cs="宋体"/>
                <w:i w:val="0"/>
                <w:iCs w:val="0"/>
                <w:color w:val="auto"/>
                <w:kern w:val="0"/>
                <w:sz w:val="21"/>
                <w:szCs w:val="21"/>
                <w:highlight w:val="none"/>
                <w:u w:val="none"/>
                <w:lang w:val="en-US" w:eastAsia="zh-CN" w:bidi="ar"/>
              </w:rPr>
              <w:t>分)： 投标方案清晰、准确地分析了发行人的行业地位、经营特点、财务结构和融资需求。列举的近四年（2022-2025年）合作案例</w:t>
            </w:r>
            <w:r>
              <w:rPr>
                <w:rFonts w:hint="eastAsia" w:ascii="宋体" w:hAnsi="宋体" w:cs="宋体"/>
                <w:i w:val="0"/>
                <w:iCs w:val="0"/>
                <w:color w:val="auto"/>
                <w:kern w:val="0"/>
                <w:sz w:val="21"/>
                <w:szCs w:val="21"/>
                <w:highlight w:val="none"/>
                <w:u w:val="none"/>
                <w:lang w:val="en-US" w:eastAsia="zh-CN" w:bidi="ar"/>
              </w:rPr>
              <w:t>规模较大</w:t>
            </w:r>
            <w:r>
              <w:rPr>
                <w:rFonts w:hint="eastAsia" w:ascii="宋体" w:hAnsi="宋体" w:eastAsia="宋体" w:cs="宋体"/>
                <w:i w:val="0"/>
                <w:iCs w:val="0"/>
                <w:color w:val="auto"/>
                <w:kern w:val="0"/>
                <w:sz w:val="21"/>
                <w:szCs w:val="21"/>
                <w:highlight w:val="none"/>
                <w:u w:val="none"/>
                <w:lang w:val="en-US" w:eastAsia="zh-CN" w:bidi="ar"/>
              </w:rPr>
              <w:t xml:space="preserve">，并基于此深度分析，提出了高度定制化的发行方案。 </w:t>
            </w:r>
          </w:p>
          <w:p w14:paraId="525E384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中等 (</w:t>
            </w:r>
            <w:r>
              <w:rPr>
                <w:rFonts w:hint="eastAsia" w:ascii="宋体" w:hAnsi="宋体" w:cs="宋体"/>
                <w:i w:val="0"/>
                <w:iCs w:val="0"/>
                <w:color w:val="auto"/>
                <w:kern w:val="0"/>
                <w:sz w:val="21"/>
                <w:szCs w:val="21"/>
                <w:highlight w:val="none"/>
                <w:u w:val="none"/>
                <w:lang w:val="en-US" w:eastAsia="zh-CN" w:bidi="ar"/>
              </w:rPr>
              <w:t>4.1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9.0</w:t>
            </w:r>
            <w:r>
              <w:rPr>
                <w:rFonts w:hint="eastAsia" w:ascii="宋体" w:hAnsi="宋体" w:eastAsia="宋体" w:cs="宋体"/>
                <w:i w:val="0"/>
                <w:iCs w:val="0"/>
                <w:color w:val="auto"/>
                <w:kern w:val="0"/>
                <w:sz w:val="21"/>
                <w:szCs w:val="21"/>
                <w:highlight w:val="none"/>
                <w:u w:val="none"/>
                <w:lang w:val="en-US" w:eastAsia="zh-CN" w:bidi="ar"/>
              </w:rPr>
              <w:t>分)： 对发行人情况有较好了解，能列举部分合作基础，方案有一定针对性，但分析深度和细节不足。</w:t>
            </w:r>
          </w:p>
          <w:p w14:paraId="56954FC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 (0-</w:t>
            </w:r>
            <w:r>
              <w:rPr>
                <w:rFonts w:hint="eastAsia" w:ascii="宋体" w:hAnsi="宋体" w:cs="宋体"/>
                <w:i w:val="0"/>
                <w:iCs w:val="0"/>
                <w:color w:val="auto"/>
                <w:kern w:val="0"/>
                <w:sz w:val="21"/>
                <w:szCs w:val="21"/>
                <w:highlight w:val="none"/>
                <w:u w:val="none"/>
                <w:lang w:val="en-US" w:eastAsia="zh-CN" w:bidi="ar"/>
              </w:rPr>
              <w:t>4.0</w:t>
            </w:r>
            <w:r>
              <w:rPr>
                <w:rFonts w:hint="eastAsia" w:ascii="宋体" w:hAnsi="宋体" w:eastAsia="宋体" w:cs="宋体"/>
                <w:i w:val="0"/>
                <w:iCs w:val="0"/>
                <w:color w:val="auto"/>
                <w:kern w:val="0"/>
                <w:sz w:val="21"/>
                <w:szCs w:val="21"/>
                <w:highlight w:val="none"/>
                <w:u w:val="none"/>
                <w:lang w:val="en-US" w:eastAsia="zh-CN" w:bidi="ar"/>
              </w:rPr>
              <w:t>分)： 对发行人的认知较为泛泛，没有具体合作案例，方案针对性一般，未能有效利用既往合作信息。</w:t>
            </w:r>
          </w:p>
        </w:tc>
      </w:tr>
      <w:tr w14:paraId="10E9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9"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4D88">
            <w:pPr>
              <w:jc w:val="both"/>
              <w:rPr>
                <w:rFonts w:hint="eastAsia" w:ascii="宋体" w:hAnsi="宋体" w:eastAsia="宋体" w:cs="宋体"/>
                <w:i w:val="0"/>
                <w:iCs w:val="0"/>
                <w:color w:val="auto"/>
                <w:sz w:val="21"/>
                <w:szCs w:val="21"/>
                <w:highlight w:val="none"/>
                <w:u w:val="none"/>
              </w:rPr>
            </w:pP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A9A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 债券注册发行的方案设计及项目发行特点和难点分析</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08AA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AF8A90">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优秀(</w:t>
            </w:r>
            <w:r>
              <w:rPr>
                <w:rFonts w:hint="eastAsia" w:ascii="宋体" w:hAnsi="宋体" w:cs="宋体"/>
                <w:i w:val="0"/>
                <w:iCs w:val="0"/>
                <w:color w:val="auto"/>
                <w:kern w:val="0"/>
                <w:sz w:val="21"/>
                <w:szCs w:val="21"/>
                <w:highlight w:val="none"/>
                <w:u w:val="none"/>
                <w:lang w:val="en-US" w:eastAsia="zh-CN" w:bidi="ar"/>
              </w:rPr>
              <w:t>5.1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7.0</w:t>
            </w:r>
            <w:r>
              <w:rPr>
                <w:rFonts w:hint="eastAsia" w:ascii="宋体" w:hAnsi="宋体" w:eastAsia="宋体" w:cs="宋体"/>
                <w:i w:val="0"/>
                <w:iCs w:val="0"/>
                <w:color w:val="auto"/>
                <w:kern w:val="0"/>
                <w:sz w:val="21"/>
                <w:szCs w:val="21"/>
                <w:highlight w:val="none"/>
                <w:u w:val="none"/>
                <w:lang w:val="en-US" w:eastAsia="zh-CN" w:bidi="ar"/>
              </w:rPr>
              <w:t>分)：方案内容详实，具有较强的针对性及可行性，内容包括但不限于尽职调查的时间安排、撰写报告的时间安排、报批的时间安排、报批的跟进及反馈时间安排等，并设计了针对市场波动、募集资金使用等风险的特点难点分析。</w:t>
            </w:r>
          </w:p>
          <w:p w14:paraId="09A4EBD4">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中等 (</w:t>
            </w:r>
            <w:r>
              <w:rPr>
                <w:rFonts w:hint="eastAsia" w:ascii="宋体" w:hAnsi="宋体" w:cs="宋体"/>
                <w:i w:val="0"/>
                <w:iCs w:val="0"/>
                <w:color w:val="auto"/>
                <w:kern w:val="0"/>
                <w:sz w:val="21"/>
                <w:szCs w:val="21"/>
                <w:highlight w:val="none"/>
                <w:u w:val="none"/>
                <w:lang w:val="en-US" w:eastAsia="zh-CN" w:bidi="ar"/>
              </w:rPr>
              <w:t>2.1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分)：方案内容较为详实，但方案的针对性和可行性一般，特点难点分析不够全面。</w:t>
            </w:r>
          </w:p>
          <w:p w14:paraId="4B59F3D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 (0-</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分)： 方案简单，仅满足基本要求，无特点难点分析。</w:t>
            </w:r>
          </w:p>
        </w:tc>
      </w:tr>
      <w:tr w14:paraId="404C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7451">
            <w:pPr>
              <w:jc w:val="both"/>
              <w:rPr>
                <w:rFonts w:hint="eastAsia" w:ascii="宋体" w:hAnsi="宋体" w:eastAsia="宋体" w:cs="宋体"/>
                <w:i w:val="0"/>
                <w:iCs w:val="0"/>
                <w:color w:val="auto"/>
                <w:sz w:val="21"/>
                <w:szCs w:val="21"/>
                <w:highlight w:val="none"/>
                <w:u w:val="none"/>
              </w:rPr>
            </w:pP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BF5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 存续期管理及风险应急方案</w:t>
            </w:r>
          </w:p>
        </w:tc>
        <w:tc>
          <w:tcPr>
            <w:tcW w:w="8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69E9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7</w:t>
            </w:r>
          </w:p>
        </w:tc>
        <w:tc>
          <w:tcPr>
            <w:tcW w:w="412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AEB9E5">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优秀(</w:t>
            </w:r>
            <w:r>
              <w:rPr>
                <w:rFonts w:hint="eastAsia" w:ascii="宋体" w:hAnsi="宋体" w:cs="宋体"/>
                <w:i w:val="0"/>
                <w:iCs w:val="0"/>
                <w:color w:val="auto"/>
                <w:kern w:val="0"/>
                <w:sz w:val="21"/>
                <w:szCs w:val="21"/>
                <w:highlight w:val="none"/>
                <w:u w:val="none"/>
                <w:lang w:val="en-US" w:eastAsia="zh-CN" w:bidi="ar"/>
              </w:rPr>
              <w:t>5.1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7.0</w:t>
            </w:r>
            <w:r>
              <w:rPr>
                <w:rFonts w:hint="eastAsia" w:ascii="宋体" w:hAnsi="宋体" w:eastAsia="宋体" w:cs="宋体"/>
                <w:i w:val="0"/>
                <w:iCs w:val="0"/>
                <w:color w:val="auto"/>
                <w:kern w:val="0"/>
                <w:sz w:val="21"/>
                <w:szCs w:val="21"/>
                <w:highlight w:val="none"/>
                <w:u w:val="none"/>
                <w:lang w:val="en-US" w:eastAsia="zh-CN" w:bidi="ar"/>
              </w:rPr>
              <w:t>分)：方案包含专业、详尽的存续期管理制度和人员安排，并设计了针对市场波动、募集资金使用等风险的完备应急处置预案。</w:t>
            </w:r>
          </w:p>
          <w:p w14:paraId="075B5B0E">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中等 (</w:t>
            </w:r>
            <w:r>
              <w:rPr>
                <w:rFonts w:hint="eastAsia" w:ascii="宋体" w:hAnsi="宋体" w:cs="宋体"/>
                <w:i w:val="0"/>
                <w:iCs w:val="0"/>
                <w:color w:val="auto"/>
                <w:kern w:val="0"/>
                <w:sz w:val="21"/>
                <w:szCs w:val="21"/>
                <w:highlight w:val="none"/>
                <w:u w:val="none"/>
                <w:lang w:val="en-US" w:eastAsia="zh-CN" w:bidi="ar"/>
              </w:rPr>
              <w:t>2.1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分)：方案内容较为全面，但风险预案的针对性和可操作性一般。</w:t>
            </w:r>
          </w:p>
          <w:p w14:paraId="28186EE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一般(0-</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分)：方案简单，仅满足基本要求。</w:t>
            </w:r>
          </w:p>
        </w:tc>
      </w:tr>
      <w:tr w14:paraId="7EC3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292D">
            <w:pPr>
              <w:jc w:val="both"/>
              <w:rPr>
                <w:rFonts w:hint="eastAsia" w:ascii="宋体" w:hAnsi="宋体" w:eastAsia="宋体" w:cs="宋体"/>
                <w:i w:val="0"/>
                <w:iCs w:val="0"/>
                <w:color w:val="auto"/>
                <w:sz w:val="21"/>
                <w:szCs w:val="21"/>
                <w:highlight w:val="none"/>
                <w:u w:val="none"/>
              </w:rPr>
            </w:pP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746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 是否余额包销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96F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7</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1CF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承诺余额包销的，得</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分；不承诺得0分。</w:t>
            </w:r>
          </w:p>
        </w:tc>
      </w:tr>
      <w:tr w14:paraId="7917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DBE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3.项目组织与技术人员配备（</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C42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 项目组负责人专业知识能力、主承销的项目经验（项目个数、金额等）；项目组成团队人员的配备情况、技术水平、类似工作经验、相关职称、学历等综合实力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0F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7</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125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根据项目组负责人能力经验及团队综合实力予以赋分，优秀</w:t>
            </w:r>
            <w:r>
              <w:rPr>
                <w:rFonts w:hint="eastAsia" w:ascii="宋体" w:hAnsi="宋体" w:cs="宋体"/>
                <w:i w:val="0"/>
                <w:iCs w:val="0"/>
                <w:color w:val="auto"/>
                <w:kern w:val="0"/>
                <w:sz w:val="21"/>
                <w:szCs w:val="21"/>
                <w:highlight w:val="none"/>
                <w:u w:val="none"/>
                <w:lang w:val="en-US" w:eastAsia="zh-CN" w:bidi="ar"/>
              </w:rPr>
              <w:t>5.1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7.0</w:t>
            </w:r>
            <w:r>
              <w:rPr>
                <w:rFonts w:hint="eastAsia" w:ascii="宋体" w:hAnsi="宋体" w:eastAsia="宋体" w:cs="宋体"/>
                <w:i w:val="0"/>
                <w:iCs w:val="0"/>
                <w:color w:val="auto"/>
                <w:kern w:val="0"/>
                <w:sz w:val="21"/>
                <w:szCs w:val="21"/>
                <w:highlight w:val="none"/>
                <w:u w:val="none"/>
                <w:lang w:val="en-US" w:eastAsia="zh-CN" w:bidi="ar"/>
              </w:rPr>
              <w:t>分，中等</w:t>
            </w:r>
            <w:r>
              <w:rPr>
                <w:rFonts w:hint="eastAsia" w:ascii="宋体" w:hAnsi="宋体" w:cs="宋体"/>
                <w:i w:val="0"/>
                <w:iCs w:val="0"/>
                <w:color w:val="auto"/>
                <w:kern w:val="0"/>
                <w:sz w:val="21"/>
                <w:szCs w:val="21"/>
                <w:highlight w:val="none"/>
                <w:u w:val="none"/>
                <w:lang w:val="en-US" w:eastAsia="zh-CN" w:bidi="ar"/>
              </w:rPr>
              <w:t>2.1</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分，一般0-</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分。</w:t>
            </w:r>
          </w:p>
        </w:tc>
      </w:tr>
      <w:tr w14:paraId="13EB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7"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BD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Style w:val="101"/>
                <w:rFonts w:hint="eastAsia" w:ascii="宋体" w:hAnsi="宋体" w:eastAsia="宋体" w:cs="宋体"/>
                <w:color w:val="auto"/>
                <w:kern w:val="2"/>
                <w:sz w:val="21"/>
                <w:szCs w:val="21"/>
                <w:highlight w:val="none"/>
                <w:lang w:val="en-US" w:eastAsia="zh-CN" w:bidi="ar"/>
              </w:rPr>
              <w:t>二</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F3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auto"/>
                <w:kern w:val="0"/>
                <w:sz w:val="21"/>
                <w:szCs w:val="21"/>
                <w:highlight w:val="none"/>
                <w:lang w:val="en-US" w:eastAsia="zh-CN" w:bidi="ar"/>
              </w:rPr>
              <w:t>报价分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EE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auto"/>
                <w:kern w:val="0"/>
                <w:sz w:val="21"/>
                <w:szCs w:val="21"/>
                <w:highlight w:val="none"/>
                <w:lang w:eastAsia="zh-CN" w:bidi="ar"/>
              </w:rPr>
              <w:t>30</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CCC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color w:val="auto"/>
                <w:kern w:val="0"/>
                <w:sz w:val="21"/>
                <w:szCs w:val="21"/>
                <w:highlight w:val="none"/>
                <w:lang w:val="en-US" w:eastAsia="zh-CN" w:bidi="ar"/>
              </w:rPr>
            </w:pPr>
            <w:r>
              <w:rPr>
                <w:rFonts w:hint="eastAsia" w:ascii="宋体" w:hAnsi="宋体" w:eastAsia="宋体" w:cs="宋体"/>
                <w:i w:val="0"/>
                <w:color w:val="auto"/>
                <w:kern w:val="0"/>
                <w:sz w:val="21"/>
                <w:szCs w:val="21"/>
                <w:highlight w:val="none"/>
                <w:lang w:val="en-US" w:eastAsia="zh-CN" w:bidi="ar"/>
              </w:rPr>
              <w:t>投标报价=承销费率（%/年）</w:t>
            </w:r>
          </w:p>
          <w:p w14:paraId="03564EE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auto"/>
                <w:kern w:val="0"/>
                <w:sz w:val="21"/>
                <w:szCs w:val="21"/>
                <w:highlight w:val="none"/>
                <w:lang w:val="en-US" w:eastAsia="zh-CN" w:bidi="ar"/>
              </w:rPr>
              <w:t>1.评标基准价的确定方式：有效标在5家以上的取最低五家报价值的平均值作为基准值，有效标在5家以下的取实际参选单位报价的平均值作为基准值；</w:t>
            </w:r>
            <w:r>
              <w:rPr>
                <w:rFonts w:hint="eastAsia" w:ascii="宋体" w:hAnsi="宋体" w:eastAsia="宋体" w:cs="宋体"/>
                <w:i w:val="0"/>
                <w:color w:val="auto"/>
                <w:kern w:val="0"/>
                <w:sz w:val="21"/>
                <w:szCs w:val="21"/>
                <w:highlight w:val="none"/>
                <w:lang w:val="en-US" w:eastAsia="zh-CN" w:bidi="ar"/>
              </w:rPr>
              <w:br w:type="textWrapping"/>
            </w:r>
            <w:r>
              <w:rPr>
                <w:rFonts w:hint="eastAsia" w:ascii="宋体" w:hAnsi="宋体" w:eastAsia="宋体" w:cs="宋体"/>
                <w:i w:val="0"/>
                <w:color w:val="auto"/>
                <w:kern w:val="0"/>
                <w:sz w:val="21"/>
                <w:szCs w:val="21"/>
                <w:highlight w:val="none"/>
                <w:lang w:val="en-US" w:eastAsia="zh-CN" w:bidi="ar"/>
              </w:rPr>
              <w:t>2.其他投标人的报价分统一按</w:t>
            </w:r>
            <w:bookmarkStart w:id="162" w:name="_GoBack"/>
            <w:bookmarkEnd w:id="162"/>
            <w:r>
              <w:rPr>
                <w:rFonts w:hint="eastAsia" w:ascii="宋体" w:hAnsi="宋体" w:eastAsia="宋体" w:cs="宋体"/>
                <w:i w:val="0"/>
                <w:color w:val="auto"/>
                <w:kern w:val="0"/>
                <w:sz w:val="21"/>
                <w:szCs w:val="21"/>
                <w:highlight w:val="none"/>
                <w:lang w:val="en-US" w:eastAsia="zh-CN" w:bidi="ar"/>
              </w:rPr>
              <w:t>照下列公式计算：</w:t>
            </w:r>
            <w:r>
              <w:rPr>
                <w:rFonts w:hint="eastAsia" w:ascii="宋体" w:hAnsi="宋体" w:eastAsia="宋体" w:cs="宋体"/>
                <w:i w:val="0"/>
                <w:color w:val="auto"/>
                <w:kern w:val="0"/>
                <w:sz w:val="21"/>
                <w:szCs w:val="21"/>
                <w:highlight w:val="none"/>
                <w:lang w:val="en-US" w:eastAsia="zh-CN" w:bidi="ar"/>
              </w:rPr>
              <w:br w:type="textWrapping"/>
            </w:r>
            <w:r>
              <w:rPr>
                <w:rFonts w:hint="eastAsia" w:ascii="宋体" w:hAnsi="宋体" w:eastAsia="宋体" w:cs="宋体"/>
                <w:i w:val="0"/>
                <w:color w:val="auto"/>
                <w:kern w:val="0"/>
                <w:sz w:val="21"/>
                <w:szCs w:val="21"/>
                <w:highlight w:val="none"/>
                <w:lang w:val="en-US" w:eastAsia="zh-CN" w:bidi="ar"/>
              </w:rPr>
              <w:t xml:space="preserve">报价分 = </w:t>
            </w:r>
            <m:oMath>
              <m:d>
                <m:dPr>
                  <m:begChr m:val="["/>
                  <m:endChr m:val="]"/>
                  <m:ctrlPr>
                    <w:rPr>
                      <w:rFonts w:hint="eastAsia" w:ascii="Cambria Math" w:hAnsi="Cambria Math" w:eastAsia="宋体" w:cs="宋体"/>
                      <w:i w:val="0"/>
                      <w:color w:val="auto"/>
                      <w:kern w:val="0"/>
                      <w:sz w:val="21"/>
                      <w:szCs w:val="21"/>
                      <w:highlight w:val="none"/>
                      <w:lang w:val="en-US" w:eastAsia="zh-CN" w:bidi="ar"/>
                    </w:rPr>
                  </m:ctrlPr>
                </m:dPr>
                <m:e>
                  <m:r>
                    <m:rPr>
                      <m:sty m:val="p"/>
                    </m:rPr>
                    <w:rPr>
                      <w:rFonts w:hint="eastAsia" w:ascii="Cambria Math" w:hAnsi="Cambria Math" w:eastAsia="宋体" w:cs="宋体"/>
                      <w:color w:val="auto"/>
                      <w:kern w:val="0"/>
                      <w:sz w:val="21"/>
                      <w:szCs w:val="21"/>
                      <w:highlight w:val="none"/>
                      <w:lang w:val="en-US" w:eastAsia="zh-CN" w:bidi="ar"/>
                    </w:rPr>
                    <m:t>1−</m:t>
                  </m:r>
                  <m:f>
                    <m:fPr>
                      <m:ctrlPr>
                        <w:rPr>
                          <w:rFonts w:hint="eastAsia" w:ascii="Cambria Math" w:hAnsi="Cambria Math" w:eastAsia="宋体" w:cs="宋体"/>
                          <w:i w:val="0"/>
                          <w:color w:val="auto"/>
                          <w:kern w:val="0"/>
                          <w:sz w:val="21"/>
                          <w:szCs w:val="21"/>
                          <w:highlight w:val="none"/>
                          <w:lang w:val="en-US" w:eastAsia="zh-CN" w:bidi="ar"/>
                        </w:rPr>
                      </m:ctrlPr>
                    </m:fPr>
                    <m:num>
                      <m:d>
                        <m:dPr>
                          <m:begChr m:val="|"/>
                          <m:endChr m:val="|"/>
                          <m:ctrlPr>
                            <w:rPr>
                              <w:rFonts w:hint="eastAsia" w:ascii="Cambria Math" w:hAnsi="Cambria Math" w:eastAsia="宋体" w:cs="宋体"/>
                              <w:i w:val="0"/>
                              <w:color w:val="auto"/>
                              <w:kern w:val="0"/>
                              <w:sz w:val="21"/>
                              <w:szCs w:val="21"/>
                              <w:highlight w:val="none"/>
                              <w:lang w:val="en-US" w:eastAsia="zh-CN" w:bidi="ar"/>
                            </w:rPr>
                          </m:ctrlPr>
                        </m:dPr>
                        <m:e>
                          <m:r>
                            <m:rPr>
                              <m:sty m:val="p"/>
                            </m:rPr>
                            <w:rPr>
                              <w:rFonts w:hint="eastAsia" w:ascii="Cambria Math" w:hAnsi="Cambria Math" w:eastAsia="宋体" w:cs="宋体"/>
                              <w:color w:val="auto"/>
                              <w:kern w:val="0"/>
                              <w:sz w:val="21"/>
                              <w:szCs w:val="21"/>
                              <w:highlight w:val="none"/>
                              <w:lang w:val="en-US" w:eastAsia="zh-CN" w:bidi="ar"/>
                            </w:rPr>
                            <m:t>投标报价−评标基准价</m:t>
                          </m:r>
                          <m:ctrlPr>
                            <w:rPr>
                              <w:rFonts w:hint="eastAsia" w:ascii="Cambria Math" w:hAnsi="Cambria Math" w:eastAsia="宋体" w:cs="宋体"/>
                              <w:i w:val="0"/>
                              <w:color w:val="auto"/>
                              <w:kern w:val="0"/>
                              <w:sz w:val="21"/>
                              <w:szCs w:val="21"/>
                              <w:highlight w:val="none"/>
                              <w:lang w:val="en-US" w:eastAsia="zh-CN" w:bidi="ar"/>
                            </w:rPr>
                          </m:ctrlPr>
                        </m:e>
                      </m:d>
                      <m:ctrlPr>
                        <w:rPr>
                          <w:rFonts w:hint="eastAsia" w:ascii="Cambria Math" w:hAnsi="Cambria Math" w:eastAsia="宋体" w:cs="宋体"/>
                          <w:i w:val="0"/>
                          <w:color w:val="auto"/>
                          <w:kern w:val="0"/>
                          <w:sz w:val="21"/>
                          <w:szCs w:val="21"/>
                          <w:highlight w:val="none"/>
                          <w:lang w:val="en-US" w:eastAsia="zh-CN" w:bidi="ar"/>
                        </w:rPr>
                      </m:ctrlPr>
                    </m:num>
                    <m:den>
                      <m:r>
                        <m:rPr>
                          <m:sty m:val="p"/>
                        </m:rPr>
                        <w:rPr>
                          <w:rFonts w:hint="eastAsia" w:ascii="Cambria Math" w:hAnsi="Cambria Math" w:eastAsia="宋体" w:cs="宋体"/>
                          <w:color w:val="auto"/>
                          <w:kern w:val="0"/>
                          <w:sz w:val="21"/>
                          <w:szCs w:val="21"/>
                          <w:highlight w:val="none"/>
                          <w:lang w:val="en-US" w:eastAsia="zh-CN" w:bidi="ar"/>
                        </w:rPr>
                        <m:t>评标基准价</m:t>
                      </m:r>
                      <m:ctrlPr>
                        <w:rPr>
                          <w:rFonts w:hint="eastAsia" w:ascii="Cambria Math" w:hAnsi="Cambria Math" w:eastAsia="宋体" w:cs="宋体"/>
                          <w:i w:val="0"/>
                          <w:color w:val="auto"/>
                          <w:kern w:val="0"/>
                          <w:sz w:val="21"/>
                          <w:szCs w:val="21"/>
                          <w:highlight w:val="none"/>
                          <w:lang w:val="en-US" w:eastAsia="zh-CN" w:bidi="ar"/>
                        </w:rPr>
                      </m:ctrlPr>
                    </m:den>
                  </m:f>
                  <m:ctrlPr>
                    <w:rPr>
                      <w:rFonts w:hint="eastAsia" w:ascii="Cambria Math" w:hAnsi="Cambria Math" w:eastAsia="宋体" w:cs="宋体"/>
                      <w:i w:val="0"/>
                      <w:color w:val="auto"/>
                      <w:kern w:val="0"/>
                      <w:sz w:val="21"/>
                      <w:szCs w:val="21"/>
                      <w:highlight w:val="none"/>
                      <w:lang w:val="en-US" w:eastAsia="zh-CN" w:bidi="ar"/>
                    </w:rPr>
                  </m:ctrlPr>
                </m:e>
              </m:d>
            </m:oMath>
            <w:r>
              <w:rPr>
                <w:rFonts w:hint="eastAsia" w:ascii="宋体" w:hAnsi="宋体" w:eastAsia="宋体" w:cs="宋体"/>
                <w:i w:val="0"/>
                <w:color w:val="auto"/>
                <w:kern w:val="0"/>
                <w:sz w:val="21"/>
                <w:szCs w:val="21"/>
                <w:highlight w:val="none"/>
                <w:lang w:val="en-US" w:eastAsia="zh-CN" w:bidi="ar"/>
              </w:rPr>
              <w:t>×3</w:t>
            </w:r>
            <w:r>
              <w:rPr>
                <w:rFonts w:hint="eastAsia" w:ascii="宋体" w:hAnsi="宋体" w:eastAsia="宋体" w:cs="宋体"/>
                <w:i w:val="0"/>
                <w:color w:val="auto"/>
                <w:kern w:val="0"/>
                <w:sz w:val="21"/>
                <w:szCs w:val="21"/>
                <w:highlight w:val="none"/>
                <w:lang w:eastAsia="zh-CN" w:bidi="ar"/>
              </w:rPr>
              <w:t>0</w:t>
            </w:r>
            <w:r>
              <w:rPr>
                <w:rFonts w:hint="eastAsia" w:ascii="宋体" w:hAnsi="宋体" w:eastAsia="宋体" w:cs="宋体"/>
                <w:i w:val="0"/>
                <w:color w:val="auto"/>
                <w:kern w:val="0"/>
                <w:sz w:val="21"/>
                <w:szCs w:val="21"/>
                <w:highlight w:val="none"/>
                <w:lang w:val="en-US" w:eastAsia="zh-CN" w:bidi="ar"/>
              </w:rPr>
              <w:t>%×100</w:t>
            </w:r>
            <w:r>
              <w:rPr>
                <w:rFonts w:hint="eastAsia" w:ascii="宋体" w:hAnsi="宋体" w:eastAsia="宋体" w:cs="宋体"/>
                <w:i w:val="0"/>
                <w:color w:val="auto"/>
                <w:kern w:val="0"/>
                <w:sz w:val="21"/>
                <w:szCs w:val="21"/>
                <w:highlight w:val="none"/>
                <w:lang w:val="en-US" w:eastAsia="zh-CN" w:bidi="ar"/>
              </w:rPr>
              <w:br w:type="textWrapping"/>
            </w:r>
            <w:r>
              <w:rPr>
                <w:rFonts w:hint="eastAsia" w:ascii="宋体" w:hAnsi="宋体" w:eastAsia="宋体" w:cs="宋体"/>
                <w:i w:val="0"/>
                <w:color w:val="auto"/>
                <w:kern w:val="0"/>
                <w:sz w:val="21"/>
                <w:szCs w:val="21"/>
                <w:highlight w:val="none"/>
                <w:lang w:val="en-US" w:eastAsia="zh-CN" w:bidi="ar"/>
              </w:rPr>
              <w:t>计算结果保留小数两位（第3位四舍五入）</w:t>
            </w:r>
          </w:p>
        </w:tc>
      </w:tr>
      <w:tr w14:paraId="1806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B8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Style w:val="101"/>
                <w:rFonts w:hint="eastAsia" w:ascii="宋体" w:hAnsi="宋体" w:eastAsia="宋体" w:cs="宋体"/>
                <w:color w:val="auto"/>
                <w:kern w:val="2"/>
                <w:sz w:val="21"/>
                <w:szCs w:val="21"/>
                <w:highlight w:val="none"/>
                <w:lang w:val="en-US" w:eastAsia="zh-CN" w:bidi="ar"/>
              </w:rPr>
              <w:t>三</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64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auto"/>
                <w:kern w:val="0"/>
                <w:sz w:val="21"/>
                <w:szCs w:val="21"/>
                <w:highlight w:val="none"/>
                <w:lang w:val="en-US" w:eastAsia="zh-CN" w:bidi="ar"/>
              </w:rPr>
              <w:t>综合得分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18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auto"/>
                <w:kern w:val="0"/>
                <w:sz w:val="21"/>
                <w:szCs w:val="21"/>
                <w:highlight w:val="none"/>
                <w:lang w:val="en-US" w:eastAsia="zh-CN" w:bidi="ar"/>
              </w:rPr>
              <w:t>100</w:t>
            </w:r>
          </w:p>
        </w:tc>
        <w:tc>
          <w:tcPr>
            <w:tcW w:w="4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7C0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Style w:val="100"/>
                <w:rFonts w:hint="eastAsia" w:ascii="宋体" w:hAnsi="宋体" w:eastAsia="宋体" w:cs="宋体"/>
                <w:color w:val="auto"/>
                <w:kern w:val="2"/>
                <w:sz w:val="21"/>
                <w:szCs w:val="21"/>
                <w:highlight w:val="none"/>
                <w:lang w:val="en-US" w:eastAsia="zh-CN" w:bidi="ar"/>
              </w:rPr>
              <w:t>投标人综合得分=商务技术分+报价分</w:t>
            </w:r>
          </w:p>
        </w:tc>
      </w:tr>
    </w:tbl>
    <w:p w14:paraId="64614582">
      <w:pPr>
        <w:spacing w:line="420" w:lineRule="exact"/>
        <w:ind w:firstLine="422" w:firstLineChars="200"/>
        <w:rPr>
          <w:rFonts w:hint="eastAsia" w:ascii="宋体" w:hAnsi="宋体" w:eastAsia="宋体" w:cs="宋体"/>
          <w:b/>
          <w:bCs/>
          <w:strike w:val="0"/>
          <w:dstrike w:val="0"/>
          <w:color w:val="auto"/>
          <w:sz w:val="21"/>
          <w:szCs w:val="21"/>
          <w:highlight w:val="none"/>
        </w:rPr>
      </w:pPr>
    </w:p>
    <w:p w14:paraId="2EB230D0">
      <w:pPr>
        <w:pStyle w:val="98"/>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1"/>
        <w:rPr>
          <w:rFonts w:hint="eastAsia"/>
          <w:color w:val="auto"/>
          <w:highlight w:val="none"/>
        </w:rPr>
      </w:pPr>
      <w:bookmarkStart w:id="93" w:name="_Toc19478"/>
      <w:r>
        <w:rPr>
          <w:rFonts w:hint="eastAsia" w:hAnsi="宋体" w:cs="宋体"/>
          <w:b/>
          <w:color w:val="auto"/>
          <w:sz w:val="24"/>
          <w:szCs w:val="24"/>
          <w:highlight w:val="none"/>
        </w:rPr>
        <w:t>四、评标小组不向落标方解释落标原因</w:t>
      </w:r>
      <w:r>
        <w:rPr>
          <w:rFonts w:hint="eastAsia" w:hAnsi="宋体"/>
          <w:b/>
          <w:bCs/>
          <w:color w:val="auto"/>
          <w:highlight w:val="none"/>
        </w:rPr>
        <w:t>。</w:t>
      </w:r>
      <w:bookmarkEnd w:id="93"/>
    </w:p>
    <w:p w14:paraId="511E8308">
      <w:pPr>
        <w:pStyle w:val="2"/>
        <w:keepNext w:val="0"/>
        <w:keepLines w:val="0"/>
        <w:pageBreakBefore/>
        <w:kinsoku/>
        <w:wordWrap/>
        <w:overflowPunct/>
        <w:topLinePunct w:val="0"/>
        <w:autoSpaceDE/>
        <w:autoSpaceDN/>
        <w:bidi w:val="0"/>
        <w:adjustRightInd/>
        <w:snapToGrid/>
        <w:spacing w:before="340" w:after="330" w:line="240" w:lineRule="exact"/>
        <w:jc w:val="center"/>
        <w:textAlignment w:val="auto"/>
        <w:rPr>
          <w:rFonts w:ascii="宋体" w:hAnsi="宋体"/>
          <w:color w:val="auto"/>
          <w:sz w:val="36"/>
          <w:szCs w:val="36"/>
          <w:highlight w:val="none"/>
        </w:rPr>
      </w:pPr>
      <w:bookmarkStart w:id="94" w:name="_Toc1875"/>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七</w:t>
      </w:r>
      <w:r>
        <w:rPr>
          <w:rFonts w:hint="eastAsia" w:ascii="宋体" w:hAnsi="宋体"/>
          <w:color w:val="auto"/>
          <w:sz w:val="36"/>
          <w:szCs w:val="36"/>
          <w:highlight w:val="none"/>
        </w:rPr>
        <w:t>章  合同主要条款</w:t>
      </w:r>
      <w:bookmarkEnd w:id="94"/>
    </w:p>
    <w:p w14:paraId="65A8841F">
      <w:pPr>
        <w:pStyle w:val="29"/>
        <w:spacing w:line="360" w:lineRule="auto"/>
        <w:ind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银行间债券市场非金融企业债务融资工具承销协议</w:t>
      </w:r>
    </w:p>
    <w:p w14:paraId="08FA5F81">
      <w:pPr>
        <w:pStyle w:val="29"/>
        <w:spacing w:line="360" w:lineRule="auto"/>
        <w:ind w:firstLine="643"/>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主要条款</w:t>
      </w:r>
      <w:r>
        <w:rPr>
          <w:rFonts w:hint="eastAsia" w:ascii="仿宋" w:hAnsi="仿宋" w:eastAsia="仿宋" w:cs="仿宋"/>
          <w:b/>
          <w:bCs/>
          <w:color w:val="auto"/>
          <w:sz w:val="32"/>
          <w:szCs w:val="32"/>
          <w:highlight w:val="none"/>
          <w:lang w:eastAsia="zh-CN"/>
        </w:rPr>
        <w:t>）</w:t>
      </w:r>
    </w:p>
    <w:p w14:paraId="2C9F0027">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（协议书以最终签订版本为准）</w:t>
      </w:r>
    </w:p>
    <w:p w14:paraId="5902E92A">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为规范非金融企业债务融资工具承销行为，明确发行方和主承销方的权利义务，维护各方合法权益，根据《中华人民共和国</w:t>
      </w:r>
      <w:r>
        <w:rPr>
          <w:rFonts w:hint="eastAsia" w:ascii="宋体" w:hAnsi="宋体" w:cs="宋体"/>
          <w:color w:val="auto"/>
          <w:szCs w:val="21"/>
          <w:highlight w:val="none"/>
          <w:lang w:val="en-US" w:eastAsia="zh-CN"/>
        </w:rPr>
        <w:t>民法典</w:t>
      </w:r>
      <w:r>
        <w:rPr>
          <w:rFonts w:hint="eastAsia" w:ascii="宋体" w:hAnsi="宋体" w:eastAsia="宋体" w:cs="宋体"/>
          <w:color w:val="auto"/>
          <w:szCs w:val="21"/>
          <w:highlight w:val="none"/>
        </w:rPr>
        <w:t>》、《银行间债券市场非金融企业债务融资工具管理办法》等相关法律及交易商协会相关自律规范文件，以下各方在平等、自愿的基础上签署本协议：</w:t>
      </w:r>
    </w:p>
    <w:p w14:paraId="5F9EBA55">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甲方/发行方：__________</w:t>
      </w:r>
    </w:p>
    <w:p w14:paraId="70AE1F99">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乙方/主承销方：__________</w:t>
      </w:r>
    </w:p>
    <w:p w14:paraId="1D8C3560">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丙方/主承销方（若有）：__________</w:t>
      </w:r>
    </w:p>
    <w:p w14:paraId="2F314B7E">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95" w:name="_Toc29724"/>
      <w:bookmarkStart w:id="96" w:name="_Toc257911871"/>
      <w:r>
        <w:rPr>
          <w:rFonts w:hint="eastAsia" w:ascii="宋体" w:hAnsi="宋体" w:eastAsia="宋体" w:cs="宋体"/>
          <w:b/>
          <w:bCs/>
          <w:color w:val="auto"/>
          <w:szCs w:val="32"/>
          <w:highlight w:val="none"/>
        </w:rPr>
        <w:t>协议的构成与效力等级</w:t>
      </w:r>
      <w:bookmarkEnd w:id="95"/>
      <w:bookmarkEnd w:id="96"/>
    </w:p>
    <w:p w14:paraId="6C5DE35F">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 xml:space="preserve">.1 </w:t>
      </w:r>
      <w:r>
        <w:rPr>
          <w:rFonts w:hint="eastAsia" w:ascii="宋体" w:hAnsi="宋体" w:eastAsia="宋体" w:cs="宋体"/>
          <w:color w:val="auto"/>
          <w:szCs w:val="21"/>
          <w:highlight w:val="none"/>
        </w:rPr>
        <w:t>本协议由以下部分构成：</w:t>
      </w:r>
    </w:p>
    <w:p w14:paraId="1BD6586C">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.1.1</w:t>
      </w:r>
      <w:r>
        <w:rPr>
          <w:rFonts w:hint="eastAsia" w:ascii="宋体" w:hAnsi="宋体" w:eastAsia="宋体" w:cs="宋体"/>
          <w:color w:val="auto"/>
          <w:szCs w:val="21"/>
          <w:highlight w:val="none"/>
        </w:rPr>
        <w:t>《银行间债券市场非金融企业债务融资工具承销协议（2013版）》（简称“承销协议”）；</w:t>
      </w:r>
    </w:p>
    <w:p w14:paraId="12334E3F">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.1.2</w:t>
      </w:r>
      <w:r>
        <w:rPr>
          <w:rFonts w:hint="eastAsia" w:ascii="宋体" w:hAnsi="宋体" w:eastAsia="宋体" w:cs="宋体"/>
          <w:color w:val="auto"/>
          <w:szCs w:val="21"/>
          <w:highlight w:val="none"/>
        </w:rPr>
        <w:t>《银行间债券市场非金融企业债务融资工具承销协议补充协议（2013版）》（简称“补充协议”，若有）；</w:t>
      </w:r>
    </w:p>
    <w:p w14:paraId="2F2CB8BE">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上述文件构成协议各方之间单一和完整的协议。（简称“本协议”）。</w:t>
      </w:r>
    </w:p>
    <w:p w14:paraId="67C19378">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 xml:space="preserve"> 补充协议（若有）与承销协议不一致的，补充协议有优先效力。</w:t>
      </w:r>
    </w:p>
    <w:p w14:paraId="31058C5F">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97" w:name="_Toc257911872"/>
      <w:bookmarkStart w:id="98" w:name="_Toc17715"/>
      <w:r>
        <w:rPr>
          <w:rFonts w:hint="eastAsia" w:ascii="宋体" w:hAnsi="宋体" w:eastAsia="宋体" w:cs="宋体"/>
          <w:b/>
          <w:bCs/>
          <w:color w:val="auto"/>
          <w:szCs w:val="32"/>
          <w:highlight w:val="none"/>
        </w:rPr>
        <w:t>对承销方的委任</w:t>
      </w:r>
      <w:bookmarkEnd w:id="97"/>
      <w:bookmarkEnd w:id="98"/>
    </w:p>
    <w:p w14:paraId="2FED5EE5">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.1 </w:t>
      </w:r>
      <w:r>
        <w:rPr>
          <w:rFonts w:hint="eastAsia" w:ascii="宋体" w:hAnsi="宋体" w:eastAsia="宋体" w:cs="宋体"/>
          <w:color w:val="auto"/>
          <w:szCs w:val="21"/>
          <w:highlight w:val="none"/>
        </w:rPr>
        <w:t>发行方委任乙方作为本协议项下债务融资工具发行的_______[请选择填写:主承销商、联席主承销商]。</w:t>
      </w:r>
    </w:p>
    <w:p w14:paraId="6EBB69B5">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发行方委任丙方（若有）作为本协议项下债务融资工具发行的_________[请选择填写:联席主承销商、副主承销商]。</w:t>
      </w:r>
    </w:p>
    <w:p w14:paraId="3FFAE927">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主承销方同意接受发行方委任，按照本协议的约定协助发行方进行债务融资工具的注册/备案、销售及后续管理等工作。</w:t>
      </w:r>
    </w:p>
    <w:p w14:paraId="6DFD9031">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发行方委任____方作为本协议项下债务融资工具发行的簿记管理人，并（若为多家簿记管理人）委托________牵头负责簿记建档工作。</w:t>
      </w:r>
    </w:p>
    <w:p w14:paraId="1847726C">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____方同意接受发行方委任，负责本协议项下债务融资工具的簿记建档工作，并（若为多家簿记管理人）同意由______方牵头负责簿记建档工作。</w:t>
      </w:r>
    </w:p>
    <w:p w14:paraId="66F67A3C">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簿记建档的配售结果及最终发行利率由主承销方根据《发行方案》的约定确定。</w:t>
      </w:r>
    </w:p>
    <w:p w14:paraId="01231158">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99" w:name="_Toc237232400"/>
      <w:bookmarkEnd w:id="99"/>
      <w:bookmarkStart w:id="100" w:name="_Toc237232401"/>
      <w:bookmarkEnd w:id="100"/>
      <w:bookmarkStart w:id="101" w:name="_Toc257911873"/>
      <w:bookmarkStart w:id="102" w:name="_Toc29388"/>
      <w:r>
        <w:rPr>
          <w:rFonts w:hint="eastAsia" w:ascii="宋体" w:hAnsi="宋体" w:eastAsia="宋体" w:cs="宋体"/>
          <w:b/>
          <w:bCs/>
          <w:color w:val="auto"/>
          <w:szCs w:val="32"/>
          <w:highlight w:val="none"/>
        </w:rPr>
        <w:t>债务融资工具的发行</w:t>
      </w:r>
      <w:bookmarkEnd w:id="101"/>
      <w:bookmarkEnd w:id="102"/>
    </w:p>
    <w:p w14:paraId="56CD702F">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发行方按照本协议的约定向交易商协会申请注册总额不超过人民币/美元/其他请填写</w:t>
      </w:r>
      <w:r>
        <w:rPr>
          <w:rFonts w:hint="eastAsia" w:ascii="宋体" w:hAnsi="宋体" w:eastAsia="宋体" w:cs="宋体"/>
          <w:color w:val="auto"/>
          <w:szCs w:val="21"/>
          <w:highlight w:val="none"/>
        </w:rPr>
        <w:softHyphen/>
      </w:r>
      <w:r>
        <w:rPr>
          <w:rFonts w:hint="eastAsia" w:ascii="宋体" w:hAnsi="宋体" w:eastAsia="宋体" w:cs="宋体"/>
          <w:color w:val="auto"/>
          <w:szCs w:val="21"/>
          <w:highlight w:val="none"/>
        </w:rPr>
        <w:softHyphen/>
      </w:r>
      <w:r>
        <w:rPr>
          <w:rFonts w:hint="eastAsia" w:ascii="宋体" w:hAnsi="宋体" w:eastAsia="宋体" w:cs="宋体"/>
          <w:color w:val="auto"/>
          <w:szCs w:val="21"/>
          <w:highlight w:val="none"/>
        </w:rPr>
        <w:t>________[           ]亿元的债务融资工具，并在交易商协会《接受注册通知书》确定的注册金额限额内按照交易商协会相关自律规范文件发行债务融资工具。</w:t>
      </w:r>
    </w:p>
    <w:p w14:paraId="7E4C0E47">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发行方有权根据法律及交易商协会相关自律规范文件自主决定向交易商协会申请注册的债务融资工具金额。</w:t>
      </w:r>
    </w:p>
    <w:p w14:paraId="04ABA993">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发行方有权在交易商协会《接受注册通知书》确定的注册金额限额内与主承销方协商确定债务融资工具发行期数以及每期发行的期限、金额、利率/价格区间等发行条款。</w:t>
      </w:r>
    </w:p>
    <w:p w14:paraId="125E90D6">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103" w:name="_Toc4562"/>
      <w:bookmarkStart w:id="104" w:name="_Toc257911874"/>
      <w:r>
        <w:rPr>
          <w:rFonts w:hint="eastAsia" w:ascii="宋体" w:hAnsi="宋体" w:eastAsia="宋体" w:cs="宋体"/>
          <w:b/>
          <w:bCs/>
          <w:color w:val="auto"/>
          <w:szCs w:val="32"/>
          <w:highlight w:val="none"/>
        </w:rPr>
        <w:t>债务融资工具的承销</w:t>
      </w:r>
      <w:bookmarkEnd w:id="103"/>
      <w:bookmarkEnd w:id="104"/>
    </w:p>
    <w:p w14:paraId="776EA384">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本协议项下债务融资工具为发行方在交易商协会注册的、由主承销方承销的____ ____________________（短期融资券/中期票据/中小企业集合票据/超短期融资券/定向工具/资产支持票据/其他请填写________________）。</w:t>
      </w:r>
    </w:p>
    <w:p w14:paraId="57A0FBFE">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除补充协议另有约定外，本协议项下债务融资工具承销采取余额包销的方式进行。</w:t>
      </w:r>
    </w:p>
    <w:p w14:paraId="0F72A1B5">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在丙方存在时，乙方、丙方包销的额度比例为______。主承销方之间不对对方的包销额度承担连带责任，每一主承销方对其承销义务的违约不构成其他主承销方的违约。</w:t>
      </w:r>
    </w:p>
    <w:p w14:paraId="622904ED">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主承销方应根据有关要求对本协议项下债务融资工具发行进行尽职调查，并有权要求发行方提供发行所需的各类材料，包括但不限于公司经营、财务、法律状况及评级的文件、资料和数据。</w:t>
      </w:r>
    </w:p>
    <w:p w14:paraId="5C406F7D">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.4</w:t>
      </w:r>
      <w:r>
        <w:rPr>
          <w:rFonts w:hint="eastAsia" w:ascii="宋体" w:hAnsi="宋体" w:eastAsia="宋体" w:cs="宋体"/>
          <w:color w:val="auto"/>
          <w:szCs w:val="21"/>
          <w:highlight w:val="none"/>
        </w:rPr>
        <w:t>主承销方应当按本协议规定按时、足额向发行方划付债务融资工具募集资金。</w:t>
      </w:r>
    </w:p>
    <w:p w14:paraId="7347E5C4">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.5</w:t>
      </w:r>
      <w:r>
        <w:rPr>
          <w:rFonts w:hint="eastAsia" w:ascii="宋体" w:hAnsi="宋体" w:eastAsia="宋体" w:cs="宋体"/>
          <w:color w:val="auto"/>
          <w:szCs w:val="21"/>
          <w:highlight w:val="none"/>
        </w:rPr>
        <w:t>主承销方有义务组织经验丰富的专业人员从事本协议项下债务融资工具发行和承销工作。</w:t>
      </w:r>
    </w:p>
    <w:p w14:paraId="2FDAE596">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105" w:name="_Toc257911875"/>
      <w:bookmarkStart w:id="106" w:name="_Toc24064"/>
      <w:r>
        <w:rPr>
          <w:rFonts w:hint="eastAsia" w:ascii="宋体" w:hAnsi="宋体" w:eastAsia="宋体" w:cs="宋体"/>
          <w:b/>
          <w:bCs/>
          <w:color w:val="auto"/>
          <w:szCs w:val="32"/>
          <w:highlight w:val="none"/>
        </w:rPr>
        <w:t>募集资金划付</w:t>
      </w:r>
      <w:bookmarkEnd w:id="105"/>
      <w:bookmarkEnd w:id="106"/>
    </w:p>
    <w:p w14:paraId="3F69970C">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除非补充协议另有约定，募集资金采用以下第___种方式划付：</w:t>
      </w:r>
    </w:p>
    <w:p w14:paraId="0B9DA40B">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在缴款日，簿记管理人将债务融资工具的募集资金扣除承销费后的余额全部划入发行方指定账户；</w:t>
      </w:r>
    </w:p>
    <w:p w14:paraId="772F858F">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在缴款日，簿记管理人将债务融资工具的募集资金全部划入发行方指定账户。</w:t>
      </w:r>
    </w:p>
    <w:p w14:paraId="36ED74F3">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107" w:name="_Toc237232421"/>
      <w:bookmarkEnd w:id="107"/>
      <w:bookmarkStart w:id="108" w:name="_Toc237232424"/>
      <w:bookmarkEnd w:id="108"/>
      <w:bookmarkStart w:id="109" w:name="_Toc237232435"/>
      <w:bookmarkEnd w:id="109"/>
      <w:bookmarkStart w:id="110" w:name="_Toc237232407"/>
      <w:bookmarkEnd w:id="110"/>
      <w:bookmarkStart w:id="111" w:name="_Toc237232415"/>
      <w:bookmarkEnd w:id="111"/>
      <w:bookmarkStart w:id="112" w:name="_Toc237232443"/>
      <w:bookmarkEnd w:id="112"/>
      <w:bookmarkStart w:id="113" w:name="_Toc237232441"/>
      <w:bookmarkEnd w:id="113"/>
      <w:bookmarkStart w:id="114" w:name="_Toc237232434"/>
      <w:bookmarkEnd w:id="114"/>
      <w:bookmarkStart w:id="115" w:name="_Toc237232416"/>
      <w:bookmarkEnd w:id="115"/>
      <w:bookmarkStart w:id="116" w:name="_Toc237232425"/>
      <w:bookmarkEnd w:id="116"/>
      <w:bookmarkStart w:id="117" w:name="_Toc237232411"/>
      <w:bookmarkEnd w:id="117"/>
      <w:bookmarkStart w:id="118" w:name="_Toc237232440"/>
      <w:bookmarkEnd w:id="118"/>
      <w:bookmarkStart w:id="119" w:name="_Toc237232431"/>
      <w:bookmarkEnd w:id="119"/>
      <w:bookmarkStart w:id="120" w:name="_Toc237232409"/>
      <w:bookmarkEnd w:id="120"/>
      <w:bookmarkStart w:id="121" w:name="_Toc237232418"/>
      <w:bookmarkEnd w:id="121"/>
      <w:bookmarkStart w:id="122" w:name="_Toc237232412"/>
      <w:bookmarkEnd w:id="122"/>
      <w:bookmarkStart w:id="123" w:name="_Toc237232426"/>
      <w:bookmarkEnd w:id="123"/>
      <w:bookmarkStart w:id="124" w:name="_Toc237232410"/>
      <w:bookmarkEnd w:id="124"/>
      <w:bookmarkStart w:id="125" w:name="_Toc237232414"/>
      <w:bookmarkEnd w:id="125"/>
      <w:bookmarkStart w:id="126" w:name="_Toc237232420"/>
      <w:bookmarkEnd w:id="126"/>
      <w:bookmarkStart w:id="127" w:name="_Toc237232437"/>
      <w:bookmarkEnd w:id="127"/>
      <w:bookmarkStart w:id="128" w:name="_Toc237232433"/>
      <w:bookmarkEnd w:id="128"/>
      <w:bookmarkStart w:id="129" w:name="_Toc237232419"/>
      <w:bookmarkEnd w:id="129"/>
      <w:bookmarkStart w:id="130" w:name="_Toc237232429"/>
      <w:bookmarkEnd w:id="130"/>
      <w:bookmarkStart w:id="131" w:name="_Toc237232436"/>
      <w:bookmarkEnd w:id="131"/>
      <w:bookmarkStart w:id="132" w:name="_Toc237232423"/>
      <w:bookmarkEnd w:id="132"/>
      <w:bookmarkStart w:id="133" w:name="_Toc237232442"/>
      <w:bookmarkEnd w:id="133"/>
      <w:bookmarkStart w:id="134" w:name="_Toc237232444"/>
      <w:bookmarkEnd w:id="134"/>
      <w:bookmarkStart w:id="135" w:name="_Toc237232428"/>
      <w:bookmarkEnd w:id="135"/>
      <w:bookmarkStart w:id="136" w:name="_Toc237232408"/>
      <w:bookmarkEnd w:id="136"/>
      <w:bookmarkStart w:id="137" w:name="_Toc237232439"/>
      <w:bookmarkEnd w:id="137"/>
      <w:bookmarkStart w:id="138" w:name="_Toc237232413"/>
      <w:bookmarkEnd w:id="138"/>
      <w:bookmarkStart w:id="139" w:name="_Toc237232417"/>
      <w:bookmarkEnd w:id="139"/>
      <w:bookmarkStart w:id="140" w:name="_Toc237232438"/>
      <w:bookmarkEnd w:id="140"/>
      <w:bookmarkStart w:id="141" w:name="_Toc237232427"/>
      <w:bookmarkEnd w:id="141"/>
      <w:bookmarkStart w:id="142" w:name="_Toc237232432"/>
      <w:bookmarkEnd w:id="142"/>
      <w:bookmarkStart w:id="143" w:name="_Toc237232430"/>
      <w:bookmarkEnd w:id="143"/>
      <w:bookmarkStart w:id="144" w:name="_Toc237232422"/>
      <w:bookmarkEnd w:id="144"/>
      <w:bookmarkStart w:id="145" w:name="_Toc257911876"/>
      <w:bookmarkStart w:id="146" w:name="_Toc23464"/>
      <w:r>
        <w:rPr>
          <w:rFonts w:hint="eastAsia" w:ascii="宋体" w:hAnsi="宋体" w:eastAsia="宋体" w:cs="宋体"/>
          <w:b/>
          <w:bCs/>
          <w:color w:val="auto"/>
          <w:szCs w:val="32"/>
          <w:highlight w:val="none"/>
        </w:rPr>
        <w:t>费用及支付</w:t>
      </w:r>
      <w:bookmarkEnd w:id="145"/>
      <w:bookmarkEnd w:id="146"/>
    </w:p>
    <w:p w14:paraId="53C928BE">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基于主承销方就本协议项下某期债务融资工具发行为发行方提供的承销服务，发行成功后，发行方按本协议规定的金额和支付方式向主承销方支付承销费。承销费计算方式如下：</w:t>
      </w:r>
    </w:p>
    <w:p w14:paraId="75BD1D10">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承销费＝当期债务融资工具发行面值总额×发行年限×年承销费率</w:t>
      </w:r>
    </w:p>
    <w:p w14:paraId="11533640">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本协议项下债务融资工具年承销费率为（请勾选）：</w:t>
      </w:r>
    </w:p>
    <w:p w14:paraId="61EF1CA6">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□短期融资券：_____%；</w:t>
      </w:r>
    </w:p>
    <w:p w14:paraId="5CC39947">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□中期票据：_______%；</w:t>
      </w:r>
    </w:p>
    <w:p w14:paraId="10A4F321">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□中小企业集合票据：_____%；</w:t>
      </w:r>
    </w:p>
    <w:p w14:paraId="52E09F92">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□超短期融资券：_____%；</w:t>
      </w:r>
    </w:p>
    <w:p w14:paraId="713D48E8">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□定向工具：_____%；</w:t>
      </w:r>
    </w:p>
    <w:p w14:paraId="5C9DC4EE">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□资产支持票据：_____%；</w:t>
      </w:r>
    </w:p>
    <w:p w14:paraId="4CD7C5F1">
      <w:pPr>
        <w:adjustRightIn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□其他请填写______________，_____%。</w:t>
      </w:r>
    </w:p>
    <w:p w14:paraId="46E63B19">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 xml:space="preserve">.2 </w:t>
      </w:r>
      <w:r>
        <w:rPr>
          <w:rFonts w:hint="eastAsia" w:ascii="宋体" w:hAnsi="宋体" w:eastAsia="宋体" w:cs="宋体"/>
          <w:color w:val="auto"/>
          <w:szCs w:val="21"/>
          <w:highlight w:val="none"/>
        </w:rPr>
        <w:t>承销费包括支付给主承销方的所有承销费用，分为主承销费和销售佣金，销售佣金的分配方式和比例由主承销方与其他承销团成员另行约定。</w:t>
      </w:r>
    </w:p>
    <w:p w14:paraId="39B96ABB">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除非补充协议另有约定，上述承销费通过以下第_______种方式支付：</w:t>
      </w:r>
    </w:p>
    <w:p w14:paraId="41198499">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.3.1</w:t>
      </w:r>
      <w:r>
        <w:rPr>
          <w:rFonts w:hint="eastAsia" w:ascii="宋体" w:hAnsi="宋体" w:eastAsia="宋体" w:cs="宋体"/>
          <w:color w:val="auto"/>
          <w:szCs w:val="21"/>
          <w:highlight w:val="none"/>
        </w:rPr>
        <w:t>一次性支付：</w:t>
      </w:r>
    </w:p>
    <w:p w14:paraId="13D5FB1A">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.3.1.1</w:t>
      </w:r>
      <w:r>
        <w:rPr>
          <w:rFonts w:hint="eastAsia" w:ascii="宋体" w:hAnsi="宋体" w:eastAsia="宋体" w:cs="宋体"/>
          <w:color w:val="auto"/>
          <w:szCs w:val="21"/>
          <w:highlight w:val="none"/>
        </w:rPr>
        <w:t>由簿记管理人在缴款日从募集资金中一次性扣收；</w:t>
      </w:r>
    </w:p>
    <w:p w14:paraId="48416B1F">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.3.1.2</w:t>
      </w:r>
      <w:r>
        <w:rPr>
          <w:rFonts w:hint="eastAsia" w:ascii="宋体" w:hAnsi="宋体" w:eastAsia="宋体" w:cs="宋体"/>
          <w:color w:val="auto"/>
          <w:szCs w:val="21"/>
          <w:highlight w:val="none"/>
        </w:rPr>
        <w:t>由发行方在缴款日后___个工作日内另行向簿记管理人一次性支付。</w:t>
      </w:r>
    </w:p>
    <w:p w14:paraId="1CA3764B">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.3.2</w:t>
      </w:r>
      <w:r>
        <w:rPr>
          <w:rFonts w:hint="eastAsia" w:ascii="宋体" w:hAnsi="宋体" w:eastAsia="宋体" w:cs="宋体"/>
          <w:color w:val="auto"/>
          <w:szCs w:val="21"/>
          <w:highlight w:val="none"/>
        </w:rPr>
        <w:t>按年支付：</w:t>
      </w:r>
    </w:p>
    <w:p w14:paraId="42C36B51">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.3.2.1</w:t>
      </w:r>
      <w:r>
        <w:rPr>
          <w:rFonts w:hint="eastAsia" w:ascii="宋体" w:hAnsi="宋体" w:eastAsia="宋体" w:cs="宋体"/>
          <w:color w:val="auto"/>
          <w:szCs w:val="21"/>
          <w:highlight w:val="none"/>
        </w:rPr>
        <w:t>由簿记管理人在缴款日从募集资金中扣收首年承销费（含销售佣金），剩余承销费按年平均在各承销商开具承销费发票后，由发行方在当期债务融资工具存续期间的缴款日在当年的对应日（到期还本付息日除外）后____个工作日内根据发票金额支付，其中首年承销费为承销费总额的___%；</w:t>
      </w:r>
    </w:p>
    <w:p w14:paraId="06441C67">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.3.2.2</w:t>
      </w:r>
      <w:r>
        <w:rPr>
          <w:rFonts w:hint="eastAsia" w:ascii="宋体" w:hAnsi="宋体" w:eastAsia="宋体" w:cs="宋体"/>
          <w:color w:val="auto"/>
          <w:szCs w:val="21"/>
          <w:highlight w:val="none"/>
        </w:rPr>
        <w:t>由发行方在缴款日后__个工作日内向簿记管理人支付首年承销费，剩余承销费按年平均在各承销商开具承销费发票后，由发行方在当期债务融资工具存续期间的缴款日在当年的对应日（到期还本付息日除外）后____个工作日内根据发票金额支付，其中首年承销费为承销费总额的___%；</w:t>
      </w:r>
    </w:p>
    <w:p w14:paraId="26331081">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.3.3</w:t>
      </w:r>
      <w:r>
        <w:rPr>
          <w:rFonts w:hint="eastAsia" w:ascii="宋体" w:hAnsi="宋体" w:eastAsia="宋体" w:cs="宋体"/>
          <w:color w:val="auto"/>
          <w:szCs w:val="21"/>
          <w:highlight w:val="none"/>
        </w:rPr>
        <w:t>除非补充协议另有约定，在丙方存在时，主承销费在乙方、丙方之间的分配比例与本协议第五条第5.2款约定的包销额度分配比例相同，由簿记管理人向发行方足额收取应收承销费。簿记管理人在收到应收承销费后___个工作日内向未担任簿记管理人的主承销方足额支付当期应收承销费。</w:t>
      </w:r>
    </w:p>
    <w:p w14:paraId="3E8B7435">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147" w:name="_Toc257911877"/>
      <w:bookmarkStart w:id="148" w:name="_Toc25156"/>
      <w:r>
        <w:rPr>
          <w:rFonts w:hint="eastAsia" w:ascii="宋体" w:hAnsi="宋体" w:eastAsia="宋体" w:cs="宋体"/>
          <w:b/>
          <w:bCs/>
          <w:color w:val="auto"/>
          <w:szCs w:val="32"/>
          <w:highlight w:val="none"/>
        </w:rPr>
        <w:t>信息披露</w:t>
      </w:r>
      <w:bookmarkEnd w:id="147"/>
      <w:bookmarkEnd w:id="148"/>
    </w:p>
    <w:p w14:paraId="24E925C0">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发行方应根据《银行间债券市场非金融企业债务融资工具管理办法》等法律及交易商协会相关自律规范文件按时进行公开信息披露。当主承销方协助其制作有关信息披露文件时，发行方应保证其提供给主承销方的有关文件、资料、数据是真实、准确和完整的。</w:t>
      </w:r>
    </w:p>
    <w:p w14:paraId="40E2F6C8">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主承销方有义务协助发行方披露发行文件，并督促发行方履行持续信息披露义务。如因发行方原因导致未按规定及时披露信息，由发行方承担相应责任。</w:t>
      </w:r>
    </w:p>
    <w:p w14:paraId="5299CA41">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149" w:name="_Toc7459"/>
      <w:bookmarkStart w:id="150" w:name="_Toc257911878"/>
      <w:r>
        <w:rPr>
          <w:rFonts w:hint="eastAsia" w:ascii="宋体" w:hAnsi="宋体" w:eastAsia="宋体" w:cs="宋体"/>
          <w:b/>
          <w:bCs/>
          <w:color w:val="auto"/>
          <w:szCs w:val="32"/>
          <w:highlight w:val="none"/>
        </w:rPr>
        <w:t>付息和本金兑付</w:t>
      </w:r>
      <w:bookmarkEnd w:id="149"/>
      <w:bookmarkEnd w:id="150"/>
    </w:p>
    <w:p w14:paraId="499A6D7F">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 xml:space="preserve"> 债务融资工具在有关交易市场交易流通之后，债务融资工具的本金和利息的支付将通过相关登记托管机构进行。</w:t>
      </w:r>
    </w:p>
    <w:p w14:paraId="44B50E0C">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发行方应根据其与登记托管机构签订的有关协议以及相关交易场所的有关规定将有关的本金或利息款项及时足额划至相关登记托管机构指定的账户。</w:t>
      </w:r>
    </w:p>
    <w:p w14:paraId="717250ED">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.3</w:t>
      </w:r>
      <w:r>
        <w:rPr>
          <w:rFonts w:hint="eastAsia" w:ascii="宋体" w:hAnsi="宋体" w:eastAsia="宋体" w:cs="宋体"/>
          <w:color w:val="auto"/>
          <w:szCs w:val="21"/>
          <w:highlight w:val="none"/>
        </w:rPr>
        <w:t>主承销方有义务告知发行方按时、足额划拨债务融资工具利息和本金并履行其他义务，主承销方无义务垫支任何还本付息款项。</w:t>
      </w:r>
    </w:p>
    <w:p w14:paraId="0C782375">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151" w:name="_Toc257911879"/>
      <w:bookmarkStart w:id="152" w:name="_Toc22560"/>
      <w:r>
        <w:rPr>
          <w:rFonts w:hint="eastAsia" w:ascii="宋体" w:hAnsi="宋体" w:eastAsia="宋体" w:cs="宋体"/>
          <w:b/>
          <w:bCs/>
          <w:color w:val="auto"/>
          <w:szCs w:val="32"/>
          <w:highlight w:val="none"/>
        </w:rPr>
        <w:t>债务融资工具的后续管理</w:t>
      </w:r>
      <w:bookmarkEnd w:id="151"/>
      <w:bookmarkEnd w:id="152"/>
    </w:p>
    <w:p w14:paraId="6D9F7AAF">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债务融资工具存续期间，主承销方应按法律及交易商协会相关自律规范文件规定，持续对发行方开展跟踪、监测、调查等后续管理工作，以及时准确地掌握发行方风险状况及偿债能力，持续督导发行方履行信息披露、还本付息等义务。发行方应积极配合主承销方的后续管理工作。</w:t>
      </w:r>
    </w:p>
    <w:p w14:paraId="3722E350">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除非补充协议另有约定，簿记管理人负责牵头开展后续管理工作。</w:t>
      </w:r>
    </w:p>
    <w:p w14:paraId="787DCBB9">
      <w:pPr>
        <w:keepNext/>
        <w:keepLines/>
        <w:numPr>
          <w:ilvl w:val="0"/>
          <w:numId w:val="5"/>
        </w:numPr>
        <w:adjustRightInd w:val="0"/>
        <w:spacing w:line="360" w:lineRule="auto"/>
        <w:ind w:firstLine="422" w:firstLineChars="200"/>
        <w:jc w:val="left"/>
        <w:outlineLvl w:val="1"/>
        <w:rPr>
          <w:rFonts w:hint="eastAsia" w:ascii="宋体" w:hAnsi="宋体" w:eastAsia="宋体" w:cs="宋体"/>
          <w:b/>
          <w:bCs/>
          <w:color w:val="auto"/>
          <w:szCs w:val="32"/>
          <w:highlight w:val="none"/>
        </w:rPr>
      </w:pPr>
      <w:bookmarkStart w:id="153" w:name="_Toc257911889"/>
      <w:bookmarkStart w:id="154" w:name="_Toc7500"/>
      <w:r>
        <w:rPr>
          <w:rFonts w:hint="eastAsia" w:ascii="宋体" w:hAnsi="宋体" w:eastAsia="宋体" w:cs="宋体"/>
          <w:b/>
          <w:bCs/>
          <w:color w:val="auto"/>
          <w:szCs w:val="32"/>
          <w:highlight w:val="none"/>
        </w:rPr>
        <w:t>协议的签署和生效</w:t>
      </w:r>
      <w:bookmarkEnd w:id="153"/>
      <w:bookmarkEnd w:id="154"/>
    </w:p>
    <w:p w14:paraId="4A41EE4F">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本协议经各方法定代表人或授权签字人签字并加盖公章或者合同专用章后生效。协议各方之间可根据需要签署补充协议。此前各方就本协议项下债务融资工具发行达成的任何承诺、谅解、安排或约定与本协议不一致的，以本协议为准。</w:t>
      </w:r>
    </w:p>
    <w:p w14:paraId="251E7A0A">
      <w:pPr>
        <w:adjustRightIn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0.2</w:t>
      </w:r>
      <w:r>
        <w:rPr>
          <w:rFonts w:hint="eastAsia" w:ascii="宋体" w:hAnsi="宋体" w:eastAsia="宋体" w:cs="宋体"/>
          <w:color w:val="auto"/>
          <w:szCs w:val="21"/>
          <w:highlight w:val="none"/>
        </w:rPr>
        <w:t>协议各方在签署《承销协议》和《补充协议》之后应自觉遵守本协议。</w:t>
      </w:r>
    </w:p>
    <w:p w14:paraId="2FAB671C">
      <w:pPr>
        <w:widowControl/>
        <w:spacing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w:t>
      </w:r>
      <w:r>
        <w:rPr>
          <w:rFonts w:hint="eastAsia" w:ascii="宋体" w:hAnsi="宋体" w:cs="宋体"/>
          <w:b/>
          <w:bCs/>
          <w:color w:val="auto"/>
          <w:kern w:val="0"/>
          <w:szCs w:val="21"/>
          <w:highlight w:val="none"/>
          <w:lang w:val="en-US" w:eastAsia="zh-CN"/>
        </w:rPr>
        <w:t>一</w:t>
      </w:r>
      <w:r>
        <w:rPr>
          <w:rFonts w:hint="eastAsia" w:ascii="宋体" w:hAnsi="宋体" w:cs="宋体"/>
          <w:b/>
          <w:bCs/>
          <w:color w:val="auto"/>
          <w:kern w:val="0"/>
          <w:szCs w:val="21"/>
          <w:highlight w:val="none"/>
        </w:rPr>
        <w:t>、本</w:t>
      </w:r>
      <w:r>
        <w:rPr>
          <w:rFonts w:hint="eastAsia" w:ascii="宋体" w:hAnsi="宋体" w:cs="宋体"/>
          <w:b/>
          <w:bCs/>
          <w:color w:val="auto"/>
          <w:kern w:val="0"/>
          <w:szCs w:val="21"/>
          <w:highlight w:val="none"/>
          <w:lang w:val="en-US" w:eastAsia="zh-CN"/>
        </w:rPr>
        <w:t>协议</w:t>
      </w:r>
      <w:r>
        <w:rPr>
          <w:rFonts w:hint="eastAsia" w:ascii="宋体" w:hAnsi="宋体" w:cs="宋体"/>
          <w:b/>
          <w:bCs/>
          <w:color w:val="auto"/>
          <w:kern w:val="0"/>
          <w:szCs w:val="21"/>
          <w:highlight w:val="none"/>
        </w:rPr>
        <w:t>一式____份，供需双方各执____份，义乌产权交易所有限公司执一份，均具同等效力。</w:t>
      </w:r>
    </w:p>
    <w:p w14:paraId="6CA436E4">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173C4733">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0CD51A76">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579E4AA1">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w:t>
      </w:r>
      <w:r>
        <w:rPr>
          <w:rFonts w:hint="eastAsia" w:ascii="宋体" w:hAnsi="宋体" w:cs="宋体"/>
          <w:color w:val="auto"/>
          <w:kern w:val="0"/>
          <w:szCs w:val="21"/>
          <w:highlight w:val="none"/>
          <w:u w:val="single"/>
        </w:rPr>
        <w:t xml:space="preserve">  _</w:t>
      </w:r>
      <w:r>
        <w:rPr>
          <w:rFonts w:hint="eastAsia" w:ascii="宋体" w:hAnsi="宋体" w:cs="宋体"/>
          <w:color w:val="auto"/>
          <w:kern w:val="0"/>
          <w:szCs w:val="21"/>
          <w:highlight w:val="none"/>
        </w:rPr>
        <w:t xml:space="preserve">  授权代表：____________________</w:t>
      </w:r>
      <w:r>
        <w:rPr>
          <w:rFonts w:hint="eastAsia" w:ascii="宋体" w:hAnsi="宋体" w:cs="宋体"/>
          <w:color w:val="auto"/>
          <w:kern w:val="0"/>
          <w:szCs w:val="21"/>
          <w:highlight w:val="none"/>
          <w:u w:val="single"/>
        </w:rPr>
        <w:t xml:space="preserve">    </w:t>
      </w:r>
    </w:p>
    <w:p w14:paraId="5CD05C1D">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5412AE24">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账户名称</w:t>
      </w:r>
      <w:r>
        <w:rPr>
          <w:rFonts w:hint="eastAsia" w:ascii="宋体" w:hAnsi="宋体" w:cs="宋体"/>
          <w:color w:val="auto"/>
          <w:kern w:val="0"/>
          <w:szCs w:val="21"/>
          <w:highlight w:val="none"/>
        </w:rPr>
        <w:t xml:space="preserve">：________________________  </w:t>
      </w:r>
      <w:r>
        <w:rPr>
          <w:rFonts w:hint="eastAsia" w:ascii="宋体" w:hAnsi="宋体" w:cs="宋体"/>
          <w:color w:val="auto"/>
          <w:kern w:val="0"/>
          <w:szCs w:val="21"/>
          <w:highlight w:val="none"/>
          <w:lang w:eastAsia="zh-CN"/>
        </w:rPr>
        <w:t>账户名称</w:t>
      </w:r>
      <w:r>
        <w:rPr>
          <w:rFonts w:hint="eastAsia" w:ascii="宋体" w:hAnsi="宋体" w:cs="宋体"/>
          <w:color w:val="auto"/>
          <w:kern w:val="0"/>
          <w:szCs w:val="21"/>
          <w:highlight w:val="none"/>
        </w:rPr>
        <w:t>：________________________</w:t>
      </w:r>
    </w:p>
    <w:p w14:paraId="43A1B43A">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466A5C32">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 xml:space="preserve">    号：________________________  </w:t>
      </w: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 xml:space="preserve">    号：________________________</w:t>
      </w:r>
    </w:p>
    <w:p w14:paraId="59132F33">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签约时间：________________________  签约地点：________________________</w:t>
      </w:r>
    </w:p>
    <w:p w14:paraId="4CAAF90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07F9A112">
      <w:pPr>
        <w:pStyle w:val="2"/>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155" w:name="_Toc142"/>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155"/>
    </w:p>
    <w:p w14:paraId="5CF64DE5">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56" w:name="_Toc16104"/>
      <w:r>
        <w:rPr>
          <w:rFonts w:hint="eastAsia" w:ascii="宋体" w:hAnsi="宋体" w:eastAsia="宋体" w:cs="宋体"/>
          <w:color w:val="auto"/>
          <w:sz w:val="21"/>
          <w:szCs w:val="21"/>
          <w:highlight w:val="none"/>
        </w:rPr>
        <w:t>一、资格响应文件、商务技术响应文件部分格式</w:t>
      </w:r>
      <w:bookmarkEnd w:id="156"/>
    </w:p>
    <w:p w14:paraId="33A938D8">
      <w:pPr>
        <w:tabs>
          <w:tab w:val="left" w:pos="1050"/>
        </w:tabs>
        <w:spacing w:line="520" w:lineRule="exact"/>
        <w:ind w:left="5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6D7D2047">
      <w:pPr>
        <w:tabs>
          <w:tab w:val="left" w:pos="1050"/>
        </w:tabs>
        <w:spacing w:line="520" w:lineRule="exact"/>
        <w:ind w:left="528"/>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2.联合体协议书</w:t>
      </w:r>
    </w:p>
    <w:p w14:paraId="71B24E01">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.义乌市国企采购项目投标承诺书</w:t>
      </w:r>
    </w:p>
    <w:p w14:paraId="7F5CA48B">
      <w:pPr>
        <w:tabs>
          <w:tab w:val="left" w:pos="1050"/>
        </w:tabs>
        <w:spacing w:line="520" w:lineRule="exact"/>
        <w:ind w:left="528"/>
        <w:rPr>
          <w:rFonts w:hint="eastAsia" w:ascii="宋体" w:hAnsi="宋体" w:eastAsia="宋体" w:cs="宋体"/>
          <w:color w:val="auto"/>
          <w:sz w:val="21"/>
          <w:szCs w:val="21"/>
          <w:highlight w:val="none"/>
          <w:lang w:eastAsia="zh-CN" w:bidi="ar-SA"/>
        </w:rPr>
      </w:pP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eastAsia="zh-CN" w:bidi="ar-SA"/>
        </w:rPr>
        <w:t>.关于债券承销业务无重大违法记录和无失信的声明</w:t>
      </w:r>
    </w:p>
    <w:p w14:paraId="450B7400">
      <w:pPr>
        <w:tabs>
          <w:tab w:val="left" w:pos="1050"/>
        </w:tabs>
        <w:spacing w:line="520" w:lineRule="exact"/>
        <w:ind w:left="528"/>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5.监管部门批准的债券承销等相关资质文件的复印件（盖单位公章）</w:t>
      </w:r>
    </w:p>
    <w:p w14:paraId="210A45C6">
      <w:pPr>
        <w:tabs>
          <w:tab w:val="left" w:pos="1050"/>
        </w:tabs>
        <w:spacing w:line="520" w:lineRule="exact"/>
        <w:ind w:left="528"/>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6.发行承销方案</w:t>
      </w:r>
    </w:p>
    <w:p w14:paraId="3E76C223">
      <w:pPr>
        <w:tabs>
          <w:tab w:val="left" w:pos="1050"/>
        </w:tabs>
        <w:spacing w:line="520" w:lineRule="exact"/>
        <w:ind w:left="528"/>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7.项目负责人情况表</w:t>
      </w:r>
    </w:p>
    <w:p w14:paraId="257B6873">
      <w:pPr>
        <w:tabs>
          <w:tab w:val="left" w:pos="1050"/>
        </w:tabs>
        <w:spacing w:line="520" w:lineRule="exact"/>
        <w:ind w:left="528"/>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8.项目组人员一览表</w:t>
      </w:r>
    </w:p>
    <w:p w14:paraId="7E273650">
      <w:pPr>
        <w:tabs>
          <w:tab w:val="left" w:pos="1050"/>
        </w:tabs>
        <w:spacing w:line="520" w:lineRule="exact"/>
        <w:ind w:left="528"/>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9.项目完成期限安排表</w:t>
      </w:r>
    </w:p>
    <w:p w14:paraId="7F19C2E5">
      <w:pPr>
        <w:tabs>
          <w:tab w:val="left" w:pos="1050"/>
        </w:tabs>
        <w:spacing w:line="520" w:lineRule="exact"/>
        <w:ind w:left="528"/>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10.重要事项摘要表</w:t>
      </w:r>
    </w:p>
    <w:p w14:paraId="59BB8E79">
      <w:pPr>
        <w:tabs>
          <w:tab w:val="left" w:pos="1050"/>
        </w:tabs>
        <w:spacing w:line="520" w:lineRule="exact"/>
        <w:ind w:left="528"/>
        <w:rPr>
          <w:rFonts w:hint="default" w:ascii="宋体" w:hAnsi="宋体" w:cs="宋体"/>
          <w:color w:val="auto"/>
          <w:sz w:val="21"/>
          <w:szCs w:val="21"/>
          <w:highlight w:val="none"/>
          <w:lang w:val="en-US" w:eastAsia="zh-CN" w:bidi="ar-SA"/>
        </w:rPr>
      </w:pPr>
    </w:p>
    <w:p w14:paraId="374FFBC3">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57" w:name="_Toc2601"/>
      <w:r>
        <w:rPr>
          <w:rFonts w:hint="eastAsia" w:ascii="宋体" w:hAnsi="宋体" w:eastAsia="宋体" w:cs="宋体"/>
          <w:color w:val="auto"/>
          <w:sz w:val="21"/>
          <w:szCs w:val="21"/>
          <w:highlight w:val="none"/>
        </w:rPr>
        <w:t>二、报价响应文件部分格式</w:t>
      </w:r>
      <w:bookmarkEnd w:id="157"/>
    </w:p>
    <w:p w14:paraId="42506FB2">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76950824">
      <w:pPr>
        <w:spacing w:line="340" w:lineRule="exact"/>
        <w:rPr>
          <w:rFonts w:hint="eastAsia" w:ascii="宋体" w:hAnsi="宋体" w:eastAsia="宋体" w:cs="宋体"/>
          <w:color w:val="auto"/>
          <w:sz w:val="21"/>
          <w:szCs w:val="21"/>
          <w:highlight w:val="none"/>
        </w:rPr>
      </w:pPr>
    </w:p>
    <w:p w14:paraId="75E74F47">
      <w:pPr>
        <w:spacing w:line="340" w:lineRule="exact"/>
        <w:rPr>
          <w:rFonts w:hint="eastAsia" w:ascii="宋体" w:hAnsi="宋体" w:eastAsia="宋体" w:cs="宋体"/>
          <w:color w:val="auto"/>
          <w:sz w:val="21"/>
          <w:szCs w:val="21"/>
          <w:highlight w:val="none"/>
        </w:rPr>
      </w:pPr>
    </w:p>
    <w:p w14:paraId="032B51EE">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58" w:name="_Toc6502"/>
      <w:r>
        <w:rPr>
          <w:rFonts w:hint="eastAsia" w:ascii="宋体" w:hAnsi="宋体" w:eastAsia="宋体" w:cs="宋体"/>
          <w:color w:val="auto"/>
          <w:sz w:val="21"/>
          <w:szCs w:val="21"/>
          <w:highlight w:val="none"/>
        </w:rPr>
        <w:t>三、质疑函范本</w:t>
      </w:r>
      <w:bookmarkEnd w:id="158"/>
    </w:p>
    <w:p w14:paraId="4B865F89">
      <w:pPr>
        <w:spacing w:line="340" w:lineRule="exact"/>
        <w:rPr>
          <w:rFonts w:hint="eastAsia" w:ascii="宋体" w:hAnsi="宋体" w:eastAsia="宋体" w:cs="宋体"/>
          <w:color w:val="auto"/>
          <w:sz w:val="21"/>
          <w:szCs w:val="21"/>
          <w:highlight w:val="none"/>
        </w:rPr>
      </w:pPr>
    </w:p>
    <w:p w14:paraId="6FF5A9AD">
      <w:pPr>
        <w:spacing w:line="340" w:lineRule="exact"/>
        <w:rPr>
          <w:rFonts w:ascii="宋体" w:cs="宋体"/>
          <w:color w:val="auto"/>
          <w:sz w:val="24"/>
          <w:highlight w:val="none"/>
        </w:rPr>
      </w:pPr>
    </w:p>
    <w:p w14:paraId="13959219">
      <w:pPr>
        <w:spacing w:line="340" w:lineRule="exact"/>
        <w:rPr>
          <w:rFonts w:ascii="宋体" w:cs="宋体"/>
          <w:color w:val="auto"/>
          <w:sz w:val="24"/>
          <w:highlight w:val="none"/>
        </w:rPr>
      </w:pPr>
    </w:p>
    <w:p w14:paraId="05747B61">
      <w:pPr>
        <w:spacing w:line="340" w:lineRule="exact"/>
        <w:rPr>
          <w:rFonts w:ascii="宋体" w:cs="宋体"/>
          <w:color w:val="auto"/>
          <w:sz w:val="24"/>
          <w:highlight w:val="none"/>
        </w:rPr>
      </w:pPr>
    </w:p>
    <w:p w14:paraId="75C6BC59">
      <w:pPr>
        <w:spacing w:line="340" w:lineRule="exact"/>
        <w:rPr>
          <w:rFonts w:ascii="宋体" w:cs="宋体"/>
          <w:color w:val="auto"/>
          <w:sz w:val="24"/>
          <w:highlight w:val="none"/>
        </w:rPr>
      </w:pPr>
    </w:p>
    <w:p w14:paraId="62B7F886">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27395B24">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22F0FBA2">
      <w:pPr>
        <w:jc w:val="center"/>
        <w:rPr>
          <w:rFonts w:hint="eastAsia" w:ascii="宋体" w:hAnsi="宋体"/>
          <w:color w:val="auto"/>
          <w:sz w:val="24"/>
          <w:highlight w:val="none"/>
          <w:u w:val="single"/>
        </w:rPr>
      </w:pPr>
    </w:p>
    <w:p w14:paraId="3AC333A7">
      <w:pPr>
        <w:jc w:val="center"/>
        <w:rPr>
          <w:rFonts w:hint="eastAsia" w:ascii="宋体" w:hAnsi="宋体"/>
          <w:color w:val="auto"/>
          <w:sz w:val="24"/>
          <w:highlight w:val="none"/>
          <w:u w:val="single"/>
        </w:rPr>
      </w:pPr>
    </w:p>
    <w:p w14:paraId="39178175">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5831AD33">
      <w:pPr>
        <w:rPr>
          <w:rFonts w:hint="eastAsia" w:ascii="宋体" w:hAnsi="宋体"/>
          <w:color w:val="auto"/>
          <w:sz w:val="52"/>
          <w:highlight w:val="none"/>
        </w:rPr>
      </w:pPr>
    </w:p>
    <w:p w14:paraId="7D195919">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08C84164">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329D5E7F">
      <w:pPr>
        <w:jc w:val="center"/>
        <w:rPr>
          <w:rFonts w:hint="eastAsia" w:ascii="宋体" w:hAnsi="宋体"/>
          <w:b/>
          <w:bCs/>
          <w:color w:val="auto"/>
          <w:sz w:val="28"/>
          <w:highlight w:val="none"/>
        </w:rPr>
      </w:pPr>
    </w:p>
    <w:p w14:paraId="3C83BC78">
      <w:pPr>
        <w:jc w:val="center"/>
        <w:rPr>
          <w:rFonts w:hint="eastAsia" w:ascii="宋体" w:hAnsi="宋体"/>
          <w:b/>
          <w:bCs/>
          <w:color w:val="auto"/>
          <w:sz w:val="28"/>
          <w:highlight w:val="none"/>
        </w:rPr>
      </w:pPr>
    </w:p>
    <w:p w14:paraId="4F941AFD">
      <w:pPr>
        <w:jc w:val="center"/>
        <w:rPr>
          <w:rFonts w:hint="eastAsia" w:ascii="宋体" w:hAnsi="宋体"/>
          <w:b/>
          <w:bCs/>
          <w:color w:val="auto"/>
          <w:sz w:val="28"/>
          <w:highlight w:val="none"/>
        </w:rPr>
      </w:pPr>
    </w:p>
    <w:p w14:paraId="1C2ADE9C">
      <w:pPr>
        <w:jc w:val="center"/>
        <w:rPr>
          <w:rFonts w:hint="eastAsia" w:ascii="宋体" w:hAnsi="宋体"/>
          <w:b/>
          <w:bCs/>
          <w:color w:val="auto"/>
          <w:sz w:val="28"/>
          <w:highlight w:val="none"/>
        </w:rPr>
      </w:pPr>
    </w:p>
    <w:p w14:paraId="776AFBF2">
      <w:pPr>
        <w:rPr>
          <w:rFonts w:hint="eastAsia" w:ascii="宋体" w:hAnsi="宋体"/>
          <w:b/>
          <w:bCs/>
          <w:color w:val="auto"/>
          <w:sz w:val="28"/>
          <w:highlight w:val="none"/>
        </w:rPr>
      </w:pPr>
    </w:p>
    <w:p w14:paraId="6AE7FE1C">
      <w:pPr>
        <w:jc w:val="center"/>
        <w:rPr>
          <w:rFonts w:hint="eastAsia" w:ascii="宋体" w:hAnsi="宋体"/>
          <w:b/>
          <w:bCs/>
          <w:color w:val="auto"/>
          <w:sz w:val="28"/>
          <w:highlight w:val="none"/>
        </w:rPr>
      </w:pPr>
    </w:p>
    <w:p w14:paraId="78C8C8F8">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523C2B82">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3167C5D6">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1DADAD96">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5CBE26A8">
      <w:pPr>
        <w:spacing w:line="400" w:lineRule="exact"/>
        <w:jc w:val="center"/>
        <w:rPr>
          <w:rFonts w:hint="eastAsia" w:hAnsi="宋体" w:cs="宋体"/>
          <w:b/>
          <w:bCs/>
          <w:color w:val="auto"/>
          <w:kern w:val="0"/>
          <w:szCs w:val="28"/>
          <w:highlight w:val="none"/>
        </w:rPr>
      </w:pPr>
      <w:r>
        <w:rPr>
          <w:rFonts w:hint="eastAsia" w:ascii="宋体" w:hAnsi="宋体" w:eastAsia="宋体" w:cs="宋体"/>
          <w:b/>
          <w:color w:val="auto"/>
          <w:sz w:val="32"/>
          <w:szCs w:val="32"/>
          <w:highlight w:val="none"/>
        </w:rPr>
        <w:br w:type="page"/>
      </w:r>
      <w:r>
        <w:rPr>
          <w:rFonts w:hint="eastAsia" w:ascii="宋体" w:hAnsi="宋体" w:eastAsia="宋体" w:cs="Times New Roman"/>
          <w:b/>
          <w:bCs/>
          <w:color w:val="auto"/>
          <w:sz w:val="30"/>
          <w:szCs w:val="30"/>
          <w:highlight w:val="none"/>
        </w:rPr>
        <w:t>联合体协议书</w:t>
      </w:r>
    </w:p>
    <w:p w14:paraId="31C2E6CE">
      <w:pPr>
        <w:pStyle w:val="103"/>
        <w:ind w:firstLine="480"/>
        <w:rPr>
          <w:rFonts w:hint="eastAsia" w:ascii="宋体" w:hAnsi="宋体"/>
          <w:color w:val="auto"/>
          <w:sz w:val="24"/>
          <w:szCs w:val="24"/>
          <w:highlight w:val="none"/>
          <w:u w:val="single"/>
        </w:rPr>
      </w:pPr>
    </w:p>
    <w:p w14:paraId="01F18B7F">
      <w:pPr>
        <w:pStyle w:val="103"/>
        <w:spacing w:line="360" w:lineRule="auto"/>
        <w:ind w:firstLine="480"/>
        <w:rPr>
          <w:rFonts w:hint="eastAsia" w:ascii="宋体" w:hAnsi="宋体"/>
          <w:color w:val="auto"/>
          <w:sz w:val="24"/>
          <w:szCs w:val="24"/>
          <w:highlight w:val="none"/>
          <w:u w:val="single"/>
        </w:rPr>
      </w:pPr>
    </w:p>
    <w:p w14:paraId="6303F487">
      <w:pPr>
        <w:pStyle w:val="103"/>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u w:val="single"/>
        </w:rPr>
        <w:t xml:space="preserve">    （所有成员单位名称)     </w:t>
      </w:r>
      <w:r>
        <w:rPr>
          <w:rFonts w:hint="eastAsia" w:ascii="宋体" w:hAnsi="宋体"/>
          <w:color w:val="auto"/>
          <w:sz w:val="24"/>
          <w:szCs w:val="24"/>
          <w:highlight w:val="none"/>
        </w:rPr>
        <w:t>自愿组成联合体，共同参加</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的投标。现就联合体投标事宜订立如下协议。</w:t>
      </w:r>
    </w:p>
    <w:p w14:paraId="0B5DB84C">
      <w:pPr>
        <w:pStyle w:val="103"/>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u w:val="single"/>
        </w:rPr>
        <w:t xml:space="preserve">     （某成员单位名称）    </w:t>
      </w:r>
      <w:r>
        <w:rPr>
          <w:rFonts w:hint="eastAsia" w:ascii="宋体" w:hAnsi="宋体"/>
          <w:color w:val="auto"/>
          <w:sz w:val="24"/>
          <w:szCs w:val="24"/>
          <w:highlight w:val="none"/>
        </w:rPr>
        <w:t>为牵头人，作为联合体代表人。</w:t>
      </w:r>
    </w:p>
    <w:p w14:paraId="4E6DF2C5">
      <w:pPr>
        <w:pStyle w:val="103"/>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2、联合体牵头人合法代表联合体各成员负责本招标项目开标、投标文件编制和合同谈判活动，代表联合体提交和接收相关的资料、信息及指示，处理与之有关的一切事务，并负责合同实施阶段的主办、组织和协调工作。</w:t>
      </w:r>
    </w:p>
    <w:p w14:paraId="6C6E6A36">
      <w:pPr>
        <w:pStyle w:val="103"/>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3、联合体将严格按照招标文件的各项要求，递交投标文件，履行合同，并对外承担连带责任。</w:t>
      </w:r>
    </w:p>
    <w:p w14:paraId="1BE280DA">
      <w:pPr>
        <w:pStyle w:val="103"/>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4、联合体牵头人代表联合体签署投标文件，联合体牵头人的所有承诺均认为代表了联合体各成员。</w:t>
      </w:r>
    </w:p>
    <w:p w14:paraId="507AA996">
      <w:pPr>
        <w:pStyle w:val="103"/>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5、联合体各成员单位内部的职责分工如下：</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0FE77BB">
      <w:pPr>
        <w:pStyle w:val="103"/>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6、本协议书自签署之日起生效，合同履行完毕后自动失效。</w:t>
      </w:r>
    </w:p>
    <w:p w14:paraId="75B46C7D">
      <w:pPr>
        <w:pStyle w:val="103"/>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7、若中标，本协议书将作为合同的附件内容。</w:t>
      </w:r>
    </w:p>
    <w:p w14:paraId="66C0172B">
      <w:pPr>
        <w:pStyle w:val="103"/>
        <w:spacing w:line="360" w:lineRule="auto"/>
        <w:ind w:firstLine="480"/>
        <w:rPr>
          <w:rFonts w:hint="eastAsia" w:ascii="宋体" w:hAnsi="宋体"/>
          <w:color w:val="auto"/>
          <w:sz w:val="24"/>
          <w:szCs w:val="24"/>
          <w:highlight w:val="none"/>
        </w:rPr>
      </w:pPr>
    </w:p>
    <w:p w14:paraId="17D340A8">
      <w:pPr>
        <w:pStyle w:val="104"/>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牵头人名称：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盖章</w:t>
      </w:r>
      <w:r>
        <w:rPr>
          <w:rFonts w:hint="eastAsia" w:ascii="宋体" w:hAnsi="宋体"/>
          <w:color w:val="auto"/>
          <w:sz w:val="24"/>
          <w:szCs w:val="24"/>
          <w:highlight w:val="none"/>
        </w:rPr>
        <w:t>)</w:t>
      </w:r>
    </w:p>
    <w:p w14:paraId="01B9921C">
      <w:pPr>
        <w:pStyle w:val="104"/>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highlight w:val="none"/>
        </w:rPr>
        <w:t>（或负责人）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u w:val="single"/>
        </w:rPr>
        <w:t>（签字或盖章）</w:t>
      </w:r>
    </w:p>
    <w:p w14:paraId="2075B516">
      <w:pPr>
        <w:pStyle w:val="104"/>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成员一名称：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520F1F2C">
      <w:pPr>
        <w:pStyle w:val="104"/>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highlight w:val="none"/>
        </w:rPr>
        <w:t>（或负责人）</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u w:val="single"/>
        </w:rPr>
        <w:t>（签字或盖章）</w:t>
      </w:r>
    </w:p>
    <w:p w14:paraId="35B8DA09">
      <w:pPr>
        <w:spacing w:line="360" w:lineRule="auto"/>
        <w:jc w:val="right"/>
        <w:rPr>
          <w:rFonts w:hint="eastAsia" w:ascii="宋体" w:hAnsi="宋体" w:cs="仿宋_GB2312"/>
          <w:b/>
          <w:color w:val="auto"/>
          <w:sz w:val="24"/>
          <w:szCs w:val="24"/>
          <w:highlight w:val="none"/>
        </w:rPr>
      </w:pPr>
      <w:r>
        <w:rPr>
          <w:rFonts w:hint="eastAsia" w:hAnsi="宋体"/>
          <w:color w:val="auto"/>
          <w:sz w:val="24"/>
          <w:szCs w:val="24"/>
          <w:highlight w:val="none"/>
        </w:rPr>
        <w:t xml:space="preserve">    年  月   日</w:t>
      </w:r>
    </w:p>
    <w:p w14:paraId="6508E65E">
      <w:pPr>
        <w:spacing w:line="480" w:lineRule="auto"/>
        <w:ind w:firstLine="964" w:firstLineChars="400"/>
        <w:rPr>
          <w:rFonts w:hint="eastAsia" w:ascii="宋体"/>
          <w:b/>
          <w:bCs/>
          <w:color w:val="auto"/>
          <w:sz w:val="24"/>
          <w:szCs w:val="24"/>
          <w:highlight w:val="none"/>
        </w:rPr>
      </w:pPr>
    </w:p>
    <w:p w14:paraId="3B65283D">
      <w:pPr>
        <w:spacing w:line="360" w:lineRule="auto"/>
        <w:rPr>
          <w:rFonts w:hint="eastAsia" w:ascii="宋体" w:hAnsi="宋体"/>
          <w:b/>
          <w:bCs/>
          <w:color w:val="auto"/>
          <w:sz w:val="36"/>
          <w:szCs w:val="36"/>
          <w:highlight w:val="none"/>
        </w:rPr>
      </w:pPr>
    </w:p>
    <w:p w14:paraId="2D96571E">
      <w:pPr>
        <w:rPr>
          <w:rFonts w:hint="eastAsia"/>
          <w:color w:val="auto"/>
          <w:highlight w:val="none"/>
        </w:rPr>
        <w:sectPr>
          <w:headerReference r:id="rId7" w:type="default"/>
          <w:footerReference r:id="rId8"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p>
    <w:p w14:paraId="2090440A">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法定代表人授权书（格式）</w:t>
      </w:r>
    </w:p>
    <w:p w14:paraId="384AE748">
      <w:pPr>
        <w:spacing w:line="480" w:lineRule="auto"/>
        <w:jc w:val="center"/>
        <w:rPr>
          <w:rFonts w:hint="eastAsia" w:ascii="宋体" w:hAnsi="宋体" w:cs="宋体"/>
          <w:b/>
          <w:color w:val="auto"/>
          <w:sz w:val="48"/>
          <w:highlight w:val="none"/>
        </w:rPr>
      </w:pPr>
    </w:p>
    <w:p w14:paraId="6C0D911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0E22F1CF">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51658F6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5344240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3F5AA542">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51CA7C2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5F94B3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72C548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096F1DAB">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583BEC9E">
      <w:pPr>
        <w:spacing w:line="360" w:lineRule="auto"/>
        <w:rPr>
          <w:rFonts w:hint="eastAsia" w:ascii="宋体" w:hAnsi="宋体" w:cs="宋体"/>
          <w:color w:val="auto"/>
          <w:sz w:val="24"/>
          <w:highlight w:val="none"/>
        </w:rPr>
      </w:pPr>
    </w:p>
    <w:p w14:paraId="0E1AA958">
      <w:pPr>
        <w:spacing w:line="360" w:lineRule="auto"/>
        <w:rPr>
          <w:rFonts w:hint="eastAsia" w:ascii="宋体" w:hAnsi="宋体" w:cs="宋体"/>
          <w:color w:val="auto"/>
          <w:sz w:val="24"/>
          <w:highlight w:val="none"/>
        </w:rPr>
      </w:pPr>
    </w:p>
    <w:p w14:paraId="7EF1A586">
      <w:pPr>
        <w:spacing w:line="360" w:lineRule="auto"/>
        <w:rPr>
          <w:rFonts w:hint="eastAsia" w:ascii="宋体" w:hAnsi="宋体" w:cs="宋体"/>
          <w:color w:val="auto"/>
          <w:sz w:val="24"/>
          <w:highlight w:val="none"/>
        </w:rPr>
      </w:pPr>
    </w:p>
    <w:p w14:paraId="45638969">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506B46B5">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7883355C">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ECBEEA3">
      <w:pPr>
        <w:spacing w:line="360" w:lineRule="auto"/>
        <w:rPr>
          <w:rFonts w:hint="eastAsia" w:ascii="宋体" w:hAnsi="宋体" w:cs="宋体"/>
          <w:color w:val="auto"/>
          <w:sz w:val="24"/>
          <w:highlight w:val="none"/>
        </w:rPr>
      </w:pPr>
    </w:p>
    <w:p w14:paraId="2275D89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6F2C7652">
      <w:pPr>
        <w:jc w:val="center"/>
        <w:rPr>
          <w:rFonts w:hint="eastAsia" w:ascii="宋体" w:hAnsi="宋体" w:cs="宋体"/>
          <w:b/>
          <w:bCs/>
          <w:color w:val="auto"/>
          <w:sz w:val="36"/>
          <w:highlight w:val="none"/>
        </w:rPr>
      </w:pPr>
    </w:p>
    <w:p w14:paraId="0A5D5FAA">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1E063FD5">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1A2B54E2">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5CDED61A">
      <w:pPr>
        <w:pStyle w:val="19"/>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2637BE7E">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711818D2">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33D6630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588B4228">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37DC4A09">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1120E14A">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501D5B71">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01DC7C47">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5AE1E71F">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35866C8E">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5EC11B18">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4DB30C08">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05BAC51E">
      <w:pPr>
        <w:rPr>
          <w:rFonts w:hint="eastAsia"/>
          <w:color w:val="auto"/>
          <w:sz w:val="24"/>
          <w:szCs w:val="24"/>
          <w:highlight w:val="none"/>
        </w:rPr>
      </w:pPr>
    </w:p>
    <w:p w14:paraId="464070D7">
      <w:pPr>
        <w:pStyle w:val="19"/>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4D678FCE">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1832360">
      <w:pPr>
        <w:spacing w:line="400" w:lineRule="exact"/>
        <w:jc w:val="center"/>
        <w:rPr>
          <w:rFonts w:hint="eastAsia" w:ascii="宋体" w:hAnsi="宋体" w:cs="宋体"/>
          <w:color w:val="auto"/>
          <w:kern w:val="0"/>
          <w:sz w:val="24"/>
          <w:szCs w:val="28"/>
          <w:highlight w:val="none"/>
        </w:rPr>
      </w:pPr>
    </w:p>
    <w:p w14:paraId="4EF101BA">
      <w:pPr>
        <w:spacing w:line="400" w:lineRule="exact"/>
        <w:jc w:val="center"/>
        <w:rPr>
          <w:rFonts w:hint="eastAsia" w:ascii="宋体" w:hAnsi="宋体" w:cs="宋体"/>
          <w:b/>
          <w:bCs/>
          <w:color w:val="auto"/>
          <w:sz w:val="30"/>
          <w:szCs w:val="30"/>
          <w:highlight w:val="none"/>
        </w:rPr>
      </w:pPr>
      <w:bookmarkStart w:id="159" w:name="_Hlk180741110"/>
      <w:r>
        <w:rPr>
          <w:rFonts w:hint="eastAsia" w:ascii="宋体" w:hAnsi="宋体" w:eastAsia="宋体" w:cs="宋体"/>
          <w:b/>
          <w:color w:val="auto"/>
          <w:sz w:val="32"/>
          <w:szCs w:val="32"/>
          <w:highlight w:val="none"/>
        </w:rPr>
        <w:t>关于债券承销业务无重大违法记录和无失信的声明</w:t>
      </w:r>
    </w:p>
    <w:p w14:paraId="0EDC0D1F">
      <w:pPr>
        <w:adjustRightInd w:val="0"/>
        <w:spacing w:line="360" w:lineRule="auto"/>
        <w:jc w:val="center"/>
        <w:rPr>
          <w:rFonts w:hint="eastAsia" w:ascii="宋体" w:hAnsi="宋体" w:cs="宋体"/>
          <w:b/>
          <w:color w:val="auto"/>
          <w:kern w:val="0"/>
          <w:sz w:val="30"/>
          <w:szCs w:val="30"/>
          <w:highlight w:val="none"/>
          <w:lang w:val="zh-CN"/>
        </w:rPr>
      </w:pPr>
    </w:p>
    <w:p w14:paraId="2AF01BDB">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经本公司自查，本公司近三年无债券承销业务遭受处罚的记录，目前也无正在被债券监管机构立案调查尚未结案的情况。</w:t>
      </w:r>
    </w:p>
    <w:p w14:paraId="58695FDF">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我公司声明，本公司近三年无失信记录的情况。</w:t>
      </w:r>
    </w:p>
    <w:p w14:paraId="5D8FDA82">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72BE87AA">
      <w:pPr>
        <w:spacing w:line="360" w:lineRule="auto"/>
        <w:ind w:firstLine="3720" w:firstLineChars="1550"/>
        <w:rPr>
          <w:rFonts w:hint="eastAsia" w:ascii="宋体" w:hAnsi="宋体" w:cs="宋体"/>
          <w:color w:val="auto"/>
          <w:kern w:val="0"/>
          <w:sz w:val="24"/>
          <w:szCs w:val="24"/>
          <w:highlight w:val="none"/>
        </w:rPr>
      </w:pPr>
    </w:p>
    <w:p w14:paraId="126767D1">
      <w:pPr>
        <w:spacing w:line="360" w:lineRule="auto"/>
        <w:ind w:firstLine="3720" w:firstLineChars="1550"/>
        <w:rPr>
          <w:rFonts w:hint="eastAsia" w:ascii="宋体" w:hAnsi="宋体" w:cs="宋体"/>
          <w:color w:val="auto"/>
          <w:kern w:val="0"/>
          <w:sz w:val="24"/>
          <w:szCs w:val="24"/>
          <w:highlight w:val="none"/>
        </w:rPr>
      </w:pPr>
    </w:p>
    <w:p w14:paraId="24067580">
      <w:pPr>
        <w:spacing w:line="360" w:lineRule="auto"/>
        <w:ind w:firstLine="3720" w:firstLineChars="1550"/>
        <w:rPr>
          <w:rFonts w:hint="eastAsia" w:ascii="宋体" w:hAnsi="宋体" w:cs="宋体"/>
          <w:color w:val="auto"/>
          <w:kern w:val="0"/>
          <w:sz w:val="24"/>
          <w:szCs w:val="24"/>
          <w:highlight w:val="none"/>
        </w:rPr>
      </w:pPr>
    </w:p>
    <w:p w14:paraId="26D6684C">
      <w:pPr>
        <w:spacing w:line="360" w:lineRule="auto"/>
        <w:ind w:firstLine="3720" w:firstLineChars="1550"/>
        <w:rPr>
          <w:rFonts w:hint="eastAsia" w:ascii="宋体" w:hAnsi="宋体" w:cs="宋体"/>
          <w:color w:val="auto"/>
          <w:kern w:val="0"/>
          <w:sz w:val="24"/>
          <w:szCs w:val="24"/>
          <w:highlight w:val="none"/>
        </w:rPr>
      </w:pPr>
    </w:p>
    <w:p w14:paraId="0A6BF950">
      <w:pPr>
        <w:spacing w:line="360" w:lineRule="auto"/>
        <w:ind w:firstLine="3720" w:firstLineChars="1550"/>
        <w:rPr>
          <w:rFonts w:hint="eastAsia" w:ascii="宋体" w:hAnsi="宋体" w:cs="宋体"/>
          <w:color w:val="auto"/>
          <w:kern w:val="0"/>
          <w:sz w:val="24"/>
          <w:szCs w:val="24"/>
          <w:highlight w:val="none"/>
        </w:rPr>
      </w:pPr>
    </w:p>
    <w:p w14:paraId="6B483366">
      <w:pPr>
        <w:spacing w:line="360" w:lineRule="auto"/>
        <w:ind w:firstLine="3720" w:firstLineChars="1550"/>
        <w:rPr>
          <w:rFonts w:hint="eastAsia" w:ascii="宋体" w:hAnsi="宋体" w:cs="宋体"/>
          <w:color w:val="auto"/>
          <w:kern w:val="0"/>
          <w:sz w:val="24"/>
          <w:szCs w:val="24"/>
          <w:highlight w:val="none"/>
        </w:rPr>
      </w:pPr>
    </w:p>
    <w:p w14:paraId="4BE8B8E1">
      <w:pPr>
        <w:spacing w:line="360" w:lineRule="auto"/>
        <w:ind w:firstLine="3720" w:firstLineChars="1550"/>
        <w:rPr>
          <w:rFonts w:hint="eastAsia" w:ascii="宋体" w:hAnsi="宋体" w:cs="宋体"/>
          <w:color w:val="auto"/>
          <w:kern w:val="0"/>
          <w:sz w:val="24"/>
          <w:szCs w:val="24"/>
          <w:highlight w:val="none"/>
        </w:rPr>
      </w:pPr>
    </w:p>
    <w:p w14:paraId="3A096E13">
      <w:pPr>
        <w:widowControl/>
        <w:spacing w:line="360" w:lineRule="auto"/>
        <w:ind w:left="4108" w:leftChars="1890" w:hanging="139" w:hangingChars="5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val="en-US" w:eastAsia="zh-CN"/>
        </w:rPr>
        <w:t>电子签章</w:t>
      </w:r>
      <w:r>
        <w:rPr>
          <w:rFonts w:hint="eastAsia" w:ascii="宋体" w:hAnsi="宋体" w:cs="宋体"/>
          <w:color w:val="auto"/>
          <w:kern w:val="0"/>
          <w:sz w:val="24"/>
          <w:szCs w:val="24"/>
          <w:highlight w:val="none"/>
        </w:rPr>
        <w:t>）：</w:t>
      </w:r>
    </w:p>
    <w:p w14:paraId="16D09CAE">
      <w:pPr>
        <w:widowControl/>
        <w:spacing w:line="360" w:lineRule="auto"/>
        <w:ind w:left="4108" w:leftChars="1890" w:hanging="139" w:hangingChars="5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代表（签字）：</w:t>
      </w:r>
    </w:p>
    <w:p w14:paraId="5C178784">
      <w:pPr>
        <w:widowControl/>
        <w:ind w:left="4108" w:leftChars="1890" w:hanging="139" w:hangingChars="5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bookmarkEnd w:id="159"/>
    <w:p w14:paraId="0DB6B7A9">
      <w:pPr>
        <w:widowControl/>
        <w:jc w:val="left"/>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br w:type="page"/>
      </w:r>
    </w:p>
    <w:p w14:paraId="35B086AB">
      <w:pPr>
        <w:spacing w:line="400" w:lineRule="exact"/>
        <w:jc w:val="center"/>
        <w:rPr>
          <w:rFonts w:hint="eastAsia" w:ascii="宋体" w:hAnsi="宋体" w:cs="宋体"/>
          <w:color w:val="auto"/>
          <w:kern w:val="0"/>
          <w:sz w:val="24"/>
          <w:szCs w:val="28"/>
          <w:highlight w:val="none"/>
        </w:rPr>
      </w:pPr>
    </w:p>
    <w:p w14:paraId="6296D87A">
      <w:pPr>
        <w:widowControl/>
        <w:spacing w:before="100" w:beforeAutospacing="1" w:after="100" w:afterAutospacing="1" w:line="432" w:lineRule="auto"/>
        <w:jc w:val="center"/>
        <w:rPr>
          <w:rFonts w:hint="eastAsia" w:ascii="宋体" w:hAnsi="宋体" w:cs="宋体"/>
          <w:b/>
          <w:bCs/>
          <w:color w:val="auto"/>
          <w:kern w:val="0"/>
          <w:sz w:val="30"/>
          <w:szCs w:val="30"/>
          <w:highlight w:val="none"/>
        </w:rPr>
      </w:pPr>
      <w:r>
        <w:rPr>
          <w:rFonts w:hint="eastAsia" w:ascii="宋体" w:hAnsi="宋体" w:eastAsia="宋体" w:cs="宋体"/>
          <w:b/>
          <w:color w:val="auto"/>
          <w:sz w:val="32"/>
          <w:szCs w:val="32"/>
          <w:highlight w:val="none"/>
        </w:rPr>
        <w:t>监管部门批准的债券承销等相关资质文件的复印件（盖单位公章）</w:t>
      </w:r>
    </w:p>
    <w:p w14:paraId="4FFBB489">
      <w:pPr>
        <w:pStyle w:val="35"/>
        <w:rPr>
          <w:rFonts w:hint="eastAsia" w:ascii="宋体" w:hAnsi="宋体" w:cs="宋体"/>
          <w:color w:val="auto"/>
          <w:sz w:val="28"/>
          <w:szCs w:val="28"/>
          <w:highlight w:val="none"/>
        </w:rPr>
      </w:pPr>
    </w:p>
    <w:p w14:paraId="0649BB0C">
      <w:pPr>
        <w:pStyle w:val="35"/>
        <w:rPr>
          <w:rFonts w:hint="eastAsia" w:ascii="宋体" w:hAnsi="宋体" w:cs="宋体"/>
          <w:color w:val="auto"/>
          <w:sz w:val="28"/>
          <w:szCs w:val="28"/>
          <w:highlight w:val="none"/>
        </w:rPr>
      </w:pPr>
    </w:p>
    <w:p w14:paraId="55997594">
      <w:pPr>
        <w:pStyle w:val="35"/>
        <w:rPr>
          <w:rFonts w:hint="eastAsia" w:ascii="宋体" w:hAnsi="宋体" w:cs="宋体"/>
          <w:color w:val="auto"/>
          <w:sz w:val="28"/>
          <w:szCs w:val="28"/>
          <w:highlight w:val="none"/>
        </w:rPr>
      </w:pPr>
    </w:p>
    <w:p w14:paraId="7B408DC5">
      <w:pPr>
        <w:widowControl/>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768BCB0E">
      <w:pPr>
        <w:spacing w:line="400" w:lineRule="exact"/>
        <w:jc w:val="center"/>
        <w:rPr>
          <w:rFonts w:hint="eastAsia" w:ascii="宋体" w:hAnsi="宋体" w:cs="宋体"/>
          <w:b/>
          <w:bCs/>
          <w:color w:val="auto"/>
          <w:sz w:val="30"/>
          <w:szCs w:val="30"/>
          <w:highlight w:val="none"/>
        </w:rPr>
      </w:pPr>
      <w:r>
        <w:rPr>
          <w:rFonts w:hint="eastAsia" w:ascii="宋体" w:hAnsi="宋体" w:eastAsia="宋体" w:cs="宋体"/>
          <w:b/>
          <w:color w:val="auto"/>
          <w:sz w:val="32"/>
          <w:szCs w:val="32"/>
          <w:highlight w:val="none"/>
        </w:rPr>
        <w:t>发行承销方案</w:t>
      </w:r>
    </w:p>
    <w:p w14:paraId="6BF9C81A">
      <w:pPr>
        <w:spacing w:line="400" w:lineRule="exact"/>
        <w:jc w:val="center"/>
        <w:rPr>
          <w:rFonts w:hint="eastAsia" w:ascii="宋体" w:hAnsi="宋体" w:cs="宋体"/>
          <w:b/>
          <w:bCs/>
          <w:color w:val="auto"/>
          <w:sz w:val="30"/>
          <w:szCs w:val="30"/>
          <w:highlight w:val="none"/>
        </w:rPr>
      </w:pPr>
    </w:p>
    <w:p w14:paraId="687E7C90">
      <w:pPr>
        <w:spacing w:after="240" w:line="360" w:lineRule="exact"/>
        <w:jc w:val="center"/>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u w:val="single"/>
        </w:rPr>
        <w:t>▲</w:t>
      </w:r>
      <w:r>
        <w:rPr>
          <w:rFonts w:hint="eastAsia" w:ascii="宋体" w:hAnsi="宋体" w:cs="宋体"/>
          <w:b/>
          <w:color w:val="auto"/>
          <w:sz w:val="30"/>
          <w:szCs w:val="30"/>
          <w:highlight w:val="none"/>
          <w:u w:val="single"/>
        </w:rPr>
        <w:t>注：请按下列提纲撰写</w:t>
      </w:r>
    </w:p>
    <w:p w14:paraId="143E12A7">
      <w:pPr>
        <w:numPr>
          <w:ilvl w:val="0"/>
          <w:numId w:val="6"/>
        </w:numPr>
        <w:spacing w:after="156" w:afterLines="50" w:line="560" w:lineRule="exact"/>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根据对发行人认知深度与方案针对性（包括但不限于与发行人2022-2025年的具体合作案例如流贷金额、债券投资额度、其他金融服务、发行时机、利率区间预测、期限结构设计等）</w:t>
      </w:r>
      <w:r>
        <w:rPr>
          <w:rFonts w:hint="eastAsia" w:ascii="宋体" w:hAnsi="宋体" w:cs="宋体"/>
          <w:b/>
          <w:color w:val="auto"/>
          <w:sz w:val="30"/>
          <w:szCs w:val="30"/>
          <w:highlight w:val="none"/>
          <w:lang w:eastAsia="zh-CN"/>
        </w:rPr>
        <w:t>。</w:t>
      </w:r>
    </w:p>
    <w:p w14:paraId="4570AB81">
      <w:pPr>
        <w:numPr>
          <w:ilvl w:val="0"/>
          <w:numId w:val="0"/>
        </w:numPr>
        <w:spacing w:after="156" w:afterLines="50" w:line="560" w:lineRule="exact"/>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（二）本次债券工作的具体时间安排（请注明从正式入场到申报所需时间）。</w:t>
      </w:r>
    </w:p>
    <w:p w14:paraId="0E703D4C">
      <w:pPr>
        <w:spacing w:after="156" w:afterLines="50" w:line="560" w:lineRule="exact"/>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）本次债券注册发行的方案设计及项目发行特点和难点分析（包括但不限于外部因素引发的风险应对，如资本市场行情波动较大、监管审批机构答疑释义与沟通协调等）</w:t>
      </w:r>
    </w:p>
    <w:p w14:paraId="02EC4064">
      <w:pPr>
        <w:spacing w:after="156" w:afterLines="50" w:line="560" w:lineRule="exact"/>
        <w:jc w:val="left"/>
        <w:rPr>
          <w:rFonts w:hint="eastAsia" w:ascii="宋体" w:hAnsi="宋体" w:cs="宋体"/>
          <w:b/>
          <w:color w:val="auto"/>
          <w:sz w:val="30"/>
          <w:szCs w:val="30"/>
          <w:highlight w:val="none"/>
        </w:rPr>
      </w:pP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四</w:t>
      </w:r>
      <w:r>
        <w:rPr>
          <w:rFonts w:hint="eastAsia" w:ascii="宋体" w:hAnsi="宋体" w:cs="宋体"/>
          <w:b/>
          <w:color w:val="auto"/>
          <w:sz w:val="30"/>
          <w:szCs w:val="30"/>
          <w:highlight w:val="none"/>
        </w:rPr>
        <w:t>）存续期管理及风险应急方案</w:t>
      </w:r>
      <w:r>
        <w:rPr>
          <w:rFonts w:hint="eastAsia" w:ascii="宋体" w:hAnsi="宋体" w:cs="宋体"/>
          <w:b/>
          <w:color w:val="auto"/>
          <w:sz w:val="30"/>
          <w:szCs w:val="30"/>
          <w:highlight w:val="none"/>
          <w:lang w:val="en-US" w:eastAsia="zh-CN"/>
        </w:rPr>
        <w:t>等</w:t>
      </w:r>
      <w:r>
        <w:rPr>
          <w:rFonts w:hint="eastAsia" w:ascii="宋体" w:hAnsi="宋体" w:cs="宋体"/>
          <w:b/>
          <w:color w:val="auto"/>
          <w:sz w:val="30"/>
          <w:szCs w:val="30"/>
          <w:highlight w:val="none"/>
        </w:rPr>
        <w:t>。</w:t>
      </w:r>
    </w:p>
    <w:p w14:paraId="0426C3B7">
      <w:pPr>
        <w:pStyle w:val="35"/>
        <w:spacing w:after="156" w:afterLines="50" w:line="560" w:lineRule="exact"/>
        <w:jc w:val="both"/>
        <w:outlineLvl w:val="9"/>
        <w:rPr>
          <w:rFonts w:hint="eastAsia" w:ascii="宋体" w:hAnsi="宋体" w:cs="宋体"/>
          <w:color w:val="auto"/>
          <w:sz w:val="30"/>
          <w:szCs w:val="30"/>
          <w:highlight w:val="none"/>
        </w:rPr>
      </w:pPr>
      <w:r>
        <w:rPr>
          <w:rFonts w:hint="eastAsia" w:ascii="宋体" w:hAnsi="宋体" w:cs="宋体"/>
          <w:color w:val="auto"/>
          <w:kern w:val="2"/>
          <w:sz w:val="30"/>
          <w:szCs w:val="30"/>
          <w:highlight w:val="none"/>
          <w:lang w:val="en-US"/>
        </w:rPr>
        <w:t>（</w:t>
      </w:r>
      <w:r>
        <w:rPr>
          <w:rFonts w:hint="eastAsia" w:ascii="宋体" w:hAnsi="宋体" w:cs="宋体"/>
          <w:color w:val="auto"/>
          <w:kern w:val="2"/>
          <w:sz w:val="30"/>
          <w:szCs w:val="30"/>
          <w:highlight w:val="none"/>
          <w:lang w:val="en-US" w:eastAsia="zh-CN"/>
        </w:rPr>
        <w:t>五</w:t>
      </w:r>
      <w:r>
        <w:rPr>
          <w:rFonts w:hint="eastAsia" w:ascii="宋体" w:hAnsi="宋体" w:cs="宋体"/>
          <w:color w:val="auto"/>
          <w:kern w:val="2"/>
          <w:sz w:val="30"/>
          <w:szCs w:val="30"/>
          <w:highlight w:val="none"/>
          <w:lang w:val="en-US"/>
        </w:rPr>
        <w:t>）</w:t>
      </w:r>
      <w:r>
        <w:rPr>
          <w:rFonts w:hint="eastAsia" w:ascii="宋体" w:hAnsi="宋体" w:cs="宋体"/>
          <w:color w:val="auto"/>
          <w:sz w:val="30"/>
          <w:szCs w:val="30"/>
          <w:highlight w:val="none"/>
          <w:lang w:val="en-US" w:eastAsia="zh-CN"/>
        </w:rPr>
        <w:t>投标人</w:t>
      </w:r>
      <w:r>
        <w:rPr>
          <w:rFonts w:hint="eastAsia" w:ascii="宋体" w:hAnsi="宋体" w:cs="宋体"/>
          <w:color w:val="auto"/>
          <w:sz w:val="30"/>
          <w:szCs w:val="30"/>
          <w:highlight w:val="none"/>
        </w:rPr>
        <w:t>认为需要提供的其他技术方案。</w:t>
      </w:r>
    </w:p>
    <w:p w14:paraId="5E2F03D8">
      <w:pPr>
        <w:spacing w:after="240" w:line="360" w:lineRule="exact"/>
        <w:jc w:val="center"/>
        <w:rPr>
          <w:rFonts w:hint="eastAsia" w:ascii="宋体" w:hAnsi="宋体" w:cs="宋体"/>
          <w:b/>
          <w:color w:val="auto"/>
          <w:sz w:val="28"/>
          <w:szCs w:val="28"/>
          <w:highlight w:val="none"/>
        </w:rPr>
      </w:pPr>
    </w:p>
    <w:p w14:paraId="4CB3506E">
      <w:pPr>
        <w:spacing w:after="240" w:line="360" w:lineRule="exact"/>
        <w:jc w:val="center"/>
        <w:rPr>
          <w:rFonts w:hint="eastAsia" w:ascii="宋体" w:hAnsi="宋体" w:cs="宋体"/>
          <w:b/>
          <w:color w:val="auto"/>
          <w:sz w:val="28"/>
          <w:szCs w:val="28"/>
          <w:highlight w:val="none"/>
        </w:rPr>
      </w:pPr>
    </w:p>
    <w:p w14:paraId="1621796F">
      <w:pPr>
        <w:widowControl/>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D3C5943">
      <w:pPr>
        <w:spacing w:line="400" w:lineRule="exact"/>
        <w:jc w:val="center"/>
        <w:rPr>
          <w:rFonts w:hint="eastAsia" w:ascii="宋体" w:hAnsi="宋体" w:cs="宋体"/>
          <w:b/>
          <w:bCs/>
          <w:color w:val="auto"/>
          <w:sz w:val="30"/>
          <w:szCs w:val="30"/>
          <w:highlight w:val="none"/>
        </w:rPr>
      </w:pPr>
      <w:r>
        <w:rPr>
          <w:rFonts w:hint="eastAsia" w:ascii="宋体" w:hAnsi="宋体" w:eastAsia="宋体" w:cs="宋体"/>
          <w:b/>
          <w:color w:val="auto"/>
          <w:sz w:val="32"/>
          <w:szCs w:val="32"/>
          <w:highlight w:val="none"/>
        </w:rPr>
        <w:t>项目负责人情况表</w:t>
      </w:r>
    </w:p>
    <w:p w14:paraId="2F393330">
      <w:pPr>
        <w:spacing w:line="360" w:lineRule="exact"/>
        <w:rPr>
          <w:rFonts w:hint="eastAsia" w:ascii="宋体" w:hAnsi="宋体" w:cs="宋体"/>
          <w:color w:val="auto"/>
          <w:sz w:val="22"/>
          <w:highlight w:val="none"/>
        </w:rPr>
      </w:pPr>
    </w:p>
    <w:tbl>
      <w:tblPr>
        <w:tblStyle w:val="3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424A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406D75BB">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1、一般情况</w:t>
            </w:r>
          </w:p>
        </w:tc>
      </w:tr>
      <w:tr w14:paraId="17CC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38083947">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2E8A31BC">
            <w:pPr>
              <w:spacing w:line="360" w:lineRule="exact"/>
              <w:jc w:val="center"/>
              <w:rPr>
                <w:rFonts w:hint="eastAsia" w:ascii="宋体" w:hAnsi="宋体" w:cs="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06A2C414">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2D48F162">
            <w:pPr>
              <w:spacing w:line="360" w:lineRule="exact"/>
              <w:jc w:val="center"/>
              <w:rPr>
                <w:rFonts w:hint="eastAsia" w:ascii="宋体" w:hAnsi="宋体" w:cs="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62610654">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3F3CBA87">
            <w:pPr>
              <w:spacing w:line="360" w:lineRule="exact"/>
              <w:jc w:val="center"/>
              <w:rPr>
                <w:rFonts w:hint="eastAsia" w:ascii="宋体" w:hAnsi="宋体" w:cs="宋体"/>
                <w:color w:val="auto"/>
                <w:sz w:val="22"/>
                <w:highlight w:val="none"/>
              </w:rPr>
            </w:pPr>
          </w:p>
        </w:tc>
      </w:tr>
      <w:tr w14:paraId="33DE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1A69837">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0F2A379F">
            <w:pPr>
              <w:spacing w:line="360" w:lineRule="exact"/>
              <w:jc w:val="center"/>
              <w:rPr>
                <w:rFonts w:hint="eastAsia" w:ascii="宋体" w:hAnsi="宋体" w:cs="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61A486BB">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FD1A812">
            <w:pPr>
              <w:spacing w:line="360" w:lineRule="exact"/>
              <w:jc w:val="center"/>
              <w:rPr>
                <w:rFonts w:hint="eastAsia" w:ascii="宋体" w:hAnsi="宋体" w:cs="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2929A936">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3E4D3B08">
            <w:pPr>
              <w:spacing w:line="360" w:lineRule="exact"/>
              <w:jc w:val="center"/>
              <w:rPr>
                <w:rFonts w:hint="eastAsia" w:ascii="宋体" w:hAnsi="宋体" w:cs="宋体"/>
                <w:color w:val="auto"/>
                <w:sz w:val="22"/>
                <w:highlight w:val="none"/>
              </w:rPr>
            </w:pPr>
          </w:p>
        </w:tc>
      </w:tr>
      <w:tr w14:paraId="71BC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7B016BC0">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职  称</w:t>
            </w:r>
          </w:p>
          <w:p w14:paraId="008FA9AD">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226D0E51">
            <w:pPr>
              <w:spacing w:line="360" w:lineRule="exact"/>
              <w:jc w:val="center"/>
              <w:rPr>
                <w:rFonts w:hint="eastAsia" w:ascii="宋体" w:hAnsi="宋体" w:cs="宋体"/>
                <w:color w:val="auto"/>
                <w:sz w:val="22"/>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4CCB034E">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证书</w:t>
            </w:r>
          </w:p>
        </w:tc>
        <w:tc>
          <w:tcPr>
            <w:tcW w:w="1726" w:type="dxa"/>
            <w:tcBorders>
              <w:top w:val="single" w:color="auto" w:sz="4" w:space="0"/>
              <w:left w:val="single" w:color="auto" w:sz="4" w:space="0"/>
              <w:bottom w:val="single" w:color="auto" w:sz="4" w:space="0"/>
              <w:right w:val="single" w:color="auto" w:sz="4" w:space="0"/>
            </w:tcBorders>
            <w:vAlign w:val="center"/>
          </w:tcPr>
          <w:p w14:paraId="234AB06D">
            <w:pPr>
              <w:spacing w:line="360" w:lineRule="exact"/>
              <w:jc w:val="center"/>
              <w:rPr>
                <w:rFonts w:hint="eastAsia" w:ascii="宋体" w:hAnsi="宋体" w:cs="宋体"/>
                <w:color w:val="auto"/>
                <w:sz w:val="22"/>
                <w:highlight w:val="none"/>
              </w:rPr>
            </w:pPr>
          </w:p>
        </w:tc>
        <w:tc>
          <w:tcPr>
            <w:tcW w:w="1449" w:type="dxa"/>
            <w:tcBorders>
              <w:top w:val="single" w:color="auto" w:sz="4" w:space="0"/>
              <w:left w:val="single" w:color="auto" w:sz="4" w:space="0"/>
              <w:bottom w:val="single" w:color="auto" w:sz="4" w:space="0"/>
              <w:right w:val="single" w:color="auto" w:sz="4" w:space="0"/>
            </w:tcBorders>
            <w:vAlign w:val="center"/>
          </w:tcPr>
          <w:p w14:paraId="035F02BE">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参加工作</w:t>
            </w:r>
          </w:p>
          <w:p w14:paraId="6EF8EEE3">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5EF17FB0">
            <w:pPr>
              <w:spacing w:line="360" w:lineRule="exact"/>
              <w:jc w:val="center"/>
              <w:rPr>
                <w:rFonts w:hint="eastAsia" w:ascii="宋体" w:hAnsi="宋体" w:cs="宋体"/>
                <w:color w:val="auto"/>
                <w:sz w:val="22"/>
                <w:highlight w:val="none"/>
              </w:rPr>
            </w:pPr>
          </w:p>
        </w:tc>
      </w:tr>
      <w:tr w14:paraId="3131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6206928D">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2、个人简历</w:t>
            </w:r>
          </w:p>
        </w:tc>
      </w:tr>
      <w:tr w14:paraId="71BD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416AFF2C">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40CC1E90">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专业工作经历</w:t>
            </w:r>
          </w:p>
        </w:tc>
      </w:tr>
      <w:tr w14:paraId="4CE2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99F7355">
            <w:pPr>
              <w:spacing w:line="360" w:lineRule="exact"/>
              <w:jc w:val="center"/>
              <w:rPr>
                <w:rFonts w:hint="eastAsia" w:ascii="宋体" w:hAnsi="宋体" w:cs="宋体"/>
                <w:color w:val="auto"/>
                <w:sz w:val="22"/>
                <w:highlight w:val="none"/>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45183628">
            <w:pPr>
              <w:spacing w:line="360" w:lineRule="exact"/>
              <w:jc w:val="center"/>
              <w:rPr>
                <w:rFonts w:hint="eastAsia" w:ascii="宋体" w:hAnsi="宋体" w:cs="宋体"/>
                <w:color w:val="auto"/>
                <w:sz w:val="22"/>
                <w:highlight w:val="none"/>
              </w:rPr>
            </w:pPr>
          </w:p>
        </w:tc>
      </w:tr>
      <w:tr w14:paraId="7E31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6349413">
            <w:pPr>
              <w:spacing w:line="360" w:lineRule="exact"/>
              <w:jc w:val="center"/>
              <w:rPr>
                <w:rFonts w:hint="eastAsia" w:ascii="宋体" w:hAnsi="宋体" w:cs="宋体"/>
                <w:color w:val="auto"/>
                <w:sz w:val="22"/>
                <w:highlight w:val="none"/>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4A216522">
            <w:pPr>
              <w:spacing w:line="360" w:lineRule="exact"/>
              <w:jc w:val="center"/>
              <w:rPr>
                <w:rFonts w:hint="eastAsia" w:ascii="宋体" w:hAnsi="宋体" w:cs="宋体"/>
                <w:color w:val="auto"/>
                <w:sz w:val="22"/>
                <w:highlight w:val="none"/>
              </w:rPr>
            </w:pPr>
          </w:p>
        </w:tc>
      </w:tr>
      <w:tr w14:paraId="2D25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51E3D9BF">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3、负责类似项目业绩</w:t>
            </w:r>
          </w:p>
        </w:tc>
      </w:tr>
      <w:tr w14:paraId="3531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D8CBDD9">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6B5BD3AB">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CD43CE9">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该项目中任何职</w:t>
            </w:r>
          </w:p>
        </w:tc>
      </w:tr>
      <w:tr w14:paraId="5026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46DA553D">
            <w:pPr>
              <w:spacing w:line="360" w:lineRule="exact"/>
              <w:jc w:val="center"/>
              <w:rPr>
                <w:rFonts w:hint="eastAsia" w:ascii="宋体" w:hAnsi="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104EC09">
            <w:pPr>
              <w:spacing w:line="360" w:lineRule="exact"/>
              <w:jc w:val="center"/>
              <w:rPr>
                <w:rFonts w:hint="eastAsia" w:ascii="宋体" w:hAnsi="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74DFFE2B">
            <w:pPr>
              <w:spacing w:line="360" w:lineRule="exact"/>
              <w:jc w:val="center"/>
              <w:rPr>
                <w:rFonts w:hint="eastAsia" w:ascii="宋体" w:hAnsi="宋体" w:cs="宋体"/>
                <w:color w:val="auto"/>
                <w:sz w:val="22"/>
                <w:highlight w:val="none"/>
              </w:rPr>
            </w:pPr>
          </w:p>
        </w:tc>
      </w:tr>
      <w:tr w14:paraId="00E9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45C19F4">
            <w:pPr>
              <w:spacing w:line="360" w:lineRule="exact"/>
              <w:jc w:val="center"/>
              <w:rPr>
                <w:rFonts w:hint="eastAsia" w:ascii="宋体" w:hAnsi="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0C5C9FC7">
            <w:pPr>
              <w:spacing w:line="360" w:lineRule="exact"/>
              <w:jc w:val="center"/>
              <w:rPr>
                <w:rFonts w:hint="eastAsia" w:ascii="宋体" w:hAnsi="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86A4BC4">
            <w:pPr>
              <w:spacing w:line="360" w:lineRule="exact"/>
              <w:jc w:val="center"/>
              <w:rPr>
                <w:rFonts w:hint="eastAsia" w:ascii="宋体" w:hAnsi="宋体" w:cs="宋体"/>
                <w:color w:val="auto"/>
                <w:sz w:val="22"/>
                <w:highlight w:val="none"/>
              </w:rPr>
            </w:pPr>
          </w:p>
        </w:tc>
      </w:tr>
      <w:tr w14:paraId="11CB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7FCAC2E">
            <w:pPr>
              <w:spacing w:line="360" w:lineRule="exact"/>
              <w:jc w:val="center"/>
              <w:rPr>
                <w:rFonts w:hint="eastAsia" w:ascii="宋体" w:hAnsi="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366178F">
            <w:pPr>
              <w:spacing w:line="360" w:lineRule="exact"/>
              <w:jc w:val="center"/>
              <w:rPr>
                <w:rFonts w:hint="eastAsia" w:ascii="宋体" w:hAnsi="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0EA2ACCB">
            <w:pPr>
              <w:spacing w:line="360" w:lineRule="exact"/>
              <w:jc w:val="center"/>
              <w:rPr>
                <w:rFonts w:hint="eastAsia" w:ascii="宋体" w:hAnsi="宋体" w:cs="宋体"/>
                <w:color w:val="auto"/>
                <w:sz w:val="22"/>
                <w:highlight w:val="none"/>
              </w:rPr>
            </w:pPr>
          </w:p>
        </w:tc>
      </w:tr>
      <w:tr w14:paraId="0D69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4E2527D0">
            <w:pPr>
              <w:spacing w:line="360" w:lineRule="exact"/>
              <w:jc w:val="center"/>
              <w:rPr>
                <w:rFonts w:hint="eastAsia" w:ascii="宋体" w:hAnsi="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02754190">
            <w:pPr>
              <w:spacing w:line="360" w:lineRule="exact"/>
              <w:jc w:val="center"/>
              <w:rPr>
                <w:rFonts w:hint="eastAsia" w:ascii="宋体" w:hAnsi="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760F379">
            <w:pPr>
              <w:spacing w:line="360" w:lineRule="exact"/>
              <w:jc w:val="center"/>
              <w:rPr>
                <w:rFonts w:hint="eastAsia" w:ascii="宋体" w:hAnsi="宋体" w:cs="宋体"/>
                <w:color w:val="auto"/>
                <w:sz w:val="22"/>
                <w:highlight w:val="none"/>
              </w:rPr>
            </w:pPr>
          </w:p>
        </w:tc>
      </w:tr>
      <w:tr w14:paraId="682F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C707B0D">
            <w:pPr>
              <w:spacing w:line="360" w:lineRule="exact"/>
              <w:jc w:val="center"/>
              <w:rPr>
                <w:rFonts w:hint="eastAsia" w:ascii="宋体" w:hAnsi="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22D6396">
            <w:pPr>
              <w:spacing w:line="360" w:lineRule="exact"/>
              <w:jc w:val="center"/>
              <w:rPr>
                <w:rFonts w:hint="eastAsia" w:ascii="宋体" w:hAnsi="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2523E5E">
            <w:pPr>
              <w:spacing w:line="360" w:lineRule="exact"/>
              <w:jc w:val="center"/>
              <w:rPr>
                <w:rFonts w:hint="eastAsia" w:ascii="宋体" w:hAnsi="宋体" w:cs="宋体"/>
                <w:color w:val="auto"/>
                <w:sz w:val="22"/>
                <w:highlight w:val="none"/>
              </w:rPr>
            </w:pPr>
          </w:p>
        </w:tc>
      </w:tr>
      <w:tr w14:paraId="0E88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1E4E488">
            <w:pPr>
              <w:spacing w:line="360" w:lineRule="exact"/>
              <w:jc w:val="center"/>
              <w:rPr>
                <w:rFonts w:hint="eastAsia" w:ascii="宋体" w:hAnsi="宋体" w:cs="宋体"/>
                <w:color w:val="auto"/>
                <w:sz w:val="22"/>
                <w:highlight w:val="none"/>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51FE92F">
            <w:pPr>
              <w:spacing w:line="360" w:lineRule="exact"/>
              <w:jc w:val="center"/>
              <w:rPr>
                <w:rFonts w:hint="eastAsia" w:ascii="宋体" w:hAnsi="宋体" w:cs="宋体"/>
                <w:color w:val="auto"/>
                <w:sz w:val="22"/>
                <w:highlight w:val="none"/>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74417741">
            <w:pPr>
              <w:spacing w:line="360" w:lineRule="exact"/>
              <w:jc w:val="center"/>
              <w:rPr>
                <w:rFonts w:hint="eastAsia" w:ascii="宋体" w:hAnsi="宋体" w:cs="宋体"/>
                <w:color w:val="auto"/>
                <w:sz w:val="22"/>
                <w:highlight w:val="none"/>
              </w:rPr>
            </w:pPr>
          </w:p>
        </w:tc>
      </w:tr>
      <w:tr w14:paraId="4DC7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38A7111F">
            <w:pPr>
              <w:spacing w:line="360" w:lineRule="exact"/>
              <w:jc w:val="center"/>
              <w:rPr>
                <w:rFonts w:hint="eastAsia" w:ascii="宋体" w:hAnsi="宋体" w:cs="宋体"/>
                <w:color w:val="auto"/>
                <w:sz w:val="22"/>
                <w:highlight w:val="none"/>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7C48B71D">
            <w:pPr>
              <w:spacing w:line="360" w:lineRule="exact"/>
              <w:jc w:val="center"/>
              <w:rPr>
                <w:rFonts w:hint="eastAsia" w:ascii="宋体" w:hAnsi="宋体" w:cs="宋体"/>
                <w:color w:val="auto"/>
                <w:sz w:val="22"/>
                <w:highlight w:val="none"/>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0CA5C01C">
            <w:pPr>
              <w:spacing w:line="360" w:lineRule="exact"/>
              <w:jc w:val="center"/>
              <w:rPr>
                <w:rFonts w:hint="eastAsia" w:ascii="宋体" w:hAnsi="宋体" w:cs="宋体"/>
                <w:color w:val="auto"/>
                <w:sz w:val="22"/>
                <w:highlight w:val="none"/>
              </w:rPr>
            </w:pPr>
          </w:p>
        </w:tc>
      </w:tr>
    </w:tbl>
    <w:p w14:paraId="004FD5CA">
      <w:pPr>
        <w:spacing w:line="360" w:lineRule="exact"/>
        <w:rPr>
          <w:rFonts w:hint="eastAsia" w:ascii="宋体" w:hAnsi="宋体" w:cs="宋体"/>
          <w:color w:val="auto"/>
          <w:sz w:val="22"/>
          <w:highlight w:val="none"/>
        </w:rPr>
      </w:pPr>
      <w:r>
        <w:rPr>
          <w:rFonts w:hint="eastAsia" w:ascii="宋体" w:hAnsi="宋体" w:cs="宋体"/>
          <w:color w:val="auto"/>
          <w:sz w:val="22"/>
          <w:highlight w:val="none"/>
        </w:rPr>
        <w:t>注：1、本表应附学历证书、技术职称（执业资格）证书、业绩证明等复印件；</w:t>
      </w:r>
    </w:p>
    <w:p w14:paraId="11C95B10">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2、本表可在不改变格式的情况下根据具体需要自行增减；</w:t>
      </w:r>
    </w:p>
    <w:p w14:paraId="74B71C86">
      <w:pPr>
        <w:spacing w:line="360" w:lineRule="exact"/>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3、列入本表人员如果更换，需征得</w:t>
      </w:r>
      <w:r>
        <w:rPr>
          <w:rFonts w:hint="eastAsia" w:ascii="宋体" w:hAnsi="宋体" w:cs="宋体"/>
          <w:b/>
          <w:color w:val="auto"/>
          <w:sz w:val="22"/>
          <w:highlight w:val="none"/>
          <w:lang w:val="en-US" w:eastAsia="zh-CN"/>
        </w:rPr>
        <w:t>采购</w:t>
      </w:r>
      <w:r>
        <w:rPr>
          <w:rFonts w:hint="eastAsia" w:ascii="宋体" w:hAnsi="宋体" w:cs="宋体"/>
          <w:b/>
          <w:color w:val="auto"/>
          <w:sz w:val="22"/>
          <w:highlight w:val="none"/>
        </w:rPr>
        <w:t>人同意，擅自更换或不到位属违约行为。</w:t>
      </w:r>
    </w:p>
    <w:p w14:paraId="2FCE333A">
      <w:pPr>
        <w:spacing w:line="360" w:lineRule="exact"/>
        <w:ind w:firstLine="5060" w:firstLineChars="2300"/>
        <w:rPr>
          <w:rFonts w:hint="eastAsia" w:ascii="宋体" w:hAnsi="宋体" w:cs="宋体"/>
          <w:color w:val="auto"/>
          <w:sz w:val="22"/>
          <w:highlight w:val="none"/>
        </w:rPr>
      </w:pPr>
    </w:p>
    <w:p w14:paraId="14900F5D">
      <w:pPr>
        <w:spacing w:line="360" w:lineRule="exact"/>
        <w:ind w:right="880"/>
        <w:jc w:val="right"/>
        <w:rPr>
          <w:rFonts w:hint="eastAsia" w:ascii="宋体" w:hAnsi="宋体" w:cs="宋体"/>
          <w:color w:val="auto"/>
          <w:sz w:val="22"/>
          <w:highlight w:val="none"/>
        </w:rPr>
      </w:pPr>
      <w:bookmarkStart w:id="160" w:name="_Hlk180741704"/>
      <w:r>
        <w:rPr>
          <w:rFonts w:hint="eastAsia" w:ascii="宋体" w:hAnsi="宋体" w:cs="宋体"/>
          <w:color w:val="auto"/>
          <w:sz w:val="22"/>
          <w:highlight w:val="none"/>
          <w:lang w:eastAsia="zh-CN"/>
        </w:rPr>
        <w:t>投标人</w:t>
      </w:r>
      <w:r>
        <w:rPr>
          <w:rFonts w:hint="eastAsia" w:ascii="宋体" w:hAnsi="宋体" w:cs="宋体"/>
          <w:color w:val="auto"/>
          <w:sz w:val="22"/>
          <w:highlight w:val="none"/>
        </w:rPr>
        <w:t>名称（</w:t>
      </w:r>
      <w:r>
        <w:rPr>
          <w:rFonts w:hint="eastAsia" w:ascii="宋体" w:hAnsi="宋体" w:cs="宋体"/>
          <w:color w:val="auto"/>
          <w:kern w:val="0"/>
          <w:sz w:val="24"/>
          <w:szCs w:val="24"/>
          <w:highlight w:val="none"/>
          <w:lang w:val="en-US" w:eastAsia="zh-CN"/>
        </w:rPr>
        <w:t>电子签章</w:t>
      </w:r>
      <w:r>
        <w:rPr>
          <w:rFonts w:hint="eastAsia" w:ascii="宋体" w:hAnsi="宋体" w:cs="宋体"/>
          <w:color w:val="auto"/>
          <w:sz w:val="22"/>
          <w:highlight w:val="none"/>
        </w:rPr>
        <w:t>）：</w:t>
      </w:r>
    </w:p>
    <w:p w14:paraId="75AA2DB6">
      <w:pPr>
        <w:wordWrap w:val="0"/>
        <w:spacing w:line="360" w:lineRule="exact"/>
        <w:ind w:right="880"/>
        <w:jc w:val="right"/>
        <w:rPr>
          <w:rFonts w:hint="eastAsia" w:ascii="宋体" w:hAnsi="宋体" w:cs="宋体"/>
          <w:color w:val="auto"/>
          <w:sz w:val="22"/>
          <w:highlight w:val="none"/>
        </w:rPr>
      </w:pPr>
      <w:r>
        <w:rPr>
          <w:rFonts w:hint="eastAsia" w:ascii="宋体" w:hAnsi="宋体" w:cs="宋体"/>
          <w:color w:val="auto"/>
          <w:sz w:val="22"/>
          <w:highlight w:val="none"/>
          <w:lang w:eastAsia="zh-CN"/>
        </w:rPr>
        <w:t>投标人</w:t>
      </w:r>
      <w:r>
        <w:rPr>
          <w:rFonts w:hint="eastAsia" w:ascii="宋体" w:hAnsi="宋体" w:cs="宋体"/>
          <w:color w:val="auto"/>
          <w:sz w:val="22"/>
          <w:highlight w:val="none"/>
        </w:rPr>
        <w:t>代表（签字）：</w:t>
      </w:r>
    </w:p>
    <w:p w14:paraId="1CA89189">
      <w:pPr>
        <w:wordWrap w:val="0"/>
        <w:spacing w:line="360" w:lineRule="exact"/>
        <w:ind w:right="880"/>
        <w:jc w:val="right"/>
        <w:rPr>
          <w:rFonts w:hint="eastAsia" w:ascii="宋体" w:hAnsi="宋体" w:cs="宋体"/>
          <w:color w:val="auto"/>
          <w:sz w:val="22"/>
          <w:highlight w:val="none"/>
        </w:rPr>
      </w:pPr>
      <w:r>
        <w:rPr>
          <w:rFonts w:hint="eastAsia" w:ascii="宋体" w:hAnsi="宋体" w:cs="宋体"/>
          <w:color w:val="auto"/>
          <w:sz w:val="22"/>
          <w:highlight w:val="none"/>
        </w:rPr>
        <w:t xml:space="preserve">日期：    年  月  日   </w:t>
      </w:r>
    </w:p>
    <w:bookmarkEnd w:id="160"/>
    <w:p w14:paraId="09E3F656">
      <w:pPr>
        <w:widowControl/>
        <w:jc w:val="left"/>
        <w:rPr>
          <w:rFonts w:hint="eastAsia" w:ascii="宋体" w:hAnsi="宋体" w:cs="宋体"/>
          <w:color w:val="auto"/>
          <w:sz w:val="22"/>
          <w:highlight w:val="none"/>
        </w:rPr>
      </w:pPr>
      <w:r>
        <w:rPr>
          <w:rFonts w:hint="eastAsia" w:ascii="宋体" w:hAnsi="宋体" w:cs="宋体"/>
          <w:color w:val="auto"/>
          <w:sz w:val="22"/>
          <w:highlight w:val="none"/>
        </w:rPr>
        <w:br w:type="page"/>
      </w:r>
    </w:p>
    <w:p w14:paraId="096DF240">
      <w:pPr>
        <w:spacing w:line="400" w:lineRule="exact"/>
        <w:jc w:val="center"/>
        <w:rPr>
          <w:rFonts w:hint="eastAsia" w:ascii="宋体" w:hAnsi="宋体" w:cs="宋体"/>
          <w:b/>
          <w:bCs/>
          <w:color w:val="auto"/>
          <w:sz w:val="30"/>
          <w:szCs w:val="30"/>
          <w:highlight w:val="none"/>
        </w:rPr>
      </w:pPr>
      <w:r>
        <w:rPr>
          <w:rFonts w:hint="eastAsia" w:ascii="宋体" w:hAnsi="宋体" w:eastAsia="宋体" w:cs="宋体"/>
          <w:b/>
          <w:color w:val="auto"/>
          <w:sz w:val="32"/>
          <w:szCs w:val="32"/>
          <w:highlight w:val="none"/>
        </w:rPr>
        <w:t>项目组人员一览表</w:t>
      </w:r>
    </w:p>
    <w:p w14:paraId="59F32CC8">
      <w:pPr>
        <w:rPr>
          <w:rFonts w:hint="eastAsia" w:ascii="宋体" w:hAnsi="宋体" w:cs="宋体"/>
          <w:color w:val="auto"/>
          <w:highlight w:val="none"/>
        </w:rPr>
      </w:pPr>
    </w:p>
    <w:p w14:paraId="6109E2F3">
      <w:pPr>
        <w:spacing w:line="360" w:lineRule="exact"/>
        <w:rPr>
          <w:rFonts w:hint="eastAsia" w:ascii="宋体" w:hAnsi="宋体" w:cs="宋体"/>
          <w:color w:val="auto"/>
          <w:highlight w:val="none"/>
        </w:rPr>
      </w:pPr>
    </w:p>
    <w:tbl>
      <w:tblPr>
        <w:tblStyle w:val="38"/>
        <w:tblW w:w="96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18"/>
        <w:gridCol w:w="918"/>
        <w:gridCol w:w="1215"/>
        <w:gridCol w:w="1193"/>
        <w:gridCol w:w="1261"/>
        <w:gridCol w:w="1677"/>
        <w:gridCol w:w="1655"/>
      </w:tblGrid>
      <w:tr w14:paraId="259D9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823" w:type="dxa"/>
            <w:tcBorders>
              <w:top w:val="single" w:color="auto" w:sz="12" w:space="0"/>
              <w:left w:val="single" w:color="auto" w:sz="12" w:space="0"/>
              <w:bottom w:val="single" w:color="auto" w:sz="4" w:space="0"/>
              <w:right w:val="single" w:color="auto" w:sz="4" w:space="0"/>
            </w:tcBorders>
            <w:vAlign w:val="center"/>
          </w:tcPr>
          <w:p w14:paraId="53546C80">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姓名</w:t>
            </w:r>
          </w:p>
        </w:tc>
        <w:tc>
          <w:tcPr>
            <w:tcW w:w="918" w:type="dxa"/>
            <w:tcBorders>
              <w:top w:val="single" w:color="auto" w:sz="12" w:space="0"/>
              <w:left w:val="single" w:color="auto" w:sz="4" w:space="0"/>
              <w:bottom w:val="single" w:color="auto" w:sz="4" w:space="0"/>
              <w:right w:val="single" w:color="auto" w:sz="4" w:space="0"/>
            </w:tcBorders>
            <w:vAlign w:val="center"/>
          </w:tcPr>
          <w:p w14:paraId="68D35DBD">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性别</w:t>
            </w:r>
          </w:p>
        </w:tc>
        <w:tc>
          <w:tcPr>
            <w:tcW w:w="918" w:type="dxa"/>
            <w:tcBorders>
              <w:top w:val="single" w:color="auto" w:sz="12" w:space="0"/>
              <w:left w:val="single" w:color="auto" w:sz="4" w:space="0"/>
              <w:bottom w:val="single" w:color="auto" w:sz="4" w:space="0"/>
              <w:right w:val="single" w:color="auto" w:sz="4" w:space="0"/>
            </w:tcBorders>
            <w:vAlign w:val="center"/>
          </w:tcPr>
          <w:p w14:paraId="0FC00370">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年龄</w:t>
            </w:r>
          </w:p>
        </w:tc>
        <w:tc>
          <w:tcPr>
            <w:tcW w:w="1215" w:type="dxa"/>
            <w:tcBorders>
              <w:top w:val="single" w:color="auto" w:sz="12" w:space="0"/>
              <w:left w:val="single" w:color="auto" w:sz="4" w:space="0"/>
              <w:bottom w:val="single" w:color="auto" w:sz="4" w:space="0"/>
              <w:right w:val="single" w:color="auto" w:sz="4" w:space="0"/>
            </w:tcBorders>
            <w:vAlign w:val="center"/>
          </w:tcPr>
          <w:p w14:paraId="5450A91E">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学历/职称</w:t>
            </w:r>
          </w:p>
        </w:tc>
        <w:tc>
          <w:tcPr>
            <w:tcW w:w="1193" w:type="dxa"/>
            <w:tcBorders>
              <w:top w:val="single" w:color="auto" w:sz="12" w:space="0"/>
              <w:left w:val="single" w:color="auto" w:sz="4" w:space="0"/>
              <w:bottom w:val="single" w:color="auto" w:sz="4" w:space="0"/>
              <w:right w:val="single" w:color="auto" w:sz="4" w:space="0"/>
            </w:tcBorders>
            <w:vAlign w:val="center"/>
          </w:tcPr>
          <w:p w14:paraId="3574BE0A">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专业</w:t>
            </w:r>
          </w:p>
        </w:tc>
        <w:tc>
          <w:tcPr>
            <w:tcW w:w="1261" w:type="dxa"/>
            <w:tcBorders>
              <w:top w:val="single" w:color="auto" w:sz="12" w:space="0"/>
              <w:left w:val="single" w:color="auto" w:sz="4" w:space="0"/>
              <w:bottom w:val="single" w:color="auto" w:sz="4" w:space="0"/>
              <w:right w:val="single" w:color="auto" w:sz="4" w:space="0"/>
            </w:tcBorders>
            <w:vAlign w:val="center"/>
          </w:tcPr>
          <w:p w14:paraId="5AAB4CD0">
            <w:pPr>
              <w:spacing w:line="360" w:lineRule="exact"/>
              <w:rPr>
                <w:rFonts w:hint="eastAsia" w:ascii="宋体" w:hAnsi="宋体" w:cs="宋体"/>
                <w:color w:val="auto"/>
                <w:sz w:val="22"/>
                <w:highlight w:val="none"/>
              </w:rPr>
            </w:pPr>
            <w:r>
              <w:rPr>
                <w:rFonts w:hint="eastAsia" w:ascii="宋体" w:hAnsi="宋体" w:cs="宋体"/>
                <w:color w:val="auto"/>
                <w:highlight w:val="none"/>
              </w:rPr>
              <w:t>专业工作年限</w:t>
            </w:r>
          </w:p>
        </w:tc>
        <w:tc>
          <w:tcPr>
            <w:tcW w:w="1677" w:type="dxa"/>
            <w:tcBorders>
              <w:top w:val="single" w:color="auto" w:sz="12" w:space="0"/>
              <w:left w:val="single" w:color="auto" w:sz="4" w:space="0"/>
              <w:bottom w:val="single" w:color="auto" w:sz="4" w:space="0"/>
              <w:right w:val="single" w:color="auto" w:sz="4" w:space="0"/>
            </w:tcBorders>
            <w:vAlign w:val="center"/>
          </w:tcPr>
          <w:p w14:paraId="78AEB6D4">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类似项目主要业绩</w:t>
            </w:r>
          </w:p>
        </w:tc>
        <w:tc>
          <w:tcPr>
            <w:tcW w:w="1655" w:type="dxa"/>
            <w:tcBorders>
              <w:top w:val="single" w:color="auto" w:sz="12" w:space="0"/>
              <w:left w:val="single" w:color="auto" w:sz="4" w:space="0"/>
              <w:bottom w:val="single" w:color="auto" w:sz="4" w:space="0"/>
              <w:right w:val="single" w:color="auto" w:sz="12" w:space="0"/>
            </w:tcBorders>
            <w:vAlign w:val="center"/>
          </w:tcPr>
          <w:p w14:paraId="61A8D91A">
            <w:pPr>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在本项目拟担任职务（或负责分项）</w:t>
            </w:r>
          </w:p>
        </w:tc>
      </w:tr>
      <w:tr w14:paraId="7FC2B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2AD5749B">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59E72052">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12CFC49B">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7B6277B">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321563DD">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9A4E861">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673BBF0">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60FDB2D6">
            <w:pPr>
              <w:spacing w:line="360" w:lineRule="exact"/>
              <w:jc w:val="center"/>
              <w:rPr>
                <w:rFonts w:hint="eastAsia" w:ascii="宋体" w:hAnsi="宋体" w:cs="宋体"/>
                <w:color w:val="auto"/>
                <w:sz w:val="28"/>
                <w:highlight w:val="none"/>
              </w:rPr>
            </w:pPr>
          </w:p>
        </w:tc>
      </w:tr>
      <w:tr w14:paraId="4B8FA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6BA5B09C">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4E755020">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058FB46B">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50929B6">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7B9217D6">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EA95C29">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2416EA2">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133DF93F">
            <w:pPr>
              <w:spacing w:line="360" w:lineRule="exact"/>
              <w:jc w:val="center"/>
              <w:rPr>
                <w:rFonts w:hint="eastAsia" w:ascii="宋体" w:hAnsi="宋体" w:cs="宋体"/>
                <w:color w:val="auto"/>
                <w:sz w:val="28"/>
                <w:highlight w:val="none"/>
              </w:rPr>
            </w:pPr>
          </w:p>
        </w:tc>
      </w:tr>
      <w:tr w14:paraId="0CD62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614B7BD0">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27D9D55F">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6ADB6C2F">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ED23CA2">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626D12E7">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D7B1218">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571E4F5">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3D69545C">
            <w:pPr>
              <w:spacing w:line="360" w:lineRule="exact"/>
              <w:jc w:val="center"/>
              <w:rPr>
                <w:rFonts w:hint="eastAsia" w:ascii="宋体" w:hAnsi="宋体" w:cs="宋体"/>
                <w:color w:val="auto"/>
                <w:sz w:val="28"/>
                <w:highlight w:val="none"/>
              </w:rPr>
            </w:pPr>
          </w:p>
        </w:tc>
      </w:tr>
      <w:tr w14:paraId="2FB91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0DAD3286">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48780736">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3FB975DD">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8EB718E">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0B703F5D">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C3B800A">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41ABF4BF">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7CD919A0">
            <w:pPr>
              <w:spacing w:line="360" w:lineRule="exact"/>
              <w:jc w:val="center"/>
              <w:rPr>
                <w:rFonts w:hint="eastAsia" w:ascii="宋体" w:hAnsi="宋体" w:cs="宋体"/>
                <w:color w:val="auto"/>
                <w:sz w:val="28"/>
                <w:highlight w:val="none"/>
              </w:rPr>
            </w:pPr>
          </w:p>
        </w:tc>
      </w:tr>
      <w:tr w14:paraId="53498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69F276CF">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15C4D3BF">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3AFBF31F">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EAAB098">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2545AA3C">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CA092BD">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372A5FC9">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6FA97710">
            <w:pPr>
              <w:spacing w:line="360" w:lineRule="exact"/>
              <w:jc w:val="center"/>
              <w:rPr>
                <w:rFonts w:hint="eastAsia" w:ascii="宋体" w:hAnsi="宋体" w:cs="宋体"/>
                <w:color w:val="auto"/>
                <w:sz w:val="28"/>
                <w:highlight w:val="none"/>
              </w:rPr>
            </w:pPr>
          </w:p>
        </w:tc>
      </w:tr>
      <w:tr w14:paraId="325D2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45E1BFC1">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008639AA">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385EED79">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CC91613">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3960910C">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8A95166">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2A4A04E">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20A6998B">
            <w:pPr>
              <w:spacing w:line="360" w:lineRule="exact"/>
              <w:jc w:val="center"/>
              <w:rPr>
                <w:rFonts w:hint="eastAsia" w:ascii="宋体" w:hAnsi="宋体" w:cs="宋体"/>
                <w:color w:val="auto"/>
                <w:sz w:val="28"/>
                <w:highlight w:val="none"/>
              </w:rPr>
            </w:pPr>
          </w:p>
        </w:tc>
      </w:tr>
      <w:tr w14:paraId="2BB89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3BD68F7B">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314B2977">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2B829485">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4B88876F">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4FC0945A">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A08112C">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2877B9C">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729DD31B">
            <w:pPr>
              <w:spacing w:line="360" w:lineRule="exact"/>
              <w:jc w:val="center"/>
              <w:rPr>
                <w:rFonts w:hint="eastAsia" w:ascii="宋体" w:hAnsi="宋体" w:cs="宋体"/>
                <w:color w:val="auto"/>
                <w:sz w:val="28"/>
                <w:highlight w:val="none"/>
              </w:rPr>
            </w:pPr>
          </w:p>
        </w:tc>
      </w:tr>
      <w:tr w14:paraId="5E3B5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64B5EE7E">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328B5667">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267E8636">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5EEF8275">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256CAF3A">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58B0D0D">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280826A">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2717FC6B">
            <w:pPr>
              <w:spacing w:line="360" w:lineRule="exact"/>
              <w:jc w:val="center"/>
              <w:rPr>
                <w:rFonts w:hint="eastAsia" w:ascii="宋体" w:hAnsi="宋体" w:cs="宋体"/>
                <w:color w:val="auto"/>
                <w:sz w:val="28"/>
                <w:highlight w:val="none"/>
              </w:rPr>
            </w:pPr>
          </w:p>
        </w:tc>
      </w:tr>
      <w:tr w14:paraId="6F64F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26332EE6">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149AF3C4">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17866140">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194D8CD3">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4F203373">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162907B">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D4D8005">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013528A5">
            <w:pPr>
              <w:spacing w:line="360" w:lineRule="exact"/>
              <w:jc w:val="center"/>
              <w:rPr>
                <w:rFonts w:hint="eastAsia" w:ascii="宋体" w:hAnsi="宋体" w:cs="宋体"/>
                <w:color w:val="auto"/>
                <w:sz w:val="28"/>
                <w:highlight w:val="none"/>
              </w:rPr>
            </w:pPr>
          </w:p>
        </w:tc>
      </w:tr>
      <w:tr w14:paraId="408DE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4" w:space="0"/>
              <w:right w:val="single" w:color="auto" w:sz="4" w:space="0"/>
            </w:tcBorders>
            <w:vAlign w:val="center"/>
          </w:tcPr>
          <w:p w14:paraId="0FD173EB">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7158B00C">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14:paraId="7266A69B">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7127806">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4A9377CA">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66752A8">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4DABB72">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4" w:space="0"/>
              <w:right w:val="single" w:color="auto" w:sz="12" w:space="0"/>
            </w:tcBorders>
            <w:vAlign w:val="center"/>
          </w:tcPr>
          <w:p w14:paraId="2655B1AC">
            <w:pPr>
              <w:spacing w:line="360" w:lineRule="exact"/>
              <w:jc w:val="center"/>
              <w:rPr>
                <w:rFonts w:hint="eastAsia" w:ascii="宋体" w:hAnsi="宋体" w:cs="宋体"/>
                <w:color w:val="auto"/>
                <w:sz w:val="28"/>
                <w:highlight w:val="none"/>
              </w:rPr>
            </w:pPr>
          </w:p>
        </w:tc>
      </w:tr>
      <w:tr w14:paraId="69134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8" w:hRule="exact"/>
          <w:jc w:val="center"/>
        </w:trPr>
        <w:tc>
          <w:tcPr>
            <w:tcW w:w="823" w:type="dxa"/>
            <w:tcBorders>
              <w:top w:val="single" w:color="auto" w:sz="4" w:space="0"/>
              <w:left w:val="single" w:color="auto" w:sz="12" w:space="0"/>
              <w:bottom w:val="single" w:color="auto" w:sz="12" w:space="0"/>
              <w:right w:val="single" w:color="auto" w:sz="4" w:space="0"/>
            </w:tcBorders>
            <w:vAlign w:val="center"/>
          </w:tcPr>
          <w:p w14:paraId="1E2CEDF8">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12" w:space="0"/>
              <w:right w:val="single" w:color="auto" w:sz="4" w:space="0"/>
            </w:tcBorders>
            <w:vAlign w:val="center"/>
          </w:tcPr>
          <w:p w14:paraId="3CB1F239">
            <w:pPr>
              <w:spacing w:line="360" w:lineRule="exact"/>
              <w:jc w:val="center"/>
              <w:rPr>
                <w:rFonts w:hint="eastAsia" w:ascii="宋体" w:hAnsi="宋体" w:cs="宋体"/>
                <w:color w:val="auto"/>
                <w:sz w:val="28"/>
                <w:highlight w:val="none"/>
              </w:rPr>
            </w:pPr>
          </w:p>
        </w:tc>
        <w:tc>
          <w:tcPr>
            <w:tcW w:w="918" w:type="dxa"/>
            <w:tcBorders>
              <w:top w:val="single" w:color="auto" w:sz="4" w:space="0"/>
              <w:left w:val="single" w:color="auto" w:sz="4" w:space="0"/>
              <w:bottom w:val="single" w:color="auto" w:sz="12" w:space="0"/>
              <w:right w:val="single" w:color="auto" w:sz="4" w:space="0"/>
            </w:tcBorders>
            <w:vAlign w:val="center"/>
          </w:tcPr>
          <w:p w14:paraId="11A65837">
            <w:pPr>
              <w:spacing w:line="360" w:lineRule="exact"/>
              <w:jc w:val="center"/>
              <w:rPr>
                <w:rFonts w:hint="eastAsia" w:ascii="宋体" w:hAnsi="宋体" w:cs="宋体"/>
                <w:color w:val="auto"/>
                <w:sz w:val="28"/>
                <w:highlight w:val="none"/>
              </w:rPr>
            </w:pPr>
          </w:p>
        </w:tc>
        <w:tc>
          <w:tcPr>
            <w:tcW w:w="1215" w:type="dxa"/>
            <w:tcBorders>
              <w:top w:val="single" w:color="auto" w:sz="4" w:space="0"/>
              <w:left w:val="single" w:color="auto" w:sz="4" w:space="0"/>
              <w:bottom w:val="single" w:color="auto" w:sz="12" w:space="0"/>
              <w:right w:val="single" w:color="auto" w:sz="4" w:space="0"/>
            </w:tcBorders>
            <w:vAlign w:val="center"/>
          </w:tcPr>
          <w:p w14:paraId="3592F1D9">
            <w:pPr>
              <w:spacing w:line="360" w:lineRule="exact"/>
              <w:jc w:val="center"/>
              <w:rPr>
                <w:rFonts w:hint="eastAsia" w:ascii="宋体" w:hAnsi="宋体" w:cs="宋体"/>
                <w:color w:val="auto"/>
                <w:sz w:val="28"/>
                <w:highlight w:val="none"/>
              </w:rPr>
            </w:pPr>
          </w:p>
        </w:tc>
        <w:tc>
          <w:tcPr>
            <w:tcW w:w="1193" w:type="dxa"/>
            <w:tcBorders>
              <w:top w:val="single" w:color="auto" w:sz="4" w:space="0"/>
              <w:left w:val="single" w:color="auto" w:sz="4" w:space="0"/>
              <w:bottom w:val="single" w:color="auto" w:sz="12" w:space="0"/>
              <w:right w:val="single" w:color="auto" w:sz="4" w:space="0"/>
            </w:tcBorders>
            <w:vAlign w:val="center"/>
          </w:tcPr>
          <w:p w14:paraId="6154F0B1">
            <w:pPr>
              <w:spacing w:line="360" w:lineRule="exact"/>
              <w:jc w:val="center"/>
              <w:rPr>
                <w:rFonts w:hint="eastAsia" w:ascii="宋体" w:hAnsi="宋体" w:cs="宋体"/>
                <w:color w:val="auto"/>
                <w:sz w:val="28"/>
                <w:highlight w:val="none"/>
              </w:rPr>
            </w:pPr>
          </w:p>
        </w:tc>
        <w:tc>
          <w:tcPr>
            <w:tcW w:w="1261" w:type="dxa"/>
            <w:tcBorders>
              <w:top w:val="single" w:color="auto" w:sz="4" w:space="0"/>
              <w:left w:val="single" w:color="auto" w:sz="4" w:space="0"/>
              <w:bottom w:val="single" w:color="auto" w:sz="12" w:space="0"/>
              <w:right w:val="single" w:color="auto" w:sz="4" w:space="0"/>
            </w:tcBorders>
            <w:vAlign w:val="center"/>
          </w:tcPr>
          <w:p w14:paraId="12A28E7F">
            <w:pPr>
              <w:spacing w:line="360" w:lineRule="exact"/>
              <w:jc w:val="center"/>
              <w:rPr>
                <w:rFonts w:hint="eastAsia" w:ascii="宋体" w:hAnsi="宋体" w:cs="宋体"/>
                <w:color w:val="auto"/>
                <w:sz w:val="28"/>
                <w:highlight w:val="none"/>
              </w:rPr>
            </w:pPr>
          </w:p>
        </w:tc>
        <w:tc>
          <w:tcPr>
            <w:tcW w:w="1677" w:type="dxa"/>
            <w:tcBorders>
              <w:top w:val="single" w:color="auto" w:sz="4" w:space="0"/>
              <w:left w:val="single" w:color="auto" w:sz="4" w:space="0"/>
              <w:bottom w:val="single" w:color="auto" w:sz="12" w:space="0"/>
              <w:right w:val="single" w:color="auto" w:sz="4" w:space="0"/>
            </w:tcBorders>
            <w:vAlign w:val="center"/>
          </w:tcPr>
          <w:p w14:paraId="01414999">
            <w:pPr>
              <w:spacing w:line="360" w:lineRule="exact"/>
              <w:jc w:val="center"/>
              <w:rPr>
                <w:rFonts w:hint="eastAsia" w:ascii="宋体" w:hAnsi="宋体" w:cs="宋体"/>
                <w:color w:val="auto"/>
                <w:sz w:val="28"/>
                <w:highlight w:val="none"/>
              </w:rPr>
            </w:pPr>
          </w:p>
        </w:tc>
        <w:tc>
          <w:tcPr>
            <w:tcW w:w="1655" w:type="dxa"/>
            <w:tcBorders>
              <w:top w:val="single" w:color="auto" w:sz="4" w:space="0"/>
              <w:left w:val="single" w:color="auto" w:sz="4" w:space="0"/>
              <w:bottom w:val="single" w:color="auto" w:sz="12" w:space="0"/>
              <w:right w:val="single" w:color="auto" w:sz="12" w:space="0"/>
            </w:tcBorders>
            <w:vAlign w:val="center"/>
          </w:tcPr>
          <w:p w14:paraId="40B1338C">
            <w:pPr>
              <w:spacing w:line="360" w:lineRule="exact"/>
              <w:jc w:val="center"/>
              <w:rPr>
                <w:rFonts w:hint="eastAsia" w:ascii="宋体" w:hAnsi="宋体" w:cs="宋体"/>
                <w:color w:val="auto"/>
                <w:sz w:val="28"/>
                <w:highlight w:val="none"/>
              </w:rPr>
            </w:pPr>
          </w:p>
        </w:tc>
      </w:tr>
    </w:tbl>
    <w:p w14:paraId="23B80170">
      <w:pPr>
        <w:spacing w:line="360" w:lineRule="exact"/>
        <w:ind w:left="660" w:hanging="660" w:hangingChars="300"/>
        <w:rPr>
          <w:rFonts w:hint="eastAsia" w:ascii="宋体" w:hAnsi="宋体" w:cs="宋体"/>
          <w:b/>
          <w:color w:val="auto"/>
          <w:sz w:val="22"/>
          <w:highlight w:val="none"/>
        </w:rPr>
      </w:pPr>
      <w:r>
        <w:rPr>
          <w:rFonts w:hint="eastAsia" w:ascii="宋体" w:hAnsi="宋体" w:cs="宋体"/>
          <w:color w:val="auto"/>
          <w:sz w:val="22"/>
          <w:highlight w:val="none"/>
        </w:rPr>
        <w:t>注：1、本表应附所列项目组成员毕业证书、技术职称（执业资格）证书等证明等复印件（加盖公章）。</w:t>
      </w:r>
    </w:p>
    <w:p w14:paraId="651BE29A">
      <w:pPr>
        <w:tabs>
          <w:tab w:val="left" w:pos="0"/>
          <w:tab w:val="left" w:pos="540"/>
        </w:tabs>
        <w:spacing w:line="300" w:lineRule="auto"/>
        <w:ind w:left="420" w:left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2、此表仅提供了表格形式，可按此表格复制。</w:t>
      </w:r>
    </w:p>
    <w:p w14:paraId="79D121A2">
      <w:pPr>
        <w:tabs>
          <w:tab w:val="left" w:pos="0"/>
          <w:tab w:val="left" w:pos="540"/>
        </w:tabs>
        <w:spacing w:line="300" w:lineRule="auto"/>
        <w:ind w:left="420" w:leftChars="200"/>
        <w:rPr>
          <w:rFonts w:hint="eastAsia" w:ascii="宋体" w:hAnsi="宋体" w:cs="宋体"/>
          <w:b/>
          <w:color w:val="auto"/>
          <w:sz w:val="22"/>
          <w:szCs w:val="20"/>
          <w:highlight w:val="none"/>
          <w:lang w:val="zh-CN"/>
        </w:rPr>
      </w:pPr>
      <w:r>
        <w:rPr>
          <w:rFonts w:hint="eastAsia" w:ascii="宋体" w:hAnsi="宋体" w:cs="宋体"/>
          <w:b/>
          <w:color w:val="auto"/>
          <w:sz w:val="22"/>
          <w:szCs w:val="20"/>
          <w:highlight w:val="none"/>
          <w:lang w:val="zh-CN"/>
        </w:rPr>
        <w:t>3、列入本表人员如果更换，需征得</w:t>
      </w:r>
      <w:r>
        <w:rPr>
          <w:rFonts w:hint="eastAsia" w:ascii="宋体" w:hAnsi="宋体" w:cs="宋体"/>
          <w:b/>
          <w:color w:val="auto"/>
          <w:sz w:val="22"/>
          <w:szCs w:val="20"/>
          <w:highlight w:val="none"/>
          <w:lang w:val="en-US" w:eastAsia="zh-CN"/>
        </w:rPr>
        <w:t>采购</w:t>
      </w:r>
      <w:r>
        <w:rPr>
          <w:rFonts w:hint="eastAsia" w:ascii="宋体" w:hAnsi="宋体" w:cs="宋体"/>
          <w:b/>
          <w:color w:val="auto"/>
          <w:sz w:val="22"/>
          <w:szCs w:val="20"/>
          <w:highlight w:val="none"/>
          <w:lang w:val="zh-CN"/>
        </w:rPr>
        <w:t>人同意，擅自更换或不到位属违约行为。</w:t>
      </w:r>
    </w:p>
    <w:p w14:paraId="67042F12">
      <w:pPr>
        <w:tabs>
          <w:tab w:val="left" w:pos="0"/>
          <w:tab w:val="left" w:pos="540"/>
        </w:tabs>
        <w:spacing w:line="300" w:lineRule="auto"/>
        <w:ind w:left="439" w:leftChars="209"/>
        <w:rPr>
          <w:rFonts w:hint="eastAsia" w:ascii="宋体" w:hAnsi="宋体" w:cs="宋体"/>
          <w:b/>
          <w:color w:val="auto"/>
          <w:sz w:val="22"/>
          <w:szCs w:val="20"/>
          <w:highlight w:val="none"/>
          <w:lang w:val="zh-CN"/>
        </w:rPr>
      </w:pPr>
    </w:p>
    <w:p w14:paraId="268EC30C">
      <w:pPr>
        <w:spacing w:line="360" w:lineRule="exact"/>
        <w:ind w:right="880"/>
        <w:jc w:val="right"/>
        <w:rPr>
          <w:rFonts w:hint="eastAsia" w:ascii="宋体" w:hAnsi="宋体" w:cs="宋体"/>
          <w:color w:val="auto"/>
          <w:sz w:val="22"/>
          <w:highlight w:val="none"/>
        </w:rPr>
      </w:pPr>
      <w:r>
        <w:rPr>
          <w:rFonts w:hint="eastAsia" w:ascii="宋体" w:hAnsi="宋体" w:cs="宋体"/>
          <w:color w:val="auto"/>
          <w:sz w:val="22"/>
          <w:highlight w:val="none"/>
          <w:lang w:eastAsia="zh-CN"/>
        </w:rPr>
        <w:t>投标人</w:t>
      </w:r>
      <w:r>
        <w:rPr>
          <w:rFonts w:hint="eastAsia" w:ascii="宋体" w:hAnsi="宋体" w:cs="宋体"/>
          <w:color w:val="auto"/>
          <w:sz w:val="22"/>
          <w:highlight w:val="none"/>
        </w:rPr>
        <w:t>名称（</w:t>
      </w:r>
      <w:r>
        <w:rPr>
          <w:rFonts w:hint="eastAsia" w:ascii="宋体" w:hAnsi="宋体" w:cs="宋体"/>
          <w:color w:val="auto"/>
          <w:sz w:val="22"/>
          <w:highlight w:val="none"/>
          <w:lang w:val="en-US" w:eastAsia="zh-CN"/>
        </w:rPr>
        <w:t>电子签章</w:t>
      </w:r>
      <w:r>
        <w:rPr>
          <w:rFonts w:hint="eastAsia" w:ascii="宋体" w:hAnsi="宋体" w:cs="宋体"/>
          <w:color w:val="auto"/>
          <w:sz w:val="22"/>
          <w:highlight w:val="none"/>
        </w:rPr>
        <w:t>）：</w:t>
      </w:r>
    </w:p>
    <w:p w14:paraId="4DDD605A">
      <w:pPr>
        <w:wordWrap w:val="0"/>
        <w:spacing w:line="360" w:lineRule="exact"/>
        <w:ind w:right="880"/>
        <w:jc w:val="right"/>
        <w:rPr>
          <w:rFonts w:hint="eastAsia" w:ascii="宋体" w:hAnsi="宋体" w:cs="宋体"/>
          <w:color w:val="auto"/>
          <w:sz w:val="22"/>
          <w:highlight w:val="none"/>
        </w:rPr>
      </w:pPr>
      <w:r>
        <w:rPr>
          <w:rFonts w:hint="eastAsia" w:ascii="宋体" w:hAnsi="宋体" w:cs="宋体"/>
          <w:color w:val="auto"/>
          <w:sz w:val="22"/>
          <w:highlight w:val="none"/>
          <w:lang w:eastAsia="zh-CN"/>
        </w:rPr>
        <w:t>投标人</w:t>
      </w:r>
      <w:r>
        <w:rPr>
          <w:rFonts w:hint="eastAsia" w:ascii="宋体" w:hAnsi="宋体" w:cs="宋体"/>
          <w:color w:val="auto"/>
          <w:sz w:val="22"/>
          <w:highlight w:val="none"/>
        </w:rPr>
        <w:t>代表（签字）：</w:t>
      </w:r>
    </w:p>
    <w:p w14:paraId="40C630FD">
      <w:pPr>
        <w:wordWrap w:val="0"/>
        <w:spacing w:line="360" w:lineRule="exact"/>
        <w:ind w:right="880"/>
        <w:jc w:val="right"/>
        <w:rPr>
          <w:rFonts w:hint="eastAsia" w:ascii="宋体" w:hAnsi="宋体" w:cs="宋体"/>
          <w:color w:val="auto"/>
          <w:sz w:val="22"/>
          <w:highlight w:val="none"/>
        </w:rPr>
      </w:pPr>
      <w:r>
        <w:rPr>
          <w:rFonts w:hint="eastAsia" w:ascii="宋体" w:hAnsi="宋体" w:cs="宋体"/>
          <w:color w:val="auto"/>
          <w:sz w:val="22"/>
          <w:highlight w:val="none"/>
        </w:rPr>
        <w:t xml:space="preserve">日期：    年  月  日   </w:t>
      </w:r>
    </w:p>
    <w:p w14:paraId="0E524104">
      <w:pPr>
        <w:widowControl/>
        <w:jc w:val="left"/>
        <w:rPr>
          <w:rFonts w:hint="eastAsia" w:ascii="宋体" w:hAnsi="宋体" w:cs="宋体"/>
          <w:color w:val="auto"/>
          <w:sz w:val="22"/>
          <w:highlight w:val="none"/>
        </w:rPr>
      </w:pPr>
      <w:r>
        <w:rPr>
          <w:rFonts w:hint="eastAsia" w:ascii="宋体" w:hAnsi="宋体" w:cs="宋体"/>
          <w:color w:val="auto"/>
          <w:sz w:val="22"/>
          <w:highlight w:val="none"/>
        </w:rPr>
        <w:br w:type="page"/>
      </w:r>
    </w:p>
    <w:p w14:paraId="0494E789">
      <w:pPr>
        <w:spacing w:line="400" w:lineRule="exact"/>
        <w:jc w:val="center"/>
        <w:rPr>
          <w:rFonts w:hint="eastAsia" w:ascii="宋体" w:hAnsi="宋体" w:cs="宋体"/>
          <w:b/>
          <w:bCs/>
          <w:color w:val="auto"/>
          <w:sz w:val="30"/>
          <w:szCs w:val="30"/>
          <w:highlight w:val="none"/>
        </w:rPr>
      </w:pPr>
      <w:r>
        <w:rPr>
          <w:rFonts w:hint="eastAsia" w:ascii="宋体" w:hAnsi="宋体" w:eastAsia="宋体" w:cs="宋体"/>
          <w:b/>
          <w:color w:val="auto"/>
          <w:sz w:val="32"/>
          <w:szCs w:val="32"/>
          <w:highlight w:val="none"/>
        </w:rPr>
        <w:t>项目完成期限安排表</w:t>
      </w:r>
    </w:p>
    <w:p w14:paraId="5F832545">
      <w:pPr>
        <w:spacing w:line="400" w:lineRule="atLeast"/>
        <w:ind w:firstLine="738" w:firstLineChars="245"/>
        <w:rPr>
          <w:rFonts w:hint="eastAsia"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项目名称：                     项目编号：</w:t>
      </w:r>
    </w:p>
    <w:tbl>
      <w:tblPr>
        <w:tblStyle w:val="38"/>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6559"/>
      </w:tblGrid>
      <w:tr w14:paraId="78AB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1692" w:type="dxa"/>
            <w:vAlign w:val="center"/>
          </w:tcPr>
          <w:p w14:paraId="4539B23D">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项目完成期限安排</w:t>
            </w:r>
          </w:p>
        </w:tc>
        <w:tc>
          <w:tcPr>
            <w:tcW w:w="6559" w:type="dxa"/>
            <w:vAlign w:val="center"/>
          </w:tcPr>
          <w:p w14:paraId="5177B6C2">
            <w:pPr>
              <w:jc w:val="center"/>
              <w:rPr>
                <w:rFonts w:hint="eastAsia" w:ascii="宋体" w:hAnsi="宋体" w:cs="宋体"/>
                <w:color w:val="auto"/>
                <w:sz w:val="30"/>
                <w:szCs w:val="30"/>
                <w:highlight w:val="none"/>
              </w:rPr>
            </w:pPr>
          </w:p>
        </w:tc>
      </w:tr>
      <w:tr w14:paraId="6167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1692" w:type="dxa"/>
            <w:vAlign w:val="center"/>
          </w:tcPr>
          <w:p w14:paraId="57FEF155">
            <w:pPr>
              <w:jc w:val="center"/>
              <w:rPr>
                <w:rFonts w:hint="eastAsia" w:ascii="宋体" w:hAnsi="宋体" w:cs="宋体"/>
                <w:b/>
                <w:bCs/>
                <w:color w:val="auto"/>
                <w:sz w:val="30"/>
                <w:szCs w:val="30"/>
                <w:highlight w:val="none"/>
              </w:rPr>
            </w:pPr>
            <w:r>
              <w:rPr>
                <w:rFonts w:hint="eastAsia" w:ascii="宋体" w:hAnsi="宋体" w:cs="宋体"/>
                <w:b/>
                <w:color w:val="auto"/>
                <w:kern w:val="0"/>
                <w:sz w:val="30"/>
                <w:szCs w:val="30"/>
                <w:highlight w:val="none"/>
              </w:rPr>
              <w:t>在期限内完成项目进度的合理、科学的方案</w:t>
            </w:r>
          </w:p>
        </w:tc>
        <w:tc>
          <w:tcPr>
            <w:tcW w:w="6559" w:type="dxa"/>
            <w:vAlign w:val="center"/>
          </w:tcPr>
          <w:p w14:paraId="6A7D3BB1">
            <w:pPr>
              <w:keepNext/>
              <w:spacing w:after="160"/>
              <w:jc w:val="center"/>
              <w:rPr>
                <w:rFonts w:hint="eastAsia" w:ascii="宋体" w:hAnsi="宋体" w:cs="宋体"/>
                <w:color w:val="auto"/>
                <w:sz w:val="30"/>
                <w:szCs w:val="30"/>
                <w:highlight w:val="none"/>
              </w:rPr>
            </w:pPr>
          </w:p>
        </w:tc>
      </w:tr>
    </w:tbl>
    <w:p w14:paraId="6BC0CD5A">
      <w:pPr>
        <w:spacing w:line="460" w:lineRule="exact"/>
        <w:ind w:left="439" w:leftChars="209" w:firstLine="136" w:firstLineChars="45"/>
        <w:rPr>
          <w:rFonts w:hint="eastAsia" w:ascii="宋体" w:hAnsi="宋体" w:cs="宋体"/>
          <w:b/>
          <w:bCs/>
          <w:color w:val="auto"/>
          <w:sz w:val="30"/>
          <w:szCs w:val="30"/>
          <w:highlight w:val="none"/>
        </w:rPr>
      </w:pPr>
    </w:p>
    <w:p w14:paraId="5E92EF14">
      <w:pPr>
        <w:spacing w:line="460" w:lineRule="exact"/>
        <w:ind w:left="439" w:leftChars="209" w:firstLine="136" w:firstLineChars="45"/>
        <w:rPr>
          <w:rFonts w:hint="eastAsia" w:ascii="宋体" w:hAnsi="宋体" w:cs="宋体"/>
          <w:b/>
          <w:bCs/>
          <w:color w:val="auto"/>
          <w:sz w:val="30"/>
          <w:szCs w:val="30"/>
          <w:highlight w:val="none"/>
        </w:rPr>
      </w:pPr>
    </w:p>
    <w:p w14:paraId="45EAB5FF">
      <w:pPr>
        <w:spacing w:line="460" w:lineRule="exact"/>
        <w:ind w:firstLine="735" w:firstLineChars="245"/>
        <w:jc w:val="center"/>
        <w:rPr>
          <w:rFonts w:hint="eastAsia" w:ascii="宋体" w:hAnsi="宋体" w:cs="宋体"/>
          <w:color w:val="auto"/>
          <w:sz w:val="30"/>
          <w:szCs w:val="30"/>
          <w:highlight w:val="none"/>
        </w:rPr>
      </w:pPr>
    </w:p>
    <w:p w14:paraId="5854C869">
      <w:pPr>
        <w:spacing w:line="460" w:lineRule="exact"/>
        <w:ind w:firstLine="735" w:firstLineChars="245"/>
        <w:jc w:val="center"/>
        <w:rPr>
          <w:rFonts w:hint="eastAsia" w:ascii="宋体" w:hAnsi="宋体" w:cs="宋体"/>
          <w:color w:val="auto"/>
          <w:sz w:val="30"/>
          <w:szCs w:val="30"/>
          <w:highlight w:val="none"/>
        </w:rPr>
      </w:pPr>
    </w:p>
    <w:p w14:paraId="479936A4">
      <w:pPr>
        <w:widowControl/>
        <w:ind w:left="4143" w:leftChars="1890" w:hanging="174" w:hangingChars="58"/>
        <w:jc w:val="left"/>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lang w:eastAsia="zh-CN"/>
        </w:rPr>
        <w:t>投标人</w:t>
      </w:r>
      <w:r>
        <w:rPr>
          <w:rFonts w:hint="eastAsia" w:ascii="宋体" w:hAnsi="宋体" w:cs="宋体"/>
          <w:color w:val="auto"/>
          <w:kern w:val="0"/>
          <w:sz w:val="30"/>
          <w:szCs w:val="30"/>
          <w:highlight w:val="none"/>
        </w:rPr>
        <w:t>名称（</w:t>
      </w:r>
      <w:r>
        <w:rPr>
          <w:rFonts w:hint="eastAsia" w:ascii="宋体" w:hAnsi="宋体" w:cs="宋体"/>
          <w:color w:val="auto"/>
          <w:kern w:val="0"/>
          <w:sz w:val="30"/>
          <w:szCs w:val="30"/>
          <w:highlight w:val="none"/>
          <w:lang w:val="en-US" w:eastAsia="zh-CN"/>
        </w:rPr>
        <w:t>电子签章</w:t>
      </w:r>
      <w:r>
        <w:rPr>
          <w:rFonts w:hint="eastAsia" w:ascii="宋体" w:hAnsi="宋体" w:cs="宋体"/>
          <w:color w:val="auto"/>
          <w:kern w:val="0"/>
          <w:sz w:val="30"/>
          <w:szCs w:val="30"/>
          <w:highlight w:val="none"/>
        </w:rPr>
        <w:t>）：</w:t>
      </w:r>
    </w:p>
    <w:p w14:paraId="5BD20AE4">
      <w:pPr>
        <w:widowControl/>
        <w:ind w:left="4143" w:leftChars="1890" w:hanging="174" w:hangingChars="58"/>
        <w:jc w:val="left"/>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lang w:eastAsia="zh-CN"/>
        </w:rPr>
        <w:t>投标人</w:t>
      </w:r>
      <w:r>
        <w:rPr>
          <w:rFonts w:hint="eastAsia" w:ascii="宋体" w:hAnsi="宋体" w:cs="宋体"/>
          <w:color w:val="auto"/>
          <w:kern w:val="0"/>
          <w:sz w:val="30"/>
          <w:szCs w:val="30"/>
          <w:highlight w:val="none"/>
        </w:rPr>
        <w:t>代表（签字）：</w:t>
      </w:r>
    </w:p>
    <w:p w14:paraId="23F8BA73">
      <w:pPr>
        <w:widowControl/>
        <w:ind w:left="4143" w:leftChars="1890" w:hanging="174" w:hangingChars="58"/>
        <w:jc w:val="left"/>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日期：    年  月  日</w:t>
      </w:r>
    </w:p>
    <w:p w14:paraId="18159DA7">
      <w:pPr>
        <w:widowControl/>
        <w:jc w:val="lef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104DDB46">
      <w:pPr>
        <w:spacing w:line="400" w:lineRule="exact"/>
        <w:jc w:val="center"/>
        <w:rPr>
          <w:rFonts w:hint="eastAsia" w:ascii="宋体" w:hAnsi="宋体" w:cs="宋体"/>
          <w:b/>
          <w:bCs/>
          <w:color w:val="auto"/>
          <w:sz w:val="30"/>
          <w:szCs w:val="30"/>
          <w:highlight w:val="none"/>
        </w:rPr>
      </w:pPr>
      <w:r>
        <w:rPr>
          <w:rFonts w:hint="eastAsia" w:ascii="宋体" w:hAnsi="宋体" w:eastAsia="宋体" w:cs="宋体"/>
          <w:b/>
          <w:color w:val="auto"/>
          <w:sz w:val="32"/>
          <w:szCs w:val="32"/>
          <w:highlight w:val="none"/>
        </w:rPr>
        <w:t>重要事项摘要表</w:t>
      </w:r>
    </w:p>
    <w:p w14:paraId="15E1CA79">
      <w:pPr>
        <w:rPr>
          <w:rFonts w:hint="eastAsia" w:ascii="宋体" w:hAnsi="宋体" w:cs="宋体"/>
          <w:color w:val="auto"/>
          <w:highlight w:val="none"/>
        </w:rPr>
      </w:pPr>
    </w:p>
    <w:tbl>
      <w:tblPr>
        <w:tblStyle w:val="39"/>
        <w:tblW w:w="8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0"/>
        <w:gridCol w:w="1816"/>
      </w:tblGrid>
      <w:tr w14:paraId="7EC3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360" w:type="dxa"/>
          </w:tcPr>
          <w:p w14:paraId="122146B9">
            <w:pPr>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重要事项</w:t>
            </w:r>
          </w:p>
        </w:tc>
        <w:tc>
          <w:tcPr>
            <w:tcW w:w="1816" w:type="dxa"/>
          </w:tcPr>
          <w:p w14:paraId="21A2D49E">
            <w:pPr>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备注</w:t>
            </w:r>
          </w:p>
        </w:tc>
      </w:tr>
      <w:tr w14:paraId="18C1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360" w:type="dxa"/>
          </w:tcPr>
          <w:p w14:paraId="296EF222">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主承销商是否承诺余额包销    是□  否□</w:t>
            </w:r>
          </w:p>
        </w:tc>
        <w:tc>
          <w:tcPr>
            <w:tcW w:w="1816" w:type="dxa"/>
          </w:tcPr>
          <w:p w14:paraId="204BD899">
            <w:pPr>
              <w:rPr>
                <w:rFonts w:hint="eastAsia" w:ascii="宋体" w:hAnsi="宋体" w:cs="宋体"/>
                <w:color w:val="auto"/>
                <w:kern w:val="0"/>
                <w:sz w:val="28"/>
                <w:szCs w:val="28"/>
                <w:highlight w:val="none"/>
              </w:rPr>
            </w:pPr>
          </w:p>
        </w:tc>
      </w:tr>
    </w:tbl>
    <w:p w14:paraId="434FC198">
      <w:pPr>
        <w:rPr>
          <w:rFonts w:hint="eastAsia" w:ascii="宋体" w:hAnsi="宋体" w:cs="宋体"/>
          <w:color w:val="auto"/>
          <w:sz w:val="32"/>
          <w:szCs w:val="32"/>
          <w:highlight w:val="none"/>
        </w:rPr>
      </w:pPr>
    </w:p>
    <w:p w14:paraId="65C2C6D3">
      <w:pPr>
        <w:rPr>
          <w:rFonts w:hint="eastAsia" w:ascii="宋体" w:hAnsi="宋体" w:cs="宋体"/>
          <w:color w:val="auto"/>
          <w:highlight w:val="none"/>
        </w:rPr>
      </w:pPr>
    </w:p>
    <w:p w14:paraId="7C5267FD">
      <w:pPr>
        <w:widowControl/>
        <w:ind w:left="4143" w:leftChars="1890" w:hanging="174" w:hangingChars="58"/>
        <w:jc w:val="left"/>
        <w:rPr>
          <w:rFonts w:hint="eastAsia" w:ascii="宋体" w:hAnsi="宋体" w:cs="宋体"/>
          <w:color w:val="auto"/>
          <w:kern w:val="0"/>
          <w:sz w:val="30"/>
          <w:szCs w:val="30"/>
          <w:highlight w:val="none"/>
        </w:rPr>
      </w:pPr>
      <w:bookmarkStart w:id="161" w:name="_Hlk180672655"/>
      <w:r>
        <w:rPr>
          <w:rFonts w:hint="eastAsia" w:ascii="宋体" w:hAnsi="宋体" w:cs="宋体"/>
          <w:color w:val="auto"/>
          <w:kern w:val="0"/>
          <w:sz w:val="30"/>
          <w:szCs w:val="30"/>
          <w:highlight w:val="none"/>
          <w:lang w:eastAsia="zh-CN"/>
        </w:rPr>
        <w:t>投标人</w:t>
      </w:r>
      <w:r>
        <w:rPr>
          <w:rFonts w:hint="eastAsia" w:ascii="宋体" w:hAnsi="宋体" w:cs="宋体"/>
          <w:color w:val="auto"/>
          <w:kern w:val="0"/>
          <w:sz w:val="30"/>
          <w:szCs w:val="30"/>
          <w:highlight w:val="none"/>
        </w:rPr>
        <w:t>名称（电子签章）：</w:t>
      </w:r>
    </w:p>
    <w:p w14:paraId="006C3EDD">
      <w:pPr>
        <w:widowControl/>
        <w:ind w:left="4143" w:leftChars="1890" w:hanging="174" w:hangingChars="58"/>
        <w:jc w:val="left"/>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lang w:eastAsia="zh-CN"/>
        </w:rPr>
        <w:t>投标人</w:t>
      </w:r>
      <w:r>
        <w:rPr>
          <w:rFonts w:hint="eastAsia" w:ascii="宋体" w:hAnsi="宋体" w:cs="宋体"/>
          <w:color w:val="auto"/>
          <w:kern w:val="0"/>
          <w:sz w:val="30"/>
          <w:szCs w:val="30"/>
          <w:highlight w:val="none"/>
        </w:rPr>
        <w:t>代表（签字）：</w:t>
      </w:r>
    </w:p>
    <w:p w14:paraId="53B451C4">
      <w:pPr>
        <w:widowControl/>
        <w:ind w:left="4143" w:leftChars="1890" w:hanging="174" w:hangingChars="58"/>
        <w:jc w:val="left"/>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日期：    年  月  日</w:t>
      </w:r>
    </w:p>
    <w:bookmarkEnd w:id="161"/>
    <w:p w14:paraId="34E64299">
      <w:pPr>
        <w:widowControl/>
        <w:jc w:val="left"/>
        <w:rPr>
          <w:rFonts w:hint="eastAsia" w:ascii="宋体" w:hAnsi="宋体" w:cs="宋体"/>
          <w:color w:val="auto"/>
          <w:kern w:val="0"/>
          <w:sz w:val="30"/>
          <w:szCs w:val="30"/>
          <w:highlight w:val="none"/>
        </w:rPr>
      </w:pPr>
      <w:r>
        <w:rPr>
          <w:rFonts w:hint="eastAsia" w:ascii="宋体" w:hAnsi="宋体" w:cs="宋体"/>
          <w:color w:val="auto"/>
          <w:sz w:val="36"/>
          <w:szCs w:val="36"/>
          <w:highlight w:val="none"/>
          <w:lang w:bidi="ar"/>
        </w:rPr>
        <w:br w:type="page"/>
      </w:r>
    </w:p>
    <w:p w14:paraId="13B8D0E0">
      <w:pPr>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开标一览表</w:t>
      </w:r>
    </w:p>
    <w:p w14:paraId="49CC167A">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359F17B0">
      <w:pPr>
        <w:spacing w:line="480" w:lineRule="exact"/>
        <w:ind w:firstLine="210" w:firstLineChars="100"/>
        <w:rPr>
          <w:rFonts w:hint="eastAsia" w:ascii="宋体"/>
          <w:color w:val="auto"/>
          <w:szCs w:val="21"/>
          <w:highlight w:val="none"/>
        </w:rPr>
      </w:pPr>
      <w:r>
        <w:rPr>
          <w:rFonts w:hint="eastAsia" w:ascii="宋体"/>
          <w:color w:val="auto"/>
          <w:szCs w:val="21"/>
          <w:highlight w:val="none"/>
        </w:rPr>
        <w:t>投标人名称（电子签章）：</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52290B6C">
      <w:pPr>
        <w:spacing w:line="480" w:lineRule="exact"/>
        <w:ind w:firstLine="210" w:firstLineChars="100"/>
        <w:rPr>
          <w:rFonts w:hint="eastAsia" w:ascii="宋体"/>
          <w:color w:val="auto"/>
          <w:szCs w:val="21"/>
          <w:highlight w:val="none"/>
          <w:u w:val="single"/>
        </w:rPr>
      </w:pPr>
      <w:r>
        <w:rPr>
          <w:rFonts w:hint="eastAsia" w:ascii="宋体"/>
          <w:color w:val="auto"/>
          <w:szCs w:val="21"/>
          <w:highlight w:val="none"/>
        </w:rPr>
        <w:t>招标编号：</w:t>
      </w:r>
      <w:r>
        <w:rPr>
          <w:rFonts w:hint="eastAsia" w:ascii="宋体"/>
          <w:color w:val="auto"/>
          <w:szCs w:val="21"/>
          <w:highlight w:val="none"/>
          <w:u w:val="single"/>
        </w:rPr>
        <w:t xml:space="preserve">                             </w:t>
      </w:r>
      <w:r>
        <w:rPr>
          <w:rFonts w:hint="eastAsia" w:ascii="宋体"/>
          <w:color w:val="auto"/>
          <w:szCs w:val="21"/>
          <w:highlight w:val="none"/>
        </w:rPr>
        <w:t xml:space="preserve">      </w:t>
      </w:r>
    </w:p>
    <w:tbl>
      <w:tblPr>
        <w:tblStyle w:val="38"/>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4689"/>
        <w:gridCol w:w="3919"/>
      </w:tblGrid>
      <w:tr w14:paraId="0306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trPr>
        <w:tc>
          <w:tcPr>
            <w:tcW w:w="1327" w:type="dxa"/>
            <w:noWrap w:val="0"/>
            <w:vAlign w:val="center"/>
          </w:tcPr>
          <w:p w14:paraId="75708020">
            <w:pPr>
              <w:shd w:val="clear" w:color="auto" w:fill="auto"/>
              <w:spacing w:line="340" w:lineRule="exact"/>
              <w:jc w:val="center"/>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bidi="ar-SA"/>
              </w:rPr>
              <w:t>序号</w:t>
            </w:r>
          </w:p>
        </w:tc>
        <w:tc>
          <w:tcPr>
            <w:tcW w:w="4689" w:type="dxa"/>
            <w:noWrap w:val="0"/>
            <w:vAlign w:val="center"/>
          </w:tcPr>
          <w:p w14:paraId="178C4645">
            <w:pPr>
              <w:shd w:val="clear" w:color="auto" w:fill="auto"/>
              <w:spacing w:line="340" w:lineRule="exact"/>
              <w:jc w:val="center"/>
              <w:rPr>
                <w:rFonts w:hint="default" w:ascii="宋体" w:hAnsi="宋体" w:eastAsia="宋体" w:cs="宋体"/>
                <w:b/>
                <w:color w:val="auto"/>
                <w:szCs w:val="21"/>
                <w:highlight w:val="none"/>
                <w:lang w:val="en-US" w:eastAsia="zh-CN" w:bidi="ar-SA"/>
              </w:rPr>
            </w:pPr>
            <w:r>
              <w:rPr>
                <w:rFonts w:hint="eastAsia" w:ascii="宋体" w:hAnsi="宋体" w:cs="宋体"/>
                <w:b/>
                <w:color w:val="auto"/>
                <w:szCs w:val="21"/>
                <w:highlight w:val="none"/>
                <w:lang w:val="en-US" w:eastAsia="zh-CN" w:bidi="ar-SA"/>
              </w:rPr>
              <w:t>项目名称</w:t>
            </w:r>
          </w:p>
        </w:tc>
        <w:tc>
          <w:tcPr>
            <w:tcW w:w="3919" w:type="dxa"/>
            <w:noWrap w:val="0"/>
            <w:vAlign w:val="center"/>
          </w:tcPr>
          <w:p w14:paraId="611B5320">
            <w:pPr>
              <w:shd w:val="clear" w:color="auto" w:fill="auto"/>
              <w:spacing w:line="340" w:lineRule="exact"/>
              <w:jc w:val="center"/>
              <w:rPr>
                <w:rFonts w:hint="default" w:ascii="宋体" w:hAnsi="宋体" w:eastAsia="宋体" w:cs="宋体"/>
                <w:b/>
                <w:color w:val="auto"/>
                <w:szCs w:val="21"/>
                <w:highlight w:val="none"/>
                <w:lang w:val="en-US" w:bidi="ar-SA"/>
              </w:rPr>
            </w:pPr>
            <w:r>
              <w:rPr>
                <w:rFonts w:hint="eastAsia" w:ascii="宋体" w:hAnsi="宋体" w:cs="宋体"/>
                <w:b/>
                <w:color w:val="auto"/>
                <w:szCs w:val="21"/>
                <w:highlight w:val="none"/>
                <w:lang w:val="en-US" w:eastAsia="zh-CN" w:bidi="ar-SA"/>
              </w:rPr>
              <w:t>承销费率（%/年）</w:t>
            </w:r>
          </w:p>
        </w:tc>
      </w:tr>
      <w:tr w14:paraId="3854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1327" w:type="dxa"/>
            <w:noWrap w:val="0"/>
            <w:vAlign w:val="center"/>
          </w:tcPr>
          <w:p w14:paraId="38BCEEA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lang w:val="en-US" w:eastAsia="zh-CN" w:bidi="ar-SA"/>
              </w:rPr>
            </w:pPr>
            <w:r>
              <w:rPr>
                <w:rFonts w:hint="eastAsia" w:ascii="宋体" w:hAnsi="宋体" w:eastAsia="宋体" w:cs="宋体"/>
                <w:color w:val="auto"/>
                <w:szCs w:val="21"/>
                <w:highlight w:val="none"/>
                <w:lang w:val="en-US" w:eastAsia="zh-CN" w:bidi="ar-SA"/>
              </w:rPr>
              <w:t>1</w:t>
            </w:r>
          </w:p>
        </w:tc>
        <w:tc>
          <w:tcPr>
            <w:tcW w:w="4689" w:type="dxa"/>
            <w:noWrap w:val="0"/>
            <w:vAlign w:val="center"/>
          </w:tcPr>
          <w:p w14:paraId="06A169D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lang w:bidi="ar-SA"/>
              </w:rPr>
            </w:pPr>
            <w:r>
              <w:rPr>
                <w:rFonts w:hint="eastAsia"/>
                <w:color w:val="auto"/>
                <w:highlight w:val="none"/>
                <w:lang w:val="en-US" w:eastAsia="zh-CN"/>
              </w:rPr>
              <w:t>义乌市市场发展集团有限公司</w:t>
            </w:r>
            <w:r>
              <w:rPr>
                <w:rFonts w:hint="eastAsia"/>
                <w:color w:val="auto"/>
                <w:highlight w:val="none"/>
              </w:rPr>
              <w:t>2025年</w:t>
            </w:r>
            <w:r>
              <w:rPr>
                <w:rFonts w:hint="eastAsia"/>
                <w:color w:val="auto"/>
                <w:highlight w:val="none"/>
                <w:lang w:val="en-US" w:eastAsia="zh-CN"/>
              </w:rPr>
              <w:t>度</w:t>
            </w:r>
            <w:r>
              <w:rPr>
                <w:rFonts w:hint="eastAsia"/>
                <w:color w:val="auto"/>
                <w:highlight w:val="none"/>
              </w:rPr>
              <w:t>中期票据</w:t>
            </w:r>
            <w:r>
              <w:rPr>
                <w:rFonts w:hint="eastAsia"/>
                <w:color w:val="auto"/>
                <w:highlight w:val="none"/>
                <w:lang w:val="en-US" w:eastAsia="zh-CN"/>
              </w:rPr>
              <w:t>主承销商采购项目</w:t>
            </w:r>
          </w:p>
        </w:tc>
        <w:tc>
          <w:tcPr>
            <w:tcW w:w="3919" w:type="dxa"/>
            <w:noWrap w:val="0"/>
            <w:vAlign w:val="center"/>
          </w:tcPr>
          <w:p w14:paraId="34A67710">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lang w:bidi="ar-SA"/>
              </w:rPr>
            </w:pPr>
          </w:p>
        </w:tc>
      </w:tr>
    </w:tbl>
    <w:p w14:paraId="343114EE">
      <w:pPr>
        <w:spacing w:line="480" w:lineRule="exact"/>
        <w:ind w:firstLine="210" w:firstLineChars="100"/>
        <w:rPr>
          <w:rFonts w:hint="eastAsia" w:ascii="宋体"/>
          <w:color w:val="auto"/>
          <w:szCs w:val="21"/>
          <w:highlight w:val="none"/>
        </w:rPr>
      </w:pPr>
      <w:r>
        <w:rPr>
          <w:rFonts w:hint="eastAsia" w:ascii="宋体"/>
          <w:color w:val="auto"/>
          <w:szCs w:val="21"/>
          <w:highlight w:val="none"/>
        </w:rPr>
        <w:t xml:space="preserve">全权代表签字：                   </w:t>
      </w:r>
    </w:p>
    <w:p w14:paraId="731DFF4D">
      <w:pPr>
        <w:spacing w:line="480" w:lineRule="exact"/>
        <w:ind w:firstLine="210" w:firstLineChars="100"/>
        <w:rPr>
          <w:rFonts w:hint="eastAsia" w:ascii="宋体"/>
          <w:color w:val="auto"/>
          <w:szCs w:val="21"/>
          <w:highlight w:val="none"/>
        </w:rPr>
      </w:pPr>
      <w:r>
        <w:rPr>
          <w:rFonts w:hint="eastAsia" w:ascii="宋体"/>
          <w:color w:val="auto"/>
          <w:szCs w:val="21"/>
          <w:highlight w:val="none"/>
        </w:rPr>
        <w:t xml:space="preserve">日 期：           </w:t>
      </w:r>
    </w:p>
    <w:p w14:paraId="6AA03C2A">
      <w:pPr>
        <w:rPr>
          <w:rFonts w:hint="eastAsia" w:ascii="宋体"/>
          <w:color w:val="auto"/>
          <w:szCs w:val="21"/>
          <w:highlight w:val="none"/>
        </w:rPr>
      </w:pPr>
      <w:r>
        <w:rPr>
          <w:rFonts w:hint="eastAsia" w:ascii="宋体"/>
          <w:color w:val="auto"/>
          <w:szCs w:val="21"/>
          <w:highlight w:val="none"/>
        </w:rPr>
        <w:t>备注：</w:t>
      </w:r>
    </w:p>
    <w:p w14:paraId="2704C8D2">
      <w:pPr>
        <w:numPr>
          <w:ilvl w:val="0"/>
          <w:numId w:val="0"/>
        </w:numPr>
        <w:ind w:firstLine="420" w:firstLineChars="200"/>
        <w:rPr>
          <w:rFonts w:hint="eastAsia" w:ascii="宋体"/>
          <w:color w:val="auto"/>
          <w:szCs w:val="21"/>
          <w:highlight w:val="none"/>
        </w:rPr>
      </w:pPr>
      <w:r>
        <w:rPr>
          <w:rFonts w:hint="eastAsia" w:ascii="宋体"/>
          <w:color w:val="auto"/>
          <w:szCs w:val="21"/>
          <w:highlight w:val="none"/>
          <w:lang w:val="en-US" w:eastAsia="zh-CN"/>
        </w:rPr>
        <w:t>1.</w:t>
      </w:r>
      <w:r>
        <w:rPr>
          <w:rFonts w:hint="eastAsia" w:ascii="宋体"/>
          <w:color w:val="auto"/>
          <w:szCs w:val="21"/>
          <w:highlight w:val="none"/>
        </w:rPr>
        <w:t>投标人应根据国家的有关规定和实际情况并结合企业的实际情况进行投标报价。投标报价为投标人所能承受的最低、最终一次性报价。</w:t>
      </w:r>
    </w:p>
    <w:p w14:paraId="40C414E5">
      <w:pPr>
        <w:numPr>
          <w:ilvl w:val="0"/>
          <w:numId w:val="0"/>
        </w:numPr>
        <w:ind w:firstLine="420" w:firstLineChars="200"/>
        <w:rPr>
          <w:rFonts w:hint="eastAsia" w:ascii="宋体"/>
          <w:color w:val="auto"/>
          <w:szCs w:val="21"/>
          <w:highlight w:val="none"/>
        </w:rPr>
      </w:pP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承销费率最高限价：0.1%/年，投标人的投标报价超最高限价的作无效标处理，报价须保留小数点后两位。</w:t>
      </w:r>
    </w:p>
    <w:p w14:paraId="6E284FBA">
      <w:pPr>
        <w:keepNext w:val="0"/>
        <w:keepLines w:val="0"/>
        <w:pageBreakBefore w:val="0"/>
        <w:widowControl w:val="0"/>
        <w:kinsoku/>
        <w:wordWrap/>
        <w:overflowPunct/>
        <w:topLinePunct w:val="0"/>
        <w:autoSpaceDE/>
        <w:autoSpaceDN/>
        <w:bidi w:val="0"/>
        <w:adjustRightInd/>
        <w:snapToGrid/>
        <w:spacing w:line="360" w:lineRule="auto"/>
        <w:ind w:left="785" w:leftChars="199" w:hanging="367" w:hangingChars="175"/>
        <w:textAlignment w:val="auto"/>
        <w:rPr>
          <w:rFonts w:hint="eastAsia" w:ascii="宋体" w:hAnsi="宋体" w:eastAsia="宋体" w:cs="宋体"/>
          <w:color w:val="auto"/>
          <w:szCs w:val="21"/>
          <w:highlight w:val="none"/>
          <w:lang w:val="en-US" w:eastAsia="zh-CN"/>
        </w:rPr>
      </w:pPr>
      <w:r>
        <w:rPr>
          <w:rFonts w:hint="eastAsia" w:ascii="宋体"/>
          <w:color w:val="auto"/>
          <w:szCs w:val="21"/>
          <w:highlight w:val="none"/>
          <w:lang w:val="en-US" w:eastAsia="zh-CN"/>
        </w:rPr>
        <w:t>3</w:t>
      </w:r>
      <w:r>
        <w:rPr>
          <w:rFonts w:hint="eastAsia" w:ascii="宋体"/>
          <w:color w:val="auto"/>
          <w:szCs w:val="21"/>
          <w:highlight w:val="none"/>
        </w:rPr>
        <w:t>.此表在不改变表式内容的情况下，可自行制作</w:t>
      </w:r>
      <w:r>
        <w:rPr>
          <w:rFonts w:hint="eastAsia" w:ascii="宋体"/>
          <w:color w:val="auto"/>
          <w:szCs w:val="21"/>
          <w:highlight w:val="none"/>
          <w:lang w:val="en-US" w:eastAsia="zh-CN"/>
        </w:rPr>
        <w:t>.</w:t>
      </w:r>
    </w:p>
    <w:p w14:paraId="63922465">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E5B53C">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721650E4">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63AA65C9">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6F55101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31C0FAC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3309AB4E">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60C8A628">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5C02DF6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5BC58AA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617DEF18">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5B7B2B80">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00BAB4C3">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4C3CF74F">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405ABD7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5EA4622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4519D22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16BFBAA6">
      <w:pPr>
        <w:adjustRightInd w:val="0"/>
        <w:snapToGrid w:val="0"/>
        <w:spacing w:line="360" w:lineRule="auto"/>
        <w:rPr>
          <w:rFonts w:ascii="宋体" w:hAnsi="宋体" w:cs="宋体"/>
          <w:color w:val="auto"/>
          <w:highlight w:val="none"/>
        </w:rPr>
      </w:pPr>
    </w:p>
    <w:p w14:paraId="40485E5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243BBC54">
      <w:pPr>
        <w:adjustRightInd w:val="0"/>
        <w:snapToGrid w:val="0"/>
        <w:spacing w:line="360" w:lineRule="auto"/>
        <w:rPr>
          <w:rFonts w:ascii="宋体" w:hAnsi="宋体" w:cs="宋体"/>
          <w:color w:val="auto"/>
          <w:highlight w:val="none"/>
          <w:u w:val="dotted"/>
        </w:rPr>
      </w:pPr>
    </w:p>
    <w:p w14:paraId="782B39E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53A7048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2896A008">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6CE126C2">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3AECB625">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3C87AD02">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2F48E257">
      <w:pPr>
        <w:spacing w:line="360" w:lineRule="auto"/>
        <w:rPr>
          <w:rFonts w:ascii="宋体" w:hAnsi="宋体" w:cs="宋体"/>
          <w:color w:val="auto"/>
          <w:highlight w:val="none"/>
        </w:rPr>
      </w:pPr>
    </w:p>
    <w:p w14:paraId="7B77D238">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3D2DDA81">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04C49C5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5ADC88F8">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433D0963">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184AD56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382B75B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0535C134">
      <w:pPr>
        <w:pStyle w:val="59"/>
        <w:rPr>
          <w:color w:val="auto"/>
          <w:highlight w:val="none"/>
        </w:rPr>
      </w:pPr>
    </w:p>
    <w:p w14:paraId="1B460A96">
      <w:pPr>
        <w:pStyle w:val="19"/>
        <w:spacing w:line="460" w:lineRule="exact"/>
        <w:rPr>
          <w:rFonts w:cs="Times New Roman"/>
          <w:color w:val="auto"/>
          <w:highlight w:val="none"/>
        </w:rPr>
      </w:pPr>
    </w:p>
    <w:p w14:paraId="3F7D940D">
      <w:pPr>
        <w:rPr>
          <w:color w:val="auto"/>
          <w:highlight w:val="none"/>
        </w:rPr>
      </w:pPr>
    </w:p>
    <w:p w14:paraId="55E17D49">
      <w:pPr>
        <w:rPr>
          <w:color w:val="auto"/>
          <w:highlight w:val="none"/>
        </w:rPr>
      </w:pPr>
    </w:p>
    <w:p w14:paraId="751EAFCF">
      <w:pPr>
        <w:pStyle w:val="2"/>
        <w:rPr>
          <w:color w:val="auto"/>
          <w:highlight w:val="none"/>
        </w:rPr>
      </w:pPr>
    </w:p>
    <w:p w14:paraId="0AB8C3A8">
      <w:pPr>
        <w:rPr>
          <w:color w:val="auto"/>
          <w:highlight w:val="none"/>
        </w:rPr>
      </w:pPr>
    </w:p>
    <w:p w14:paraId="4E8EA2D1">
      <w:pPr>
        <w:jc w:val="center"/>
        <w:rPr>
          <w:rFonts w:hint="eastAsia" w:ascii="宋体" w:hAnsi="宋体"/>
          <w:b/>
          <w:color w:val="auto"/>
          <w:sz w:val="36"/>
          <w:szCs w:val="36"/>
          <w:highlight w:val="none"/>
        </w:rPr>
      </w:pPr>
    </w:p>
    <w:p w14:paraId="73D4D5CE">
      <w:pPr>
        <w:jc w:val="center"/>
        <w:rPr>
          <w:rFonts w:hint="eastAsia" w:ascii="宋体" w:hAnsi="宋体"/>
          <w:b/>
          <w:color w:val="auto"/>
          <w:sz w:val="36"/>
          <w:szCs w:val="36"/>
          <w:highlight w:val="none"/>
        </w:rPr>
      </w:pPr>
    </w:p>
    <w:p w14:paraId="2937A8FB">
      <w:pPr>
        <w:jc w:val="center"/>
        <w:rPr>
          <w:rFonts w:hint="eastAsia" w:ascii="宋体" w:hAnsi="宋体"/>
          <w:b/>
          <w:color w:val="auto"/>
          <w:sz w:val="36"/>
          <w:szCs w:val="36"/>
          <w:highlight w:val="none"/>
        </w:rPr>
      </w:pPr>
    </w:p>
    <w:p w14:paraId="64630CED">
      <w:pPr>
        <w:jc w:val="center"/>
        <w:rPr>
          <w:rFonts w:hint="eastAsia" w:ascii="宋体" w:hAnsi="宋体"/>
          <w:b/>
          <w:color w:val="auto"/>
          <w:sz w:val="36"/>
          <w:szCs w:val="36"/>
          <w:highlight w:val="none"/>
        </w:rPr>
      </w:pPr>
    </w:p>
    <w:p w14:paraId="3697693F">
      <w:pPr>
        <w:jc w:val="center"/>
        <w:rPr>
          <w:rFonts w:hint="eastAsia" w:ascii="宋体" w:hAnsi="宋体"/>
          <w:b/>
          <w:color w:val="auto"/>
          <w:sz w:val="36"/>
          <w:szCs w:val="36"/>
          <w:highlight w:val="none"/>
        </w:rPr>
      </w:pPr>
    </w:p>
    <w:p w14:paraId="35CBB78E">
      <w:pPr>
        <w:jc w:val="center"/>
        <w:rPr>
          <w:rFonts w:hint="eastAsia" w:ascii="宋体" w:hAnsi="宋体"/>
          <w:b/>
          <w:color w:val="auto"/>
          <w:sz w:val="36"/>
          <w:szCs w:val="36"/>
          <w:highlight w:val="none"/>
        </w:rPr>
      </w:pPr>
    </w:p>
    <w:p w14:paraId="5EB1C627">
      <w:pPr>
        <w:jc w:val="center"/>
        <w:rPr>
          <w:rFonts w:hint="eastAsia" w:ascii="宋体" w:hAnsi="宋体"/>
          <w:b/>
          <w:color w:val="auto"/>
          <w:sz w:val="36"/>
          <w:szCs w:val="36"/>
          <w:highlight w:val="none"/>
        </w:rPr>
      </w:pPr>
    </w:p>
    <w:p w14:paraId="4959232A">
      <w:pPr>
        <w:jc w:val="center"/>
        <w:rPr>
          <w:rFonts w:hint="eastAsia" w:ascii="宋体" w:hAnsi="宋体"/>
          <w:b/>
          <w:color w:val="auto"/>
          <w:sz w:val="36"/>
          <w:szCs w:val="36"/>
          <w:highlight w:val="none"/>
        </w:rPr>
      </w:pPr>
    </w:p>
    <w:p w14:paraId="14D6ABBF">
      <w:pPr>
        <w:jc w:val="center"/>
        <w:rPr>
          <w:rFonts w:hint="eastAsia" w:ascii="宋体" w:hAnsi="宋体"/>
          <w:b/>
          <w:color w:val="auto"/>
          <w:sz w:val="36"/>
          <w:szCs w:val="36"/>
          <w:highlight w:val="none"/>
        </w:rPr>
      </w:pPr>
    </w:p>
    <w:p w14:paraId="1706576D">
      <w:pPr>
        <w:jc w:val="center"/>
        <w:rPr>
          <w:rFonts w:hint="eastAsia" w:ascii="宋体" w:hAnsi="宋体"/>
          <w:b/>
          <w:color w:val="auto"/>
          <w:sz w:val="36"/>
          <w:szCs w:val="36"/>
          <w:highlight w:val="none"/>
        </w:rPr>
      </w:pPr>
    </w:p>
    <w:bookmarkEnd w:id="81"/>
    <w:bookmarkEnd w:id="82"/>
    <w:bookmarkEnd w:id="83"/>
    <w:bookmarkEnd w:id="84"/>
    <w:bookmarkEnd w:id="85"/>
    <w:bookmarkEnd w:id="86"/>
    <w:p w14:paraId="53F19438">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3F071">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07C753">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807C753">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73BB">
    <w:pPr>
      <w:pStyle w:val="23"/>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6BC3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BD6BC3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C2395">
    <w:pPr>
      <w:pStyle w:val="23"/>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E1B90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CE1B90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322ED">
    <w:pPr>
      <w:pStyle w:val="23"/>
      <w:tabs>
        <w:tab w:val="center" w:pos="4153"/>
        <w:tab w:val="right" w:pos="8306"/>
        <w:tab w:val="clear" w:pos="4140"/>
        <w:tab w:val="clear" w:pos="8300"/>
      </w:tabs>
      <w:ind w:right="210" w:rightChars="100"/>
      <w:jc w:val="right"/>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Arabic \* MERGEFORMAT </w:instrText>
    </w:r>
    <w:r>
      <w:rPr>
        <w:rFonts w:hint="eastAsia" w:ascii="宋体" w:hAnsi="宋体"/>
        <w:sz w:val="28"/>
      </w:rPr>
      <w:fldChar w:fldCharType="separate"/>
    </w:r>
    <w:r>
      <w:rPr>
        <w:rFonts w:hint="eastAsia" w:ascii="宋体" w:hAnsi="宋体"/>
        <w:sz w:val="28"/>
      </w:rPr>
      <w:t>23</w:t>
    </w:r>
    <w:r>
      <w:rPr>
        <w:rFonts w:hint="eastAsia" w:ascii="宋体" w:hAnsi="宋体"/>
        <w:sz w:val="28"/>
      </w:rPr>
      <w:fldChar w:fldCharType="end"/>
    </w:r>
    <w:r>
      <w:rPr>
        <w:rFonts w:hint="eastAsia"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FB2B">
    <w:pPr>
      <w:pStyle w:val="24"/>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264A">
    <w:pPr>
      <w:pStyle w:val="24"/>
      <w:tabs>
        <w:tab w:val="center" w:pos="4153"/>
        <w:tab w:val="right" w:pos="8306"/>
        <w:tab w:val="clear" w:pos="4140"/>
        <w:tab w:val="clear" w:pos="8300"/>
      </w:tabs>
      <w:jc w:val="right"/>
    </w:pPr>
    <w:r>
      <w:rPr>
        <w:rFonts w:hint="eastAsia"/>
        <w:lang w:val="en-US" w:eastAsia="zh-CN"/>
      </w:rPr>
      <w:t>义乌市市场发展集团有限公司</w:t>
    </w:r>
    <w:r>
      <w:rPr>
        <w:rFonts w:hint="eastAsia"/>
      </w:rPr>
      <w:t>2025年</w:t>
    </w:r>
    <w:r>
      <w:rPr>
        <w:rFonts w:hint="eastAsia"/>
        <w:lang w:val="en-US" w:eastAsia="zh-CN"/>
      </w:rPr>
      <w:t>度</w:t>
    </w:r>
    <w:r>
      <w:rPr>
        <w:rFonts w:hint="eastAsia"/>
      </w:rPr>
      <w:t>中期票据</w:t>
    </w:r>
    <w:r>
      <w:rPr>
        <w:rFonts w:hint="eastAsia"/>
        <w:lang w:val="en-US" w:eastAsia="zh-CN"/>
      </w:rPr>
      <w:t>主承销商采购项目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2">
    <w:nsid w:val="270D4A16"/>
    <w:multiLevelType w:val="singleLevel"/>
    <w:tmpl w:val="270D4A16"/>
    <w:lvl w:ilvl="0" w:tentative="0">
      <w:start w:val="1"/>
      <w:numFmt w:val="decimal"/>
      <w:suff w:val="nothing"/>
      <w:lvlText w:val="%1."/>
      <w:lvlJc w:val="left"/>
      <w:pPr>
        <w:ind w:left="-2"/>
      </w:pPr>
      <w:rPr>
        <w:rFonts w:hint="default"/>
        <w:b/>
        <w:bCs/>
        <w:sz w:val="21"/>
        <w:szCs w:val="21"/>
      </w:rPr>
    </w:lvl>
  </w:abstractNum>
  <w:abstractNum w:abstractNumId="3">
    <w:nsid w:val="4743CE18"/>
    <w:multiLevelType w:val="singleLevel"/>
    <w:tmpl w:val="4743CE18"/>
    <w:lvl w:ilvl="0" w:tentative="0">
      <w:start w:val="1"/>
      <w:numFmt w:val="chineseCounting"/>
      <w:suff w:val="nothing"/>
      <w:lvlText w:val="（%1）"/>
      <w:lvlJc w:val="left"/>
      <w:rPr>
        <w:rFonts w:hint="eastAsia"/>
      </w:rPr>
    </w:lvl>
  </w:abstractNum>
  <w:abstractNum w:abstractNumId="4">
    <w:nsid w:val="49FECD61"/>
    <w:multiLevelType w:val="singleLevel"/>
    <w:tmpl w:val="49FECD61"/>
    <w:lvl w:ilvl="0" w:tentative="0">
      <w:start w:val="3"/>
      <w:numFmt w:val="chineseCounting"/>
      <w:suff w:val="nothing"/>
      <w:lvlText w:val="%1、"/>
      <w:lvlJc w:val="left"/>
      <w:rPr>
        <w:rFonts w:hint="eastAsia"/>
      </w:rPr>
    </w:lvl>
  </w:abstractNum>
  <w:abstractNum w:abstractNumId="5">
    <w:nsid w:val="7A3D02AC"/>
    <w:multiLevelType w:val="multilevel"/>
    <w:tmpl w:val="7A3D02AC"/>
    <w:lvl w:ilvl="0" w:tentative="0">
      <w:start w:val="1"/>
      <w:numFmt w:val="japaneseCounting"/>
      <w:suff w:val="space"/>
      <w:lvlText w:val="第%1条"/>
      <w:lvlJc w:val="left"/>
      <w:pPr>
        <w:ind w:left="-135" w:hanging="1125"/>
      </w:pPr>
      <w:rPr>
        <w:rFonts w:hint="eastAsia"/>
        <w:lang w:val="en-US"/>
      </w:rPr>
    </w:lvl>
    <w:lvl w:ilvl="1" w:tentative="0">
      <w:start w:val="1"/>
      <w:numFmt w:val="lowerLetter"/>
      <w:lvlText w:val="%2)"/>
      <w:lvlJc w:val="left"/>
      <w:pPr>
        <w:tabs>
          <w:tab w:val="left" w:pos="-420"/>
        </w:tabs>
        <w:ind w:left="-420" w:hanging="420"/>
      </w:pPr>
      <w:rPr>
        <w:rFonts w:hint="eastAsia"/>
      </w:rPr>
    </w:lvl>
    <w:lvl w:ilvl="2" w:tentative="0">
      <w:start w:val="1"/>
      <w:numFmt w:val="lowerRoman"/>
      <w:lvlText w:val="%3."/>
      <w:lvlJc w:val="right"/>
      <w:pPr>
        <w:tabs>
          <w:tab w:val="left" w:pos="0"/>
        </w:tabs>
        <w:ind w:left="0" w:hanging="420"/>
      </w:pPr>
      <w:rPr>
        <w:rFonts w:hint="eastAsia"/>
      </w:rPr>
    </w:lvl>
    <w:lvl w:ilvl="3" w:tentative="0">
      <w:start w:val="1"/>
      <w:numFmt w:val="decimal"/>
      <w:lvlText w:val="%4."/>
      <w:lvlJc w:val="left"/>
      <w:pPr>
        <w:tabs>
          <w:tab w:val="left" w:pos="420"/>
        </w:tabs>
        <w:ind w:left="420" w:hanging="420"/>
      </w:pPr>
      <w:rPr>
        <w:rFonts w:hint="eastAsia"/>
      </w:rPr>
    </w:lvl>
    <w:lvl w:ilvl="4" w:tentative="0">
      <w:start w:val="1"/>
      <w:numFmt w:val="lowerLetter"/>
      <w:lvlText w:val="%5)"/>
      <w:lvlJc w:val="left"/>
      <w:pPr>
        <w:tabs>
          <w:tab w:val="left" w:pos="840"/>
        </w:tabs>
        <w:ind w:left="840" w:hanging="420"/>
      </w:pPr>
      <w:rPr>
        <w:rFonts w:hint="eastAsia"/>
      </w:rPr>
    </w:lvl>
    <w:lvl w:ilvl="5" w:tentative="0">
      <w:start w:val="1"/>
      <w:numFmt w:val="lowerRoman"/>
      <w:lvlText w:val="%6."/>
      <w:lvlJc w:val="right"/>
      <w:pPr>
        <w:tabs>
          <w:tab w:val="left" w:pos="1260"/>
        </w:tabs>
        <w:ind w:left="1260" w:hanging="420"/>
      </w:pPr>
      <w:rPr>
        <w:rFonts w:hint="eastAsia"/>
      </w:rPr>
    </w:lvl>
    <w:lvl w:ilvl="6" w:tentative="0">
      <w:start w:val="1"/>
      <w:numFmt w:val="decimal"/>
      <w:lvlText w:val="%7."/>
      <w:lvlJc w:val="left"/>
      <w:pPr>
        <w:tabs>
          <w:tab w:val="left" w:pos="1680"/>
        </w:tabs>
        <w:ind w:left="1680" w:hanging="420"/>
      </w:pPr>
      <w:rPr>
        <w:rFonts w:hint="eastAsia"/>
      </w:rPr>
    </w:lvl>
    <w:lvl w:ilvl="7" w:tentative="0">
      <w:start w:val="1"/>
      <w:numFmt w:val="lowerLetter"/>
      <w:lvlText w:val="%8)"/>
      <w:lvlJc w:val="left"/>
      <w:pPr>
        <w:tabs>
          <w:tab w:val="left" w:pos="2100"/>
        </w:tabs>
        <w:ind w:left="2100" w:hanging="420"/>
      </w:pPr>
      <w:rPr>
        <w:rFonts w:hint="eastAsia"/>
      </w:rPr>
    </w:lvl>
    <w:lvl w:ilvl="8" w:tentative="0">
      <w:start w:val="1"/>
      <w:numFmt w:val="lowerRoman"/>
      <w:lvlText w:val="%9."/>
      <w:lvlJc w:val="right"/>
      <w:pPr>
        <w:tabs>
          <w:tab w:val="left" w:pos="2520"/>
        </w:tabs>
        <w:ind w:left="2520" w:hanging="420"/>
      </w:pPr>
      <w:rPr>
        <w:rFonts w:hint="eastAsia"/>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A2DD9"/>
    <w:rsid w:val="014A4B87"/>
    <w:rsid w:val="01545A05"/>
    <w:rsid w:val="01830099"/>
    <w:rsid w:val="018E7169"/>
    <w:rsid w:val="019329D2"/>
    <w:rsid w:val="0194674A"/>
    <w:rsid w:val="01AC5842"/>
    <w:rsid w:val="01BD17FD"/>
    <w:rsid w:val="01C34939"/>
    <w:rsid w:val="01CD7566"/>
    <w:rsid w:val="01D54D98"/>
    <w:rsid w:val="01D803E5"/>
    <w:rsid w:val="01D8357C"/>
    <w:rsid w:val="01EE5E5A"/>
    <w:rsid w:val="01F33470"/>
    <w:rsid w:val="021448C1"/>
    <w:rsid w:val="021B4775"/>
    <w:rsid w:val="021D673F"/>
    <w:rsid w:val="0224362A"/>
    <w:rsid w:val="022950E4"/>
    <w:rsid w:val="022C24DE"/>
    <w:rsid w:val="02357F37"/>
    <w:rsid w:val="02465A96"/>
    <w:rsid w:val="02565064"/>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7800D1"/>
    <w:rsid w:val="038509C9"/>
    <w:rsid w:val="03936CB9"/>
    <w:rsid w:val="03962305"/>
    <w:rsid w:val="03993BA4"/>
    <w:rsid w:val="039E11BA"/>
    <w:rsid w:val="03A2514E"/>
    <w:rsid w:val="03A74512"/>
    <w:rsid w:val="03A964DC"/>
    <w:rsid w:val="03BE7AAE"/>
    <w:rsid w:val="03D1158F"/>
    <w:rsid w:val="03D177E1"/>
    <w:rsid w:val="03E12C8F"/>
    <w:rsid w:val="03E63A70"/>
    <w:rsid w:val="04021749"/>
    <w:rsid w:val="04097E63"/>
    <w:rsid w:val="040A2CF3"/>
    <w:rsid w:val="041B0A5C"/>
    <w:rsid w:val="041D47D5"/>
    <w:rsid w:val="041F054D"/>
    <w:rsid w:val="043B2EAD"/>
    <w:rsid w:val="045A3333"/>
    <w:rsid w:val="047343F5"/>
    <w:rsid w:val="04781A0B"/>
    <w:rsid w:val="047A1C27"/>
    <w:rsid w:val="04891E6A"/>
    <w:rsid w:val="04936845"/>
    <w:rsid w:val="049A75AA"/>
    <w:rsid w:val="049F51EA"/>
    <w:rsid w:val="04A24CDA"/>
    <w:rsid w:val="04AB3B8E"/>
    <w:rsid w:val="04E86B91"/>
    <w:rsid w:val="04F05330"/>
    <w:rsid w:val="04FA4B16"/>
    <w:rsid w:val="05031AF8"/>
    <w:rsid w:val="050F6813"/>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A35726"/>
    <w:rsid w:val="05BD626F"/>
    <w:rsid w:val="05E355AA"/>
    <w:rsid w:val="05FE4192"/>
    <w:rsid w:val="05FE5C3A"/>
    <w:rsid w:val="06071298"/>
    <w:rsid w:val="060F6696"/>
    <w:rsid w:val="061D286A"/>
    <w:rsid w:val="06224324"/>
    <w:rsid w:val="062260D2"/>
    <w:rsid w:val="06336531"/>
    <w:rsid w:val="064029FC"/>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C23411"/>
    <w:rsid w:val="06C4362D"/>
    <w:rsid w:val="06C74ECC"/>
    <w:rsid w:val="06D66EBD"/>
    <w:rsid w:val="06D73361"/>
    <w:rsid w:val="0708351A"/>
    <w:rsid w:val="070B125C"/>
    <w:rsid w:val="07133C6D"/>
    <w:rsid w:val="07140111"/>
    <w:rsid w:val="072365A6"/>
    <w:rsid w:val="07293490"/>
    <w:rsid w:val="073D7647"/>
    <w:rsid w:val="074F4C03"/>
    <w:rsid w:val="07510E9A"/>
    <w:rsid w:val="0757624F"/>
    <w:rsid w:val="076444C8"/>
    <w:rsid w:val="07666493"/>
    <w:rsid w:val="0777244E"/>
    <w:rsid w:val="07862691"/>
    <w:rsid w:val="078B414B"/>
    <w:rsid w:val="07943000"/>
    <w:rsid w:val="079A613C"/>
    <w:rsid w:val="079D726B"/>
    <w:rsid w:val="07A82607"/>
    <w:rsid w:val="07B92E8A"/>
    <w:rsid w:val="07BA233A"/>
    <w:rsid w:val="07C66F31"/>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32110"/>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22902"/>
    <w:rsid w:val="0A140428"/>
    <w:rsid w:val="0A285C81"/>
    <w:rsid w:val="0A287A2F"/>
    <w:rsid w:val="0A331619"/>
    <w:rsid w:val="0A3B3C06"/>
    <w:rsid w:val="0A4C5E14"/>
    <w:rsid w:val="0A4C7BC2"/>
    <w:rsid w:val="0A4D56E8"/>
    <w:rsid w:val="0A5D3B7D"/>
    <w:rsid w:val="0A5E78F5"/>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A354C3"/>
    <w:rsid w:val="0BAC014B"/>
    <w:rsid w:val="0BB2614A"/>
    <w:rsid w:val="0BB93035"/>
    <w:rsid w:val="0BC0059A"/>
    <w:rsid w:val="0BC11EE9"/>
    <w:rsid w:val="0BCB4B16"/>
    <w:rsid w:val="0BED0F30"/>
    <w:rsid w:val="0BF16C73"/>
    <w:rsid w:val="0BF26547"/>
    <w:rsid w:val="0BF40511"/>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D4705"/>
    <w:rsid w:val="0CA27745"/>
    <w:rsid w:val="0CA912FB"/>
    <w:rsid w:val="0CAB2638"/>
    <w:rsid w:val="0CAE6912"/>
    <w:rsid w:val="0CBD6B55"/>
    <w:rsid w:val="0CBE467B"/>
    <w:rsid w:val="0CC53C5B"/>
    <w:rsid w:val="0CD16FA1"/>
    <w:rsid w:val="0CD81BE1"/>
    <w:rsid w:val="0CDE6ACB"/>
    <w:rsid w:val="0CE12BAF"/>
    <w:rsid w:val="0D044784"/>
    <w:rsid w:val="0D0E115E"/>
    <w:rsid w:val="0D103128"/>
    <w:rsid w:val="0D183D8B"/>
    <w:rsid w:val="0D200E92"/>
    <w:rsid w:val="0D2210AE"/>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CD1019"/>
    <w:rsid w:val="0DD71E98"/>
    <w:rsid w:val="0DDE75AF"/>
    <w:rsid w:val="0DE87C01"/>
    <w:rsid w:val="0DEB4982"/>
    <w:rsid w:val="0DEF71E2"/>
    <w:rsid w:val="0E0802A4"/>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348FD"/>
    <w:rsid w:val="0EC95C85"/>
    <w:rsid w:val="0ECE329B"/>
    <w:rsid w:val="0ED4462A"/>
    <w:rsid w:val="0EE91E83"/>
    <w:rsid w:val="0EFA4090"/>
    <w:rsid w:val="0EFD76DC"/>
    <w:rsid w:val="0F07055B"/>
    <w:rsid w:val="0F0C791F"/>
    <w:rsid w:val="0F0E19B1"/>
    <w:rsid w:val="0F0E3698"/>
    <w:rsid w:val="0F276507"/>
    <w:rsid w:val="0F2A5FF8"/>
    <w:rsid w:val="0F44355D"/>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F02D9D"/>
    <w:rsid w:val="0FF76461"/>
    <w:rsid w:val="0FFC3E38"/>
    <w:rsid w:val="10036F74"/>
    <w:rsid w:val="10042CED"/>
    <w:rsid w:val="10120F66"/>
    <w:rsid w:val="10260EB5"/>
    <w:rsid w:val="10284C2D"/>
    <w:rsid w:val="1031101D"/>
    <w:rsid w:val="10315202"/>
    <w:rsid w:val="1053332C"/>
    <w:rsid w:val="105477D0"/>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0FD2469"/>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D70244"/>
    <w:rsid w:val="12E36BE9"/>
    <w:rsid w:val="12F26E2C"/>
    <w:rsid w:val="12FB2185"/>
    <w:rsid w:val="130D1EB8"/>
    <w:rsid w:val="131E7C21"/>
    <w:rsid w:val="1324792E"/>
    <w:rsid w:val="13301948"/>
    <w:rsid w:val="133B6A25"/>
    <w:rsid w:val="134E57BA"/>
    <w:rsid w:val="13517FF7"/>
    <w:rsid w:val="135E44C2"/>
    <w:rsid w:val="13693592"/>
    <w:rsid w:val="136A730B"/>
    <w:rsid w:val="13750189"/>
    <w:rsid w:val="13855EF2"/>
    <w:rsid w:val="13874694"/>
    <w:rsid w:val="13961EAE"/>
    <w:rsid w:val="139A7BF0"/>
    <w:rsid w:val="139B74C4"/>
    <w:rsid w:val="139D4FEA"/>
    <w:rsid w:val="13A50B07"/>
    <w:rsid w:val="13A520F1"/>
    <w:rsid w:val="13B30CB1"/>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7026FF"/>
    <w:rsid w:val="1481490C"/>
    <w:rsid w:val="14830684"/>
    <w:rsid w:val="148937C0"/>
    <w:rsid w:val="148B12E6"/>
    <w:rsid w:val="14904B4F"/>
    <w:rsid w:val="14956609"/>
    <w:rsid w:val="14972381"/>
    <w:rsid w:val="14A01236"/>
    <w:rsid w:val="14A44E1C"/>
    <w:rsid w:val="14B06F9F"/>
    <w:rsid w:val="14B20F69"/>
    <w:rsid w:val="14B22D17"/>
    <w:rsid w:val="14BF5434"/>
    <w:rsid w:val="14C667C2"/>
    <w:rsid w:val="14CC3796"/>
    <w:rsid w:val="14D56A06"/>
    <w:rsid w:val="14D7277E"/>
    <w:rsid w:val="14E37374"/>
    <w:rsid w:val="14EF7AC7"/>
    <w:rsid w:val="15023C9F"/>
    <w:rsid w:val="15080B89"/>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5F75CF2"/>
    <w:rsid w:val="160457F4"/>
    <w:rsid w:val="160A1646"/>
    <w:rsid w:val="16133C89"/>
    <w:rsid w:val="161F43DC"/>
    <w:rsid w:val="16273291"/>
    <w:rsid w:val="162B0FD3"/>
    <w:rsid w:val="16302145"/>
    <w:rsid w:val="164B51D1"/>
    <w:rsid w:val="164B6F7F"/>
    <w:rsid w:val="165C73DE"/>
    <w:rsid w:val="167E0875"/>
    <w:rsid w:val="16976668"/>
    <w:rsid w:val="16A13043"/>
    <w:rsid w:val="16A86180"/>
    <w:rsid w:val="16AE750E"/>
    <w:rsid w:val="16BF34C9"/>
    <w:rsid w:val="16CA259A"/>
    <w:rsid w:val="16CA3CE6"/>
    <w:rsid w:val="16CF7BB0"/>
    <w:rsid w:val="16D03928"/>
    <w:rsid w:val="16D43419"/>
    <w:rsid w:val="16D451C7"/>
    <w:rsid w:val="1703785A"/>
    <w:rsid w:val="170415AA"/>
    <w:rsid w:val="170829E4"/>
    <w:rsid w:val="173C2D6C"/>
    <w:rsid w:val="17555BDC"/>
    <w:rsid w:val="176302F9"/>
    <w:rsid w:val="1772485E"/>
    <w:rsid w:val="177B1AE6"/>
    <w:rsid w:val="177D4EC7"/>
    <w:rsid w:val="17822E75"/>
    <w:rsid w:val="17852965"/>
    <w:rsid w:val="178A2087"/>
    <w:rsid w:val="178D5376"/>
    <w:rsid w:val="17914300"/>
    <w:rsid w:val="17986848"/>
    <w:rsid w:val="17A252C5"/>
    <w:rsid w:val="17B03764"/>
    <w:rsid w:val="17B1375A"/>
    <w:rsid w:val="17D11C8B"/>
    <w:rsid w:val="17D64F6F"/>
    <w:rsid w:val="17EA0A1A"/>
    <w:rsid w:val="17F536DC"/>
    <w:rsid w:val="17FE0021"/>
    <w:rsid w:val="17FF6273"/>
    <w:rsid w:val="18131D1F"/>
    <w:rsid w:val="18185587"/>
    <w:rsid w:val="18277578"/>
    <w:rsid w:val="182A0E16"/>
    <w:rsid w:val="18335F1D"/>
    <w:rsid w:val="185145F5"/>
    <w:rsid w:val="18522553"/>
    <w:rsid w:val="185760AF"/>
    <w:rsid w:val="185D2F9A"/>
    <w:rsid w:val="18616F2E"/>
    <w:rsid w:val="18695DE3"/>
    <w:rsid w:val="186E33F9"/>
    <w:rsid w:val="18715354"/>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8EC5A8B"/>
    <w:rsid w:val="19080C81"/>
    <w:rsid w:val="190D676E"/>
    <w:rsid w:val="19263CD4"/>
    <w:rsid w:val="193D1FA8"/>
    <w:rsid w:val="19406B43"/>
    <w:rsid w:val="19551E2D"/>
    <w:rsid w:val="196640D0"/>
    <w:rsid w:val="196A1E12"/>
    <w:rsid w:val="19792055"/>
    <w:rsid w:val="19874772"/>
    <w:rsid w:val="19892176"/>
    <w:rsid w:val="1997610B"/>
    <w:rsid w:val="19996F02"/>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574EFC"/>
    <w:rsid w:val="1A7B3BAB"/>
    <w:rsid w:val="1A7F369B"/>
    <w:rsid w:val="1A807414"/>
    <w:rsid w:val="1A856BB0"/>
    <w:rsid w:val="1A864A2A"/>
    <w:rsid w:val="1A8707A2"/>
    <w:rsid w:val="1A996BA6"/>
    <w:rsid w:val="1A9C29CA"/>
    <w:rsid w:val="1A9D5276"/>
    <w:rsid w:val="1AD35795"/>
    <w:rsid w:val="1AE479A2"/>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43F2"/>
    <w:rsid w:val="1BE0016A"/>
    <w:rsid w:val="1BEB27A3"/>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E367E1"/>
    <w:rsid w:val="1CE41EDC"/>
    <w:rsid w:val="1D091942"/>
    <w:rsid w:val="1D0D1432"/>
    <w:rsid w:val="1D110191"/>
    <w:rsid w:val="1D116F6D"/>
    <w:rsid w:val="1D13456F"/>
    <w:rsid w:val="1D1D0F4A"/>
    <w:rsid w:val="1D214EDE"/>
    <w:rsid w:val="1D230C56"/>
    <w:rsid w:val="1D291FE4"/>
    <w:rsid w:val="1D554B87"/>
    <w:rsid w:val="1D5A03F0"/>
    <w:rsid w:val="1D5F1562"/>
    <w:rsid w:val="1D5F18A9"/>
    <w:rsid w:val="1D61177E"/>
    <w:rsid w:val="1D6152DA"/>
    <w:rsid w:val="1D772D50"/>
    <w:rsid w:val="1D774AFE"/>
    <w:rsid w:val="1D7A639C"/>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70501"/>
    <w:rsid w:val="1EA96F39"/>
    <w:rsid w:val="1EAE09F3"/>
    <w:rsid w:val="1EBA012E"/>
    <w:rsid w:val="1EBA1146"/>
    <w:rsid w:val="1EC21DA9"/>
    <w:rsid w:val="1EC6380E"/>
    <w:rsid w:val="1ED76968"/>
    <w:rsid w:val="1EDA01AA"/>
    <w:rsid w:val="1EDF0BAD"/>
    <w:rsid w:val="1EF65EF6"/>
    <w:rsid w:val="1EF67CA4"/>
    <w:rsid w:val="1EFA1145"/>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5A66"/>
    <w:rsid w:val="1F66307C"/>
    <w:rsid w:val="1F6D440A"/>
    <w:rsid w:val="1F707A57"/>
    <w:rsid w:val="1F7233D5"/>
    <w:rsid w:val="1F7D3F22"/>
    <w:rsid w:val="1F8B2AE2"/>
    <w:rsid w:val="1F99183C"/>
    <w:rsid w:val="1FAA740D"/>
    <w:rsid w:val="1FAD4807"/>
    <w:rsid w:val="1FB913FE"/>
    <w:rsid w:val="1FBC0EEE"/>
    <w:rsid w:val="1FD93E60"/>
    <w:rsid w:val="1FDB4421"/>
    <w:rsid w:val="1FDE0E64"/>
    <w:rsid w:val="1FDE2C12"/>
    <w:rsid w:val="1FE87F35"/>
    <w:rsid w:val="1FEB532F"/>
    <w:rsid w:val="1FEE7A64"/>
    <w:rsid w:val="1FF24910"/>
    <w:rsid w:val="20000DDB"/>
    <w:rsid w:val="20142AD8"/>
    <w:rsid w:val="2020322B"/>
    <w:rsid w:val="20256A93"/>
    <w:rsid w:val="20340A84"/>
    <w:rsid w:val="20346CD6"/>
    <w:rsid w:val="20476A09"/>
    <w:rsid w:val="204C58AF"/>
    <w:rsid w:val="20586E69"/>
    <w:rsid w:val="2059498F"/>
    <w:rsid w:val="206A51C4"/>
    <w:rsid w:val="206F7D0E"/>
    <w:rsid w:val="2079293B"/>
    <w:rsid w:val="20803CC9"/>
    <w:rsid w:val="208732AA"/>
    <w:rsid w:val="208F215E"/>
    <w:rsid w:val="209854B7"/>
    <w:rsid w:val="209D0D1F"/>
    <w:rsid w:val="20A34F62"/>
    <w:rsid w:val="20AE4CDA"/>
    <w:rsid w:val="20B66BBF"/>
    <w:rsid w:val="20C22D60"/>
    <w:rsid w:val="20C92A4A"/>
    <w:rsid w:val="20CA13E8"/>
    <w:rsid w:val="20D9162C"/>
    <w:rsid w:val="20DB53A4"/>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736"/>
    <w:rsid w:val="21627873"/>
    <w:rsid w:val="217575A6"/>
    <w:rsid w:val="21837F15"/>
    <w:rsid w:val="218767FE"/>
    <w:rsid w:val="218D48F0"/>
    <w:rsid w:val="219236CE"/>
    <w:rsid w:val="219263AA"/>
    <w:rsid w:val="219C4B33"/>
    <w:rsid w:val="219F0AC7"/>
    <w:rsid w:val="219F2875"/>
    <w:rsid w:val="21AB2FC8"/>
    <w:rsid w:val="21E169EA"/>
    <w:rsid w:val="21E309B4"/>
    <w:rsid w:val="22093F32"/>
    <w:rsid w:val="2210107D"/>
    <w:rsid w:val="22145011"/>
    <w:rsid w:val="2216237D"/>
    <w:rsid w:val="221943D6"/>
    <w:rsid w:val="22246984"/>
    <w:rsid w:val="222B4109"/>
    <w:rsid w:val="223707E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A1E01"/>
    <w:rsid w:val="248F4E23"/>
    <w:rsid w:val="248F6BD1"/>
    <w:rsid w:val="24A24B56"/>
    <w:rsid w:val="24BD16AB"/>
    <w:rsid w:val="24BE3012"/>
    <w:rsid w:val="24C90335"/>
    <w:rsid w:val="24D32F62"/>
    <w:rsid w:val="24DE5462"/>
    <w:rsid w:val="24E11174"/>
    <w:rsid w:val="24EC4023"/>
    <w:rsid w:val="24F627AC"/>
    <w:rsid w:val="25056E93"/>
    <w:rsid w:val="25076767"/>
    <w:rsid w:val="251A03EB"/>
    <w:rsid w:val="25276E09"/>
    <w:rsid w:val="253908EB"/>
    <w:rsid w:val="25457290"/>
    <w:rsid w:val="254774AC"/>
    <w:rsid w:val="25493224"/>
    <w:rsid w:val="254E25E8"/>
    <w:rsid w:val="255816B9"/>
    <w:rsid w:val="255A0F8D"/>
    <w:rsid w:val="25740E92"/>
    <w:rsid w:val="257D4C7B"/>
    <w:rsid w:val="258C3110"/>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AA35DB"/>
    <w:rsid w:val="26AB6A4C"/>
    <w:rsid w:val="26B26BA7"/>
    <w:rsid w:val="26B96187"/>
    <w:rsid w:val="26BE58C2"/>
    <w:rsid w:val="26CA0394"/>
    <w:rsid w:val="26CC5EBA"/>
    <w:rsid w:val="26E8081A"/>
    <w:rsid w:val="26EA00EF"/>
    <w:rsid w:val="26F90805"/>
    <w:rsid w:val="26FB3ED3"/>
    <w:rsid w:val="26FE3B9A"/>
    <w:rsid w:val="27007912"/>
    <w:rsid w:val="270513CC"/>
    <w:rsid w:val="270A69E3"/>
    <w:rsid w:val="2714160F"/>
    <w:rsid w:val="272735B8"/>
    <w:rsid w:val="2729330D"/>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F561F"/>
    <w:rsid w:val="29AF73CD"/>
    <w:rsid w:val="29CA4E9C"/>
    <w:rsid w:val="29D46E34"/>
    <w:rsid w:val="29DF5F05"/>
    <w:rsid w:val="29E77A40"/>
    <w:rsid w:val="29E90B31"/>
    <w:rsid w:val="29ED41C7"/>
    <w:rsid w:val="29EF3C6E"/>
    <w:rsid w:val="29F350D2"/>
    <w:rsid w:val="29F54CD2"/>
    <w:rsid w:val="29FB151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E1836"/>
    <w:rsid w:val="2D6D3827"/>
    <w:rsid w:val="2D742E08"/>
    <w:rsid w:val="2D7D51E9"/>
    <w:rsid w:val="2D880661"/>
    <w:rsid w:val="2D8D7A26"/>
    <w:rsid w:val="2D917516"/>
    <w:rsid w:val="2D9765C8"/>
    <w:rsid w:val="2DA21F75"/>
    <w:rsid w:val="2DB120AF"/>
    <w:rsid w:val="2DB31B82"/>
    <w:rsid w:val="2DB63420"/>
    <w:rsid w:val="2DB651CE"/>
    <w:rsid w:val="2DC84F02"/>
    <w:rsid w:val="2DCA6ECC"/>
    <w:rsid w:val="2DDF4725"/>
    <w:rsid w:val="2DF83A39"/>
    <w:rsid w:val="2DFB0E33"/>
    <w:rsid w:val="2DFF6B75"/>
    <w:rsid w:val="2E0B376C"/>
    <w:rsid w:val="2E0D56A8"/>
    <w:rsid w:val="2E0E500A"/>
    <w:rsid w:val="2E2A1718"/>
    <w:rsid w:val="2E2D0A6B"/>
    <w:rsid w:val="2E361076"/>
    <w:rsid w:val="2E3C1B78"/>
    <w:rsid w:val="2E514EF7"/>
    <w:rsid w:val="2E5B7B24"/>
    <w:rsid w:val="2E5D564A"/>
    <w:rsid w:val="2E78505A"/>
    <w:rsid w:val="2E785465"/>
    <w:rsid w:val="2E861045"/>
    <w:rsid w:val="2E89643F"/>
    <w:rsid w:val="2E8C5F2F"/>
    <w:rsid w:val="2E9A4AF0"/>
    <w:rsid w:val="2EA63495"/>
    <w:rsid w:val="2EA72D69"/>
    <w:rsid w:val="2EB07E70"/>
    <w:rsid w:val="2EB23BE8"/>
    <w:rsid w:val="2ECB2EFB"/>
    <w:rsid w:val="2ECD68F7"/>
    <w:rsid w:val="2ECD6C74"/>
    <w:rsid w:val="2ECE6548"/>
    <w:rsid w:val="2ED32D39"/>
    <w:rsid w:val="2ED81174"/>
    <w:rsid w:val="2EF35FAE"/>
    <w:rsid w:val="2EFC3AB9"/>
    <w:rsid w:val="2F041F69"/>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FB3AF8"/>
    <w:rsid w:val="3200110E"/>
    <w:rsid w:val="32096215"/>
    <w:rsid w:val="32292413"/>
    <w:rsid w:val="322E5C7B"/>
    <w:rsid w:val="32454D73"/>
    <w:rsid w:val="324A05DB"/>
    <w:rsid w:val="324C7EAF"/>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160775"/>
    <w:rsid w:val="34270BD4"/>
    <w:rsid w:val="342A06C4"/>
    <w:rsid w:val="34394463"/>
    <w:rsid w:val="34473024"/>
    <w:rsid w:val="34474EA2"/>
    <w:rsid w:val="344D6161"/>
    <w:rsid w:val="345117AD"/>
    <w:rsid w:val="34545741"/>
    <w:rsid w:val="345762FD"/>
    <w:rsid w:val="3457790B"/>
    <w:rsid w:val="34692F9B"/>
    <w:rsid w:val="34763909"/>
    <w:rsid w:val="347831DE"/>
    <w:rsid w:val="349A75F8"/>
    <w:rsid w:val="349D1206"/>
    <w:rsid w:val="34AB35B3"/>
    <w:rsid w:val="34C401D1"/>
    <w:rsid w:val="34C603ED"/>
    <w:rsid w:val="34D0182D"/>
    <w:rsid w:val="34F265FD"/>
    <w:rsid w:val="34F30AB6"/>
    <w:rsid w:val="34F736BB"/>
    <w:rsid w:val="35004F81"/>
    <w:rsid w:val="35026F4B"/>
    <w:rsid w:val="352073D1"/>
    <w:rsid w:val="352769B2"/>
    <w:rsid w:val="35366BF5"/>
    <w:rsid w:val="353F1F4D"/>
    <w:rsid w:val="354D5E43"/>
    <w:rsid w:val="354D6418"/>
    <w:rsid w:val="35523A2F"/>
    <w:rsid w:val="35586B6B"/>
    <w:rsid w:val="35625367"/>
    <w:rsid w:val="356B2D42"/>
    <w:rsid w:val="3575771D"/>
    <w:rsid w:val="35777939"/>
    <w:rsid w:val="357E2A76"/>
    <w:rsid w:val="358A766C"/>
    <w:rsid w:val="3599165E"/>
    <w:rsid w:val="359A53D6"/>
    <w:rsid w:val="35B05222"/>
    <w:rsid w:val="35B75BBE"/>
    <w:rsid w:val="35BA6669"/>
    <w:rsid w:val="35BE10C4"/>
    <w:rsid w:val="35D00DF7"/>
    <w:rsid w:val="35D5640E"/>
    <w:rsid w:val="35E30B2B"/>
    <w:rsid w:val="36054F45"/>
    <w:rsid w:val="36062A6B"/>
    <w:rsid w:val="36070CBD"/>
    <w:rsid w:val="36140EF6"/>
    <w:rsid w:val="362829E1"/>
    <w:rsid w:val="36321AB2"/>
    <w:rsid w:val="363B2715"/>
    <w:rsid w:val="363D46DF"/>
    <w:rsid w:val="363E0457"/>
    <w:rsid w:val="3647730B"/>
    <w:rsid w:val="365657A0"/>
    <w:rsid w:val="365B4B65"/>
    <w:rsid w:val="366A4DA8"/>
    <w:rsid w:val="367006AF"/>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933A27"/>
    <w:rsid w:val="37A95DA4"/>
    <w:rsid w:val="37AD49B3"/>
    <w:rsid w:val="37B79502"/>
    <w:rsid w:val="37BE35FD"/>
    <w:rsid w:val="37BF2ED1"/>
    <w:rsid w:val="37CF1BCD"/>
    <w:rsid w:val="37D526F5"/>
    <w:rsid w:val="37D72DA0"/>
    <w:rsid w:val="37E40B8A"/>
    <w:rsid w:val="37EE37B7"/>
    <w:rsid w:val="37F60FE9"/>
    <w:rsid w:val="37FC2378"/>
    <w:rsid w:val="37FE1C4C"/>
    <w:rsid w:val="3819749D"/>
    <w:rsid w:val="381E409C"/>
    <w:rsid w:val="382D0232"/>
    <w:rsid w:val="38355AD3"/>
    <w:rsid w:val="38392C84"/>
    <w:rsid w:val="384358B1"/>
    <w:rsid w:val="384743E1"/>
    <w:rsid w:val="384F24A7"/>
    <w:rsid w:val="385E093C"/>
    <w:rsid w:val="38656D70"/>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F5292"/>
    <w:rsid w:val="390F1C37"/>
    <w:rsid w:val="39184F8F"/>
    <w:rsid w:val="39194863"/>
    <w:rsid w:val="391F631E"/>
    <w:rsid w:val="392A6A70"/>
    <w:rsid w:val="393873DF"/>
    <w:rsid w:val="393F42CA"/>
    <w:rsid w:val="394A2C6F"/>
    <w:rsid w:val="394C4C39"/>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6C5593"/>
    <w:rsid w:val="3A751F6D"/>
    <w:rsid w:val="3A8A77C7"/>
    <w:rsid w:val="3A8D72B7"/>
    <w:rsid w:val="3A8F302F"/>
    <w:rsid w:val="3A8F74D3"/>
    <w:rsid w:val="3AA40859"/>
    <w:rsid w:val="3AA54601"/>
    <w:rsid w:val="3AB331C1"/>
    <w:rsid w:val="3AB43149"/>
    <w:rsid w:val="3AB64A60"/>
    <w:rsid w:val="3AC56F65"/>
    <w:rsid w:val="3AD924FC"/>
    <w:rsid w:val="3ADD1FEC"/>
    <w:rsid w:val="3AF64E5C"/>
    <w:rsid w:val="3AFB2473"/>
    <w:rsid w:val="3B057795"/>
    <w:rsid w:val="3B084B8F"/>
    <w:rsid w:val="3B1B2B15"/>
    <w:rsid w:val="3B231C82"/>
    <w:rsid w:val="3B3D2A8B"/>
    <w:rsid w:val="3B5878C5"/>
    <w:rsid w:val="3B5B5607"/>
    <w:rsid w:val="3B5E2A01"/>
    <w:rsid w:val="3B5F50F7"/>
    <w:rsid w:val="3B7A783B"/>
    <w:rsid w:val="3B9603ED"/>
    <w:rsid w:val="3BA246F5"/>
    <w:rsid w:val="3BA5384D"/>
    <w:rsid w:val="3BA66882"/>
    <w:rsid w:val="3BAA1905"/>
    <w:rsid w:val="3BC13EFA"/>
    <w:rsid w:val="3BC1546A"/>
    <w:rsid w:val="3BC52C95"/>
    <w:rsid w:val="3BC767F9"/>
    <w:rsid w:val="3BCF4FEC"/>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20E5A"/>
    <w:rsid w:val="3C7C5835"/>
    <w:rsid w:val="3C834E15"/>
    <w:rsid w:val="3C8841DA"/>
    <w:rsid w:val="3C90308E"/>
    <w:rsid w:val="3CA37266"/>
    <w:rsid w:val="3CBA010B"/>
    <w:rsid w:val="3CBE7BFC"/>
    <w:rsid w:val="3CC86CCC"/>
    <w:rsid w:val="3CE07B72"/>
    <w:rsid w:val="3CF3617C"/>
    <w:rsid w:val="3CF61143"/>
    <w:rsid w:val="3CFB0E50"/>
    <w:rsid w:val="3D037D04"/>
    <w:rsid w:val="3D073351"/>
    <w:rsid w:val="3D17730C"/>
    <w:rsid w:val="3D1D0DC6"/>
    <w:rsid w:val="3D202664"/>
    <w:rsid w:val="3D204412"/>
    <w:rsid w:val="3D2263DC"/>
    <w:rsid w:val="3D2A703F"/>
    <w:rsid w:val="3D3A1978"/>
    <w:rsid w:val="3D402D06"/>
    <w:rsid w:val="3D424389"/>
    <w:rsid w:val="3D5F13DF"/>
    <w:rsid w:val="3D5F318D"/>
    <w:rsid w:val="3D632551"/>
    <w:rsid w:val="3D6C7658"/>
    <w:rsid w:val="3D793B23"/>
    <w:rsid w:val="3D85696B"/>
    <w:rsid w:val="3D8A5D30"/>
    <w:rsid w:val="3D9904B2"/>
    <w:rsid w:val="3D9F17DB"/>
    <w:rsid w:val="3DB42DAD"/>
    <w:rsid w:val="3DB72FC9"/>
    <w:rsid w:val="3DB83658"/>
    <w:rsid w:val="3DCB25D0"/>
    <w:rsid w:val="3DD82F3F"/>
    <w:rsid w:val="3DE25D39"/>
    <w:rsid w:val="3DE47B36"/>
    <w:rsid w:val="3DE54A23"/>
    <w:rsid w:val="3DE641E3"/>
    <w:rsid w:val="3DEE4511"/>
    <w:rsid w:val="3DF36E8B"/>
    <w:rsid w:val="3DFE0BF8"/>
    <w:rsid w:val="3E09759C"/>
    <w:rsid w:val="3E0C4997"/>
    <w:rsid w:val="3E155F41"/>
    <w:rsid w:val="3E1675C3"/>
    <w:rsid w:val="3E1877DF"/>
    <w:rsid w:val="3E2E7003"/>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C314F9"/>
    <w:rsid w:val="3EC60FE9"/>
    <w:rsid w:val="3ECD4126"/>
    <w:rsid w:val="3ECF7E9E"/>
    <w:rsid w:val="3ED069D1"/>
    <w:rsid w:val="3EE66096"/>
    <w:rsid w:val="3EF20030"/>
    <w:rsid w:val="3EF75D33"/>
    <w:rsid w:val="3F0071E4"/>
    <w:rsid w:val="3F0833B0"/>
    <w:rsid w:val="3F2006FA"/>
    <w:rsid w:val="3F214472"/>
    <w:rsid w:val="3F2D2E17"/>
    <w:rsid w:val="3F3453F5"/>
    <w:rsid w:val="3F43088C"/>
    <w:rsid w:val="3F446ADE"/>
    <w:rsid w:val="3F52287D"/>
    <w:rsid w:val="3F555260"/>
    <w:rsid w:val="3F5C5A01"/>
    <w:rsid w:val="3F626F64"/>
    <w:rsid w:val="3F634A8A"/>
    <w:rsid w:val="3F6F34C7"/>
    <w:rsid w:val="3F7647BE"/>
    <w:rsid w:val="3F9B5FD2"/>
    <w:rsid w:val="3FA23805"/>
    <w:rsid w:val="3FA330D9"/>
    <w:rsid w:val="3FA56E51"/>
    <w:rsid w:val="3FB62E0C"/>
    <w:rsid w:val="3FB928FC"/>
    <w:rsid w:val="3FBB0422"/>
    <w:rsid w:val="3FBD063E"/>
    <w:rsid w:val="3FBF5061"/>
    <w:rsid w:val="3FC7643C"/>
    <w:rsid w:val="3FCE63A8"/>
    <w:rsid w:val="3FD17C46"/>
    <w:rsid w:val="3FDD65EB"/>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110C42"/>
    <w:rsid w:val="41126768"/>
    <w:rsid w:val="4114603C"/>
    <w:rsid w:val="411E6EBB"/>
    <w:rsid w:val="41200631"/>
    <w:rsid w:val="41202C33"/>
    <w:rsid w:val="412C782A"/>
    <w:rsid w:val="413D1A37"/>
    <w:rsid w:val="414C43D2"/>
    <w:rsid w:val="41636FC4"/>
    <w:rsid w:val="416A0352"/>
    <w:rsid w:val="41720FB5"/>
    <w:rsid w:val="417967E7"/>
    <w:rsid w:val="41A2189A"/>
    <w:rsid w:val="41A90E7A"/>
    <w:rsid w:val="41AA4BF2"/>
    <w:rsid w:val="41B065D4"/>
    <w:rsid w:val="41CE268F"/>
    <w:rsid w:val="41D63C39"/>
    <w:rsid w:val="41EC6FB9"/>
    <w:rsid w:val="41F25A6B"/>
    <w:rsid w:val="41F93484"/>
    <w:rsid w:val="41FB71FC"/>
    <w:rsid w:val="421C4B1A"/>
    <w:rsid w:val="42293D69"/>
    <w:rsid w:val="422C3859"/>
    <w:rsid w:val="423F358D"/>
    <w:rsid w:val="4249440B"/>
    <w:rsid w:val="4255690C"/>
    <w:rsid w:val="42862F6A"/>
    <w:rsid w:val="42980EEF"/>
    <w:rsid w:val="42982C9D"/>
    <w:rsid w:val="42AC04F6"/>
    <w:rsid w:val="42C341BE"/>
    <w:rsid w:val="42C41CE4"/>
    <w:rsid w:val="42C817D4"/>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947908"/>
    <w:rsid w:val="43994F1E"/>
    <w:rsid w:val="43CD4BC8"/>
    <w:rsid w:val="43D41FF2"/>
    <w:rsid w:val="43DE0B83"/>
    <w:rsid w:val="44000AFA"/>
    <w:rsid w:val="44030670"/>
    <w:rsid w:val="440700DA"/>
    <w:rsid w:val="4407632C"/>
    <w:rsid w:val="44103433"/>
    <w:rsid w:val="44114AB5"/>
    <w:rsid w:val="442742D8"/>
    <w:rsid w:val="442C18EF"/>
    <w:rsid w:val="442C5D93"/>
    <w:rsid w:val="443F17DC"/>
    <w:rsid w:val="445157F9"/>
    <w:rsid w:val="445350CD"/>
    <w:rsid w:val="44586B88"/>
    <w:rsid w:val="44590A02"/>
    <w:rsid w:val="44654E01"/>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A60D4"/>
    <w:rsid w:val="450D34CE"/>
    <w:rsid w:val="45124F88"/>
    <w:rsid w:val="45154A79"/>
    <w:rsid w:val="452D591E"/>
    <w:rsid w:val="452F5B3A"/>
    <w:rsid w:val="453E3FCF"/>
    <w:rsid w:val="45443838"/>
    <w:rsid w:val="454D7D6F"/>
    <w:rsid w:val="45525385"/>
    <w:rsid w:val="455E1059"/>
    <w:rsid w:val="455E1F7C"/>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F5BAF"/>
    <w:rsid w:val="46252D4D"/>
    <w:rsid w:val="463D7DE3"/>
    <w:rsid w:val="464C0026"/>
    <w:rsid w:val="464C6278"/>
    <w:rsid w:val="464E0242"/>
    <w:rsid w:val="464F1744"/>
    <w:rsid w:val="46623CEE"/>
    <w:rsid w:val="468C3F03"/>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503B46"/>
    <w:rsid w:val="475353E4"/>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A67E7"/>
    <w:rsid w:val="48502504"/>
    <w:rsid w:val="4851401A"/>
    <w:rsid w:val="485D29BF"/>
    <w:rsid w:val="4862144E"/>
    <w:rsid w:val="486A50DB"/>
    <w:rsid w:val="48802C4C"/>
    <w:rsid w:val="48825F81"/>
    <w:rsid w:val="489108B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823B3"/>
    <w:rsid w:val="4A08695A"/>
    <w:rsid w:val="4A126880"/>
    <w:rsid w:val="4A143551"/>
    <w:rsid w:val="4A1732CA"/>
    <w:rsid w:val="4A174DEF"/>
    <w:rsid w:val="4A3E5581"/>
    <w:rsid w:val="4A4110E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A61C7A"/>
    <w:rsid w:val="4AA77F21"/>
    <w:rsid w:val="4AB368C6"/>
    <w:rsid w:val="4ABD7744"/>
    <w:rsid w:val="4AC26B09"/>
    <w:rsid w:val="4ADB7BCB"/>
    <w:rsid w:val="4AE143EB"/>
    <w:rsid w:val="4AEB2504"/>
    <w:rsid w:val="4AF43755"/>
    <w:rsid w:val="4AF55130"/>
    <w:rsid w:val="4AFD2237"/>
    <w:rsid w:val="4B045373"/>
    <w:rsid w:val="4B0B1F4A"/>
    <w:rsid w:val="4B125CE2"/>
    <w:rsid w:val="4B133808"/>
    <w:rsid w:val="4B1530DD"/>
    <w:rsid w:val="4B2B2900"/>
    <w:rsid w:val="4B3612A5"/>
    <w:rsid w:val="4B38326F"/>
    <w:rsid w:val="4B3D0885"/>
    <w:rsid w:val="4B3F0159"/>
    <w:rsid w:val="4B46598C"/>
    <w:rsid w:val="4B5A31E5"/>
    <w:rsid w:val="4B5C51AF"/>
    <w:rsid w:val="4B5F07FC"/>
    <w:rsid w:val="4B663938"/>
    <w:rsid w:val="4B6A3DF6"/>
    <w:rsid w:val="4B7F0E9E"/>
    <w:rsid w:val="4B8464B4"/>
    <w:rsid w:val="4B8E10E1"/>
    <w:rsid w:val="4B95421D"/>
    <w:rsid w:val="4B991A63"/>
    <w:rsid w:val="4BA319B6"/>
    <w:rsid w:val="4BA426B2"/>
    <w:rsid w:val="4BBE3774"/>
    <w:rsid w:val="4BC114B6"/>
    <w:rsid w:val="4BC62629"/>
    <w:rsid w:val="4BED5E07"/>
    <w:rsid w:val="4BFE1DC3"/>
    <w:rsid w:val="4C2638A5"/>
    <w:rsid w:val="4C3B3017"/>
    <w:rsid w:val="4C3D6D8F"/>
    <w:rsid w:val="4C5440D8"/>
    <w:rsid w:val="4C574A64"/>
    <w:rsid w:val="4C6267F5"/>
    <w:rsid w:val="4C651E42"/>
    <w:rsid w:val="4C6F4A6E"/>
    <w:rsid w:val="4C6F4AF2"/>
    <w:rsid w:val="4C7B3413"/>
    <w:rsid w:val="4CA54934"/>
    <w:rsid w:val="4CAC5CC3"/>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03D5"/>
    <w:rsid w:val="4D423F31"/>
    <w:rsid w:val="4D445EFB"/>
    <w:rsid w:val="4D5325E2"/>
    <w:rsid w:val="4D5A127B"/>
    <w:rsid w:val="4D5B25F7"/>
    <w:rsid w:val="4D775534"/>
    <w:rsid w:val="4D785BA5"/>
    <w:rsid w:val="4D866514"/>
    <w:rsid w:val="4D875DE8"/>
    <w:rsid w:val="4D9264EE"/>
    <w:rsid w:val="4D9549A9"/>
    <w:rsid w:val="4DA1334D"/>
    <w:rsid w:val="4DA62712"/>
    <w:rsid w:val="4DA900E3"/>
    <w:rsid w:val="4DB0533F"/>
    <w:rsid w:val="4DC82688"/>
    <w:rsid w:val="4DD059E1"/>
    <w:rsid w:val="4DED20EF"/>
    <w:rsid w:val="4DF81A75"/>
    <w:rsid w:val="4E04568A"/>
    <w:rsid w:val="4E094A4F"/>
    <w:rsid w:val="4E11734B"/>
    <w:rsid w:val="4E183C1F"/>
    <w:rsid w:val="4E2A50F1"/>
    <w:rsid w:val="4E2B2C17"/>
    <w:rsid w:val="4E345F70"/>
    <w:rsid w:val="4E367AF4"/>
    <w:rsid w:val="4E4B32B9"/>
    <w:rsid w:val="4E5E4D9B"/>
    <w:rsid w:val="4E720846"/>
    <w:rsid w:val="4E7B3B9E"/>
    <w:rsid w:val="4E824F2D"/>
    <w:rsid w:val="4E984750"/>
    <w:rsid w:val="4E99094C"/>
    <w:rsid w:val="4EA76741"/>
    <w:rsid w:val="4EBA13D7"/>
    <w:rsid w:val="4EBD41B7"/>
    <w:rsid w:val="4EC15329"/>
    <w:rsid w:val="4EC92B5C"/>
    <w:rsid w:val="4ECF5F29"/>
    <w:rsid w:val="4EDE5EDB"/>
    <w:rsid w:val="4EE2777A"/>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F7658"/>
    <w:rsid w:val="4FE37716"/>
    <w:rsid w:val="4FE569C5"/>
    <w:rsid w:val="4FF9121F"/>
    <w:rsid w:val="4FFF435B"/>
    <w:rsid w:val="4FFFB71E"/>
    <w:rsid w:val="500D0826"/>
    <w:rsid w:val="50120532"/>
    <w:rsid w:val="501C315F"/>
    <w:rsid w:val="502C3AFD"/>
    <w:rsid w:val="503009B9"/>
    <w:rsid w:val="503F29AA"/>
    <w:rsid w:val="505521CD"/>
    <w:rsid w:val="50615016"/>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54EF3"/>
    <w:rsid w:val="50EF43D0"/>
    <w:rsid w:val="51053BF3"/>
    <w:rsid w:val="51121E6C"/>
    <w:rsid w:val="51145BE4"/>
    <w:rsid w:val="5119769F"/>
    <w:rsid w:val="511A58F1"/>
    <w:rsid w:val="511B51C5"/>
    <w:rsid w:val="512027DB"/>
    <w:rsid w:val="512247A5"/>
    <w:rsid w:val="514364CA"/>
    <w:rsid w:val="515626A1"/>
    <w:rsid w:val="51600E2A"/>
    <w:rsid w:val="51621046"/>
    <w:rsid w:val="517D7C2E"/>
    <w:rsid w:val="5181340F"/>
    <w:rsid w:val="518666E1"/>
    <w:rsid w:val="518C7E71"/>
    <w:rsid w:val="51A96C75"/>
    <w:rsid w:val="51B82A14"/>
    <w:rsid w:val="51BF1FF4"/>
    <w:rsid w:val="51CC64BF"/>
    <w:rsid w:val="51D75590"/>
    <w:rsid w:val="51DB6702"/>
    <w:rsid w:val="51DC4954"/>
    <w:rsid w:val="51E43809"/>
    <w:rsid w:val="51F021AD"/>
    <w:rsid w:val="51FE0D6E"/>
    <w:rsid w:val="520F3E01"/>
    <w:rsid w:val="522B58DB"/>
    <w:rsid w:val="52383B54"/>
    <w:rsid w:val="52391DA6"/>
    <w:rsid w:val="523E560F"/>
    <w:rsid w:val="52650DED"/>
    <w:rsid w:val="526D1A50"/>
    <w:rsid w:val="52733F35"/>
    <w:rsid w:val="52742DDF"/>
    <w:rsid w:val="52884ADC"/>
    <w:rsid w:val="528F7C18"/>
    <w:rsid w:val="529214B7"/>
    <w:rsid w:val="52952D55"/>
    <w:rsid w:val="529A036B"/>
    <w:rsid w:val="529E60AD"/>
    <w:rsid w:val="52B70F1D"/>
    <w:rsid w:val="52B7716F"/>
    <w:rsid w:val="52BC4786"/>
    <w:rsid w:val="52CC2C1B"/>
    <w:rsid w:val="52D01FDF"/>
    <w:rsid w:val="52D90E94"/>
    <w:rsid w:val="52E837CD"/>
    <w:rsid w:val="52F21F55"/>
    <w:rsid w:val="53161886"/>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7916"/>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0851"/>
    <w:rsid w:val="5498646D"/>
    <w:rsid w:val="549C486F"/>
    <w:rsid w:val="54A35BFD"/>
    <w:rsid w:val="54AB4AB2"/>
    <w:rsid w:val="54AD4386"/>
    <w:rsid w:val="54B5148C"/>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950DA"/>
    <w:rsid w:val="554F7B33"/>
    <w:rsid w:val="55540CA5"/>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75D8C"/>
    <w:rsid w:val="57010267"/>
    <w:rsid w:val="570861EB"/>
    <w:rsid w:val="57087F99"/>
    <w:rsid w:val="57122BC6"/>
    <w:rsid w:val="5717642E"/>
    <w:rsid w:val="57193F55"/>
    <w:rsid w:val="572A7F10"/>
    <w:rsid w:val="573174F0"/>
    <w:rsid w:val="574B7E86"/>
    <w:rsid w:val="574C432A"/>
    <w:rsid w:val="574D00A2"/>
    <w:rsid w:val="574D281E"/>
    <w:rsid w:val="575B2E67"/>
    <w:rsid w:val="575B631B"/>
    <w:rsid w:val="575E3BD8"/>
    <w:rsid w:val="5765719A"/>
    <w:rsid w:val="57750CCB"/>
    <w:rsid w:val="577613A7"/>
    <w:rsid w:val="577B076B"/>
    <w:rsid w:val="57882E88"/>
    <w:rsid w:val="578C4726"/>
    <w:rsid w:val="578D049F"/>
    <w:rsid w:val="578E141B"/>
    <w:rsid w:val="57914433"/>
    <w:rsid w:val="5792138F"/>
    <w:rsid w:val="5797131D"/>
    <w:rsid w:val="5798756F"/>
    <w:rsid w:val="579E445A"/>
    <w:rsid w:val="57A777B2"/>
    <w:rsid w:val="57AF2B0B"/>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71852"/>
    <w:rsid w:val="58CE0D6F"/>
    <w:rsid w:val="58CF4005"/>
    <w:rsid w:val="58D12233"/>
    <w:rsid w:val="58D2085F"/>
    <w:rsid w:val="58D26AB1"/>
    <w:rsid w:val="58D520FD"/>
    <w:rsid w:val="58DC4843"/>
    <w:rsid w:val="58E97BDF"/>
    <w:rsid w:val="58F85DEC"/>
    <w:rsid w:val="58FC3B2E"/>
    <w:rsid w:val="591013C5"/>
    <w:rsid w:val="59413C36"/>
    <w:rsid w:val="594415A8"/>
    <w:rsid w:val="59480B21"/>
    <w:rsid w:val="59486D73"/>
    <w:rsid w:val="594A4899"/>
    <w:rsid w:val="59514814"/>
    <w:rsid w:val="595C45CC"/>
    <w:rsid w:val="5985664C"/>
    <w:rsid w:val="598853C1"/>
    <w:rsid w:val="59961EAF"/>
    <w:rsid w:val="59A10231"/>
    <w:rsid w:val="59A3044D"/>
    <w:rsid w:val="59A87812"/>
    <w:rsid w:val="59B44408"/>
    <w:rsid w:val="59BE5287"/>
    <w:rsid w:val="59C12681"/>
    <w:rsid w:val="59C52172"/>
    <w:rsid w:val="59C81C62"/>
    <w:rsid w:val="59CC1752"/>
    <w:rsid w:val="59D35246"/>
    <w:rsid w:val="59D40607"/>
    <w:rsid w:val="59DB1995"/>
    <w:rsid w:val="59DD395F"/>
    <w:rsid w:val="59E36A9C"/>
    <w:rsid w:val="59EA32C6"/>
    <w:rsid w:val="59F1740B"/>
    <w:rsid w:val="5A24333C"/>
    <w:rsid w:val="5A250E62"/>
    <w:rsid w:val="5A26728B"/>
    <w:rsid w:val="5A272E2C"/>
    <w:rsid w:val="5A312944"/>
    <w:rsid w:val="5A3A3C09"/>
    <w:rsid w:val="5A3D7F5A"/>
    <w:rsid w:val="5A47527D"/>
    <w:rsid w:val="5A4C2893"/>
    <w:rsid w:val="5A5A4FB0"/>
    <w:rsid w:val="5A690D4F"/>
    <w:rsid w:val="5A7B6CD4"/>
    <w:rsid w:val="5A7F2016"/>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81031A"/>
    <w:rsid w:val="5BA02E96"/>
    <w:rsid w:val="5BA74225"/>
    <w:rsid w:val="5BAA5AC3"/>
    <w:rsid w:val="5BB57E26"/>
    <w:rsid w:val="5BBA55DA"/>
    <w:rsid w:val="5BC14BBB"/>
    <w:rsid w:val="5BD14DFE"/>
    <w:rsid w:val="5BD60666"/>
    <w:rsid w:val="5BDD4CB8"/>
    <w:rsid w:val="5BE9DEFC"/>
    <w:rsid w:val="5BEFDC09"/>
    <w:rsid w:val="5BF40AEC"/>
    <w:rsid w:val="5C07081F"/>
    <w:rsid w:val="5C0827EA"/>
    <w:rsid w:val="5C0F3B78"/>
    <w:rsid w:val="5C0F7357"/>
    <w:rsid w:val="5C115B42"/>
    <w:rsid w:val="5C163158"/>
    <w:rsid w:val="5C1D0043"/>
    <w:rsid w:val="5C2209C9"/>
    <w:rsid w:val="5C246A34"/>
    <w:rsid w:val="5C2A2760"/>
    <w:rsid w:val="5C2E0916"/>
    <w:rsid w:val="5C3F445D"/>
    <w:rsid w:val="5C447CC6"/>
    <w:rsid w:val="5C4557EC"/>
    <w:rsid w:val="5C5D2B35"/>
    <w:rsid w:val="5C606182"/>
    <w:rsid w:val="5C643EC4"/>
    <w:rsid w:val="5C6C4B26"/>
    <w:rsid w:val="5C715907"/>
    <w:rsid w:val="5C8C6E54"/>
    <w:rsid w:val="5C9D2F32"/>
    <w:rsid w:val="5CA22C3E"/>
    <w:rsid w:val="5CA37F26"/>
    <w:rsid w:val="5CBD35D4"/>
    <w:rsid w:val="5CBF10FA"/>
    <w:rsid w:val="5CC130C4"/>
    <w:rsid w:val="5CD03307"/>
    <w:rsid w:val="5CD54DC2"/>
    <w:rsid w:val="5CDF3C0D"/>
    <w:rsid w:val="5CE11E1A"/>
    <w:rsid w:val="5CFF9DD8"/>
    <w:rsid w:val="5D0631CD"/>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82230"/>
    <w:rsid w:val="5DCF1811"/>
    <w:rsid w:val="5DE52DE2"/>
    <w:rsid w:val="5DEA21A7"/>
    <w:rsid w:val="5DF03535"/>
    <w:rsid w:val="5DF2592E"/>
    <w:rsid w:val="5DF43025"/>
    <w:rsid w:val="5DF52041"/>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BB5416"/>
    <w:rsid w:val="5EBF1885"/>
    <w:rsid w:val="5EC7073A"/>
    <w:rsid w:val="5EC944B2"/>
    <w:rsid w:val="5ECF75EF"/>
    <w:rsid w:val="5ED6097D"/>
    <w:rsid w:val="5EDA6373"/>
    <w:rsid w:val="5EDF528B"/>
    <w:rsid w:val="5EDF7832"/>
    <w:rsid w:val="5EE96902"/>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C1162D"/>
    <w:rsid w:val="5FC627A0"/>
    <w:rsid w:val="5FE33352"/>
    <w:rsid w:val="5FE84E0C"/>
    <w:rsid w:val="5FED06E7"/>
    <w:rsid w:val="5FF217E7"/>
    <w:rsid w:val="5FFE018B"/>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8763E0"/>
    <w:rsid w:val="60932FCA"/>
    <w:rsid w:val="6099330B"/>
    <w:rsid w:val="609E54CA"/>
    <w:rsid w:val="60A32465"/>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F54D2"/>
    <w:rsid w:val="6152499D"/>
    <w:rsid w:val="616D55B0"/>
    <w:rsid w:val="6171498D"/>
    <w:rsid w:val="61750921"/>
    <w:rsid w:val="617F70AA"/>
    <w:rsid w:val="618B5A4F"/>
    <w:rsid w:val="61952D71"/>
    <w:rsid w:val="61960094"/>
    <w:rsid w:val="61992DEB"/>
    <w:rsid w:val="61B551C2"/>
    <w:rsid w:val="61C62F2B"/>
    <w:rsid w:val="61E11B13"/>
    <w:rsid w:val="61F91B31"/>
    <w:rsid w:val="620360F1"/>
    <w:rsid w:val="620852F1"/>
    <w:rsid w:val="62206ADF"/>
    <w:rsid w:val="62210161"/>
    <w:rsid w:val="622F5DD8"/>
    <w:rsid w:val="6239194F"/>
    <w:rsid w:val="623C3C66"/>
    <w:rsid w:val="623E6F65"/>
    <w:rsid w:val="624C1682"/>
    <w:rsid w:val="625C73EB"/>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C3D00"/>
    <w:rsid w:val="63A92B04"/>
    <w:rsid w:val="63B03E93"/>
    <w:rsid w:val="63B379DE"/>
    <w:rsid w:val="63C4349A"/>
    <w:rsid w:val="63C90776"/>
    <w:rsid w:val="63CF5B8B"/>
    <w:rsid w:val="63E92F01"/>
    <w:rsid w:val="63ED479F"/>
    <w:rsid w:val="63FB4653"/>
    <w:rsid w:val="63FE4BFE"/>
    <w:rsid w:val="64041AE8"/>
    <w:rsid w:val="640970FF"/>
    <w:rsid w:val="640F6E0B"/>
    <w:rsid w:val="64136A11"/>
    <w:rsid w:val="641E2BAA"/>
    <w:rsid w:val="641E704E"/>
    <w:rsid w:val="643C74D4"/>
    <w:rsid w:val="64405216"/>
    <w:rsid w:val="6449399F"/>
    <w:rsid w:val="645C36D2"/>
    <w:rsid w:val="64656A2B"/>
    <w:rsid w:val="646A5DEF"/>
    <w:rsid w:val="646D768E"/>
    <w:rsid w:val="647D49FA"/>
    <w:rsid w:val="64836EB1"/>
    <w:rsid w:val="648A6492"/>
    <w:rsid w:val="648B0FAA"/>
    <w:rsid w:val="64915A72"/>
    <w:rsid w:val="64925346"/>
    <w:rsid w:val="64AF414A"/>
    <w:rsid w:val="64B11C70"/>
    <w:rsid w:val="64B96D77"/>
    <w:rsid w:val="64CF659A"/>
    <w:rsid w:val="64D63485"/>
    <w:rsid w:val="64DB0A9B"/>
    <w:rsid w:val="64F97173"/>
    <w:rsid w:val="64FD3107"/>
    <w:rsid w:val="65046244"/>
    <w:rsid w:val="650A1380"/>
    <w:rsid w:val="650F4BE9"/>
    <w:rsid w:val="65120EC6"/>
    <w:rsid w:val="651B17E0"/>
    <w:rsid w:val="651F5233"/>
    <w:rsid w:val="652A37D1"/>
    <w:rsid w:val="653603C7"/>
    <w:rsid w:val="65475AD8"/>
    <w:rsid w:val="65476131"/>
    <w:rsid w:val="65646CE3"/>
    <w:rsid w:val="656F7435"/>
    <w:rsid w:val="657449B3"/>
    <w:rsid w:val="65801643"/>
    <w:rsid w:val="658C1FA6"/>
    <w:rsid w:val="659770B8"/>
    <w:rsid w:val="65982E30"/>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AD290B"/>
    <w:rsid w:val="66D24F47"/>
    <w:rsid w:val="66D439F4"/>
    <w:rsid w:val="66DB4D83"/>
    <w:rsid w:val="670818F0"/>
    <w:rsid w:val="671D5367"/>
    <w:rsid w:val="67206C39"/>
    <w:rsid w:val="6727621A"/>
    <w:rsid w:val="672D1356"/>
    <w:rsid w:val="672F3320"/>
    <w:rsid w:val="67380427"/>
    <w:rsid w:val="673E3563"/>
    <w:rsid w:val="67542D87"/>
    <w:rsid w:val="67672ABA"/>
    <w:rsid w:val="677925CA"/>
    <w:rsid w:val="678E44EB"/>
    <w:rsid w:val="67917B37"/>
    <w:rsid w:val="679D028A"/>
    <w:rsid w:val="679D64DC"/>
    <w:rsid w:val="67A07D7A"/>
    <w:rsid w:val="67A7300C"/>
    <w:rsid w:val="67A7735B"/>
    <w:rsid w:val="67AB6E4B"/>
    <w:rsid w:val="67BD6B7E"/>
    <w:rsid w:val="67C1041C"/>
    <w:rsid w:val="67CA7195"/>
    <w:rsid w:val="67EE4F89"/>
    <w:rsid w:val="67F02AB0"/>
    <w:rsid w:val="68182006"/>
    <w:rsid w:val="681A3FD0"/>
    <w:rsid w:val="681F5143"/>
    <w:rsid w:val="682409AB"/>
    <w:rsid w:val="6837248C"/>
    <w:rsid w:val="683926A8"/>
    <w:rsid w:val="683F3A37"/>
    <w:rsid w:val="684B23DC"/>
    <w:rsid w:val="687234C5"/>
    <w:rsid w:val="68757499"/>
    <w:rsid w:val="687A681D"/>
    <w:rsid w:val="68833924"/>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26A56"/>
    <w:rsid w:val="691C1682"/>
    <w:rsid w:val="6922313D"/>
    <w:rsid w:val="692A0243"/>
    <w:rsid w:val="693009CF"/>
    <w:rsid w:val="69360996"/>
    <w:rsid w:val="694675AC"/>
    <w:rsid w:val="694D1762"/>
    <w:rsid w:val="695157D0"/>
    <w:rsid w:val="696077C1"/>
    <w:rsid w:val="697B45FB"/>
    <w:rsid w:val="69807E63"/>
    <w:rsid w:val="6983666A"/>
    <w:rsid w:val="698C2CAC"/>
    <w:rsid w:val="698E1A1B"/>
    <w:rsid w:val="698E2580"/>
    <w:rsid w:val="69901D8C"/>
    <w:rsid w:val="69965520"/>
    <w:rsid w:val="69982374"/>
    <w:rsid w:val="69A974F1"/>
    <w:rsid w:val="69B95123"/>
    <w:rsid w:val="69C47F26"/>
    <w:rsid w:val="69CA10DE"/>
    <w:rsid w:val="69D41F5D"/>
    <w:rsid w:val="69DB153D"/>
    <w:rsid w:val="69DC778F"/>
    <w:rsid w:val="69DD7064"/>
    <w:rsid w:val="69E2467A"/>
    <w:rsid w:val="69E55F18"/>
    <w:rsid w:val="69E7596B"/>
    <w:rsid w:val="69EC374B"/>
    <w:rsid w:val="69FF27F4"/>
    <w:rsid w:val="6A034602"/>
    <w:rsid w:val="6A1707C7"/>
    <w:rsid w:val="6A1A3E14"/>
    <w:rsid w:val="6A375BE2"/>
    <w:rsid w:val="6A3D3FA6"/>
    <w:rsid w:val="6A4B0471"/>
    <w:rsid w:val="6A5F5CCB"/>
    <w:rsid w:val="6A6652AB"/>
    <w:rsid w:val="6A6E23B2"/>
    <w:rsid w:val="6A6E4160"/>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D1BCA"/>
    <w:rsid w:val="6B11688B"/>
    <w:rsid w:val="6B1F4881"/>
    <w:rsid w:val="6B217424"/>
    <w:rsid w:val="6B3709F5"/>
    <w:rsid w:val="6B3929BF"/>
    <w:rsid w:val="6B431148"/>
    <w:rsid w:val="6B454EC0"/>
    <w:rsid w:val="6B4718D4"/>
    <w:rsid w:val="6B4C44A1"/>
    <w:rsid w:val="6B513865"/>
    <w:rsid w:val="6B572E46"/>
    <w:rsid w:val="6B6932A5"/>
    <w:rsid w:val="6B735ED1"/>
    <w:rsid w:val="6B841E8D"/>
    <w:rsid w:val="6B851761"/>
    <w:rsid w:val="6B881251"/>
    <w:rsid w:val="6B8A4FC9"/>
    <w:rsid w:val="6B9145AA"/>
    <w:rsid w:val="6B95409A"/>
    <w:rsid w:val="6B9B0F84"/>
    <w:rsid w:val="6B9E2823"/>
    <w:rsid w:val="6BAE515B"/>
    <w:rsid w:val="6BB42046"/>
    <w:rsid w:val="6BC04E8F"/>
    <w:rsid w:val="6BC71D79"/>
    <w:rsid w:val="6BCB7ABB"/>
    <w:rsid w:val="6BD44496"/>
    <w:rsid w:val="6BDA7CFF"/>
    <w:rsid w:val="6BE0108D"/>
    <w:rsid w:val="6BEF307E"/>
    <w:rsid w:val="6BF1329A"/>
    <w:rsid w:val="6BF608B1"/>
    <w:rsid w:val="6BF6440D"/>
    <w:rsid w:val="6BFA7F30"/>
    <w:rsid w:val="6BFD1C3F"/>
    <w:rsid w:val="6C044D7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9B541E"/>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723F67"/>
    <w:rsid w:val="6D747CDF"/>
    <w:rsid w:val="6D88378A"/>
    <w:rsid w:val="6D8A7502"/>
    <w:rsid w:val="6DA265FA"/>
    <w:rsid w:val="6DA305C4"/>
    <w:rsid w:val="6DA5433C"/>
    <w:rsid w:val="6DAD4F9F"/>
    <w:rsid w:val="6DB14A8F"/>
    <w:rsid w:val="6DB4632D"/>
    <w:rsid w:val="6DCE3893"/>
    <w:rsid w:val="6DD4077E"/>
    <w:rsid w:val="6DD62748"/>
    <w:rsid w:val="6DD7112A"/>
    <w:rsid w:val="6DDD7632"/>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781A51"/>
    <w:rsid w:val="6E8E4DD0"/>
    <w:rsid w:val="6E935726"/>
    <w:rsid w:val="6EA91421"/>
    <w:rsid w:val="6EAA3BD8"/>
    <w:rsid w:val="6EBA6930"/>
    <w:rsid w:val="6EBC36EB"/>
    <w:rsid w:val="6ED0363B"/>
    <w:rsid w:val="6ED5773E"/>
    <w:rsid w:val="6ED722D3"/>
    <w:rsid w:val="6ED8604B"/>
    <w:rsid w:val="6EDE2CAE"/>
    <w:rsid w:val="6EE80984"/>
    <w:rsid w:val="6F103A37"/>
    <w:rsid w:val="6F175A9C"/>
    <w:rsid w:val="6F1C23DC"/>
    <w:rsid w:val="6F3516F0"/>
    <w:rsid w:val="6F404E66"/>
    <w:rsid w:val="6F4417EA"/>
    <w:rsid w:val="6F460345"/>
    <w:rsid w:val="6F5222A2"/>
    <w:rsid w:val="6F573414"/>
    <w:rsid w:val="6F685621"/>
    <w:rsid w:val="6F6D22A6"/>
    <w:rsid w:val="6F6F69B0"/>
    <w:rsid w:val="6F743FC6"/>
    <w:rsid w:val="6F7B35A7"/>
    <w:rsid w:val="6F7C10CD"/>
    <w:rsid w:val="6F8306AD"/>
    <w:rsid w:val="6F9B1553"/>
    <w:rsid w:val="6FA26D85"/>
    <w:rsid w:val="6FAF14A2"/>
    <w:rsid w:val="6FB26B0B"/>
    <w:rsid w:val="6FB6638D"/>
    <w:rsid w:val="6FB865A9"/>
    <w:rsid w:val="6FBC771B"/>
    <w:rsid w:val="6FC0545D"/>
    <w:rsid w:val="6FCA62DC"/>
    <w:rsid w:val="6FD9207B"/>
    <w:rsid w:val="6FFD220E"/>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5E0A8A"/>
    <w:rsid w:val="71760D33"/>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F47640"/>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F2F3A"/>
    <w:rsid w:val="737F73DD"/>
    <w:rsid w:val="738B18DE"/>
    <w:rsid w:val="73920EBF"/>
    <w:rsid w:val="73927111"/>
    <w:rsid w:val="73952CB2"/>
    <w:rsid w:val="73953C0C"/>
    <w:rsid w:val="73993FFB"/>
    <w:rsid w:val="739A5FC5"/>
    <w:rsid w:val="73A155A6"/>
    <w:rsid w:val="73A17354"/>
    <w:rsid w:val="73A40BF2"/>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5148D6"/>
    <w:rsid w:val="74604B19"/>
    <w:rsid w:val="74675EA7"/>
    <w:rsid w:val="746856CC"/>
    <w:rsid w:val="74687E72"/>
    <w:rsid w:val="746A186B"/>
    <w:rsid w:val="746A5998"/>
    <w:rsid w:val="7476433D"/>
    <w:rsid w:val="747D391D"/>
    <w:rsid w:val="748C590E"/>
    <w:rsid w:val="74956EB9"/>
    <w:rsid w:val="749F7D37"/>
    <w:rsid w:val="74A76BEC"/>
    <w:rsid w:val="74B8241F"/>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7EE3A"/>
    <w:rsid w:val="75865DEE"/>
    <w:rsid w:val="759251A6"/>
    <w:rsid w:val="75945AE9"/>
    <w:rsid w:val="75A0327F"/>
    <w:rsid w:val="75A8474E"/>
    <w:rsid w:val="75B3511C"/>
    <w:rsid w:val="75C80BC8"/>
    <w:rsid w:val="75D27C98"/>
    <w:rsid w:val="75F61BD9"/>
    <w:rsid w:val="76053BCA"/>
    <w:rsid w:val="760C31AA"/>
    <w:rsid w:val="76124539"/>
    <w:rsid w:val="76206C56"/>
    <w:rsid w:val="76272697"/>
    <w:rsid w:val="762A3062"/>
    <w:rsid w:val="7630676D"/>
    <w:rsid w:val="76342701"/>
    <w:rsid w:val="764364A0"/>
    <w:rsid w:val="7645046A"/>
    <w:rsid w:val="764B35A7"/>
    <w:rsid w:val="76546606"/>
    <w:rsid w:val="76636B42"/>
    <w:rsid w:val="76684159"/>
    <w:rsid w:val="76870A83"/>
    <w:rsid w:val="768E5753"/>
    <w:rsid w:val="769D02A6"/>
    <w:rsid w:val="76AE0369"/>
    <w:rsid w:val="76D417EE"/>
    <w:rsid w:val="76D96E05"/>
    <w:rsid w:val="76E45ED5"/>
    <w:rsid w:val="76E556A0"/>
    <w:rsid w:val="76E732D0"/>
    <w:rsid w:val="76EA2DC0"/>
    <w:rsid w:val="76EE2C2B"/>
    <w:rsid w:val="76F459ED"/>
    <w:rsid w:val="770009D1"/>
    <w:rsid w:val="7706409E"/>
    <w:rsid w:val="77065E4C"/>
    <w:rsid w:val="77400CBD"/>
    <w:rsid w:val="77470212"/>
    <w:rsid w:val="774759BA"/>
    <w:rsid w:val="775766A7"/>
    <w:rsid w:val="776B2153"/>
    <w:rsid w:val="77843214"/>
    <w:rsid w:val="778E7BEF"/>
    <w:rsid w:val="779F5AAB"/>
    <w:rsid w:val="77B05DB7"/>
    <w:rsid w:val="77D5581E"/>
    <w:rsid w:val="77E43CB3"/>
    <w:rsid w:val="77E93077"/>
    <w:rsid w:val="77F02658"/>
    <w:rsid w:val="77F84F7A"/>
    <w:rsid w:val="77FC64F8"/>
    <w:rsid w:val="780E2ADE"/>
    <w:rsid w:val="78112CFA"/>
    <w:rsid w:val="7811525D"/>
    <w:rsid w:val="781520BE"/>
    <w:rsid w:val="781A76D5"/>
    <w:rsid w:val="781B5927"/>
    <w:rsid w:val="781E5417"/>
    <w:rsid w:val="782346E1"/>
    <w:rsid w:val="782A5B6A"/>
    <w:rsid w:val="783E7867"/>
    <w:rsid w:val="78505776"/>
    <w:rsid w:val="785C7CED"/>
    <w:rsid w:val="785D43B4"/>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F706B"/>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88301C"/>
    <w:rsid w:val="7A8F7F06"/>
    <w:rsid w:val="7A951295"/>
    <w:rsid w:val="7A9C5E45"/>
    <w:rsid w:val="7AA00365"/>
    <w:rsid w:val="7AAA11E4"/>
    <w:rsid w:val="7AAA4AFD"/>
    <w:rsid w:val="7AC04563"/>
    <w:rsid w:val="7AC06311"/>
    <w:rsid w:val="7AC53928"/>
    <w:rsid w:val="7AD853DF"/>
    <w:rsid w:val="7ADE01B6"/>
    <w:rsid w:val="7AE9528A"/>
    <w:rsid w:val="7AED10D1"/>
    <w:rsid w:val="7AFE32DE"/>
    <w:rsid w:val="7B002BB2"/>
    <w:rsid w:val="7B05466C"/>
    <w:rsid w:val="7B203254"/>
    <w:rsid w:val="7B272834"/>
    <w:rsid w:val="7B2E771F"/>
    <w:rsid w:val="7B340AAD"/>
    <w:rsid w:val="7B3A354B"/>
    <w:rsid w:val="7B3B008E"/>
    <w:rsid w:val="7B3D5BB4"/>
    <w:rsid w:val="7B476A33"/>
    <w:rsid w:val="7B4927AB"/>
    <w:rsid w:val="7B5423F4"/>
    <w:rsid w:val="7B551150"/>
    <w:rsid w:val="7B5A49B8"/>
    <w:rsid w:val="7B692BF0"/>
    <w:rsid w:val="7B694BFB"/>
    <w:rsid w:val="7B75AFA1"/>
    <w:rsid w:val="7B7F7F7B"/>
    <w:rsid w:val="7B811F45"/>
    <w:rsid w:val="7B821819"/>
    <w:rsid w:val="7B9F686F"/>
    <w:rsid w:val="7BA07EF1"/>
    <w:rsid w:val="7BA43E85"/>
    <w:rsid w:val="7BA7127F"/>
    <w:rsid w:val="7BB01DDF"/>
    <w:rsid w:val="7BC10593"/>
    <w:rsid w:val="7BD36518"/>
    <w:rsid w:val="7BD5403F"/>
    <w:rsid w:val="7BDF6C6B"/>
    <w:rsid w:val="7BE424D4"/>
    <w:rsid w:val="7BEB1AB4"/>
    <w:rsid w:val="7BED75DA"/>
    <w:rsid w:val="7BF344C5"/>
    <w:rsid w:val="7C1032C9"/>
    <w:rsid w:val="7C1A5EF5"/>
    <w:rsid w:val="7C1F350C"/>
    <w:rsid w:val="7C224DAA"/>
    <w:rsid w:val="7C310E84"/>
    <w:rsid w:val="7C4A4A2C"/>
    <w:rsid w:val="7C4D62CB"/>
    <w:rsid w:val="7C55517F"/>
    <w:rsid w:val="7C5E6574"/>
    <w:rsid w:val="7C6158D2"/>
    <w:rsid w:val="7C636ECC"/>
    <w:rsid w:val="7C653614"/>
    <w:rsid w:val="7C705B15"/>
    <w:rsid w:val="7C776EA4"/>
    <w:rsid w:val="7C7C44BA"/>
    <w:rsid w:val="7C7E49E6"/>
    <w:rsid w:val="7C947A56"/>
    <w:rsid w:val="7CAD17DA"/>
    <w:rsid w:val="7CAF4890"/>
    <w:rsid w:val="7CB263ED"/>
    <w:rsid w:val="7CB2717C"/>
    <w:rsid w:val="7CB35F23"/>
    <w:rsid w:val="7CB37BC7"/>
    <w:rsid w:val="7CC540B3"/>
    <w:rsid w:val="7CCC3693"/>
    <w:rsid w:val="7CCD740C"/>
    <w:rsid w:val="7CD75B94"/>
    <w:rsid w:val="7CDE5175"/>
    <w:rsid w:val="7CE34539"/>
    <w:rsid w:val="7D060228"/>
    <w:rsid w:val="7D080444"/>
    <w:rsid w:val="7D0A41BC"/>
    <w:rsid w:val="7D0D7808"/>
    <w:rsid w:val="7D1058BF"/>
    <w:rsid w:val="7D24527D"/>
    <w:rsid w:val="7D31799A"/>
    <w:rsid w:val="7D360B0D"/>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859ED"/>
    <w:rsid w:val="7DF52776"/>
    <w:rsid w:val="7DF84014"/>
    <w:rsid w:val="7E062BD5"/>
    <w:rsid w:val="7E074257"/>
    <w:rsid w:val="7E0D3F64"/>
    <w:rsid w:val="7E10135E"/>
    <w:rsid w:val="7E1F3C97"/>
    <w:rsid w:val="7E5576B9"/>
    <w:rsid w:val="7E5751DF"/>
    <w:rsid w:val="7E584AB3"/>
    <w:rsid w:val="7E5E47BF"/>
    <w:rsid w:val="7E6E2528"/>
    <w:rsid w:val="7E7F0292"/>
    <w:rsid w:val="7E7FEBA3"/>
    <w:rsid w:val="7E885398"/>
    <w:rsid w:val="7E906943"/>
    <w:rsid w:val="7E941F8F"/>
    <w:rsid w:val="7EA36676"/>
    <w:rsid w:val="7EABC132"/>
    <w:rsid w:val="7EB50157"/>
    <w:rsid w:val="7EC32874"/>
    <w:rsid w:val="7EC9775F"/>
    <w:rsid w:val="7ED625A7"/>
    <w:rsid w:val="7EF70770"/>
    <w:rsid w:val="7EFD149B"/>
    <w:rsid w:val="7F005876"/>
    <w:rsid w:val="7F032C71"/>
    <w:rsid w:val="7F0C421B"/>
    <w:rsid w:val="7F1C1F84"/>
    <w:rsid w:val="7F1D01D6"/>
    <w:rsid w:val="7F2C666B"/>
    <w:rsid w:val="7F3379FA"/>
    <w:rsid w:val="7F370B6C"/>
    <w:rsid w:val="7F3B018A"/>
    <w:rsid w:val="7F41757B"/>
    <w:rsid w:val="7F4E9C34"/>
    <w:rsid w:val="7F5E066E"/>
    <w:rsid w:val="7F65392B"/>
    <w:rsid w:val="7F792F33"/>
    <w:rsid w:val="7F855D7C"/>
    <w:rsid w:val="7F89586C"/>
    <w:rsid w:val="7F8F2756"/>
    <w:rsid w:val="7F8F6BFA"/>
    <w:rsid w:val="7FA23E97"/>
    <w:rsid w:val="7FA82B99"/>
    <w:rsid w:val="7FB64187"/>
    <w:rsid w:val="7FBBA8C9"/>
    <w:rsid w:val="7FBE52A6"/>
    <w:rsid w:val="7FD12D6F"/>
    <w:rsid w:val="7FD34D39"/>
    <w:rsid w:val="7FDA7E75"/>
    <w:rsid w:val="7FDC4B90"/>
    <w:rsid w:val="7FDD1714"/>
    <w:rsid w:val="7FE17456"/>
    <w:rsid w:val="7FE42AA2"/>
    <w:rsid w:val="7FEC7BA9"/>
    <w:rsid w:val="9ADDDAB9"/>
    <w:rsid w:val="A7EEDC62"/>
    <w:rsid w:val="AB7F242D"/>
    <w:rsid w:val="ABFB4C47"/>
    <w:rsid w:val="ADB7BB8C"/>
    <w:rsid w:val="AF5D55AA"/>
    <w:rsid w:val="BADFBAB7"/>
    <w:rsid w:val="BDF0F7EC"/>
    <w:rsid w:val="BFCC0358"/>
    <w:rsid w:val="C7BF722B"/>
    <w:rsid w:val="D5EFA6DE"/>
    <w:rsid w:val="DEBEE989"/>
    <w:rsid w:val="DF5FCEEC"/>
    <w:rsid w:val="DFDE1A5F"/>
    <w:rsid w:val="E6FEC9BD"/>
    <w:rsid w:val="E7F784B6"/>
    <w:rsid w:val="ED7D00B7"/>
    <w:rsid w:val="F3FD8D61"/>
    <w:rsid w:val="F77E3679"/>
    <w:rsid w:val="F79B0276"/>
    <w:rsid w:val="F7B70957"/>
    <w:rsid w:val="F7FFB7E7"/>
    <w:rsid w:val="F97770F3"/>
    <w:rsid w:val="FA7E8127"/>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next w:val="13"/>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Body Text Indent"/>
    <w:basedOn w:val="1"/>
    <w:next w:val="14"/>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4">
    <w:name w:val="Body Text First Indent 2"/>
    <w:basedOn w:val="13"/>
    <w:next w:val="1"/>
    <w:qFormat/>
    <w:uiPriority w:val="0"/>
    <w:pPr>
      <w:spacing w:after="120" w:line="240" w:lineRule="auto"/>
      <w:ind w:left="420" w:leftChars="200" w:firstLine="420"/>
    </w:pPr>
    <w:rPr>
      <w:rFonts w:ascii="Times New Roman" w:hAnsi="Times New Roman" w:eastAsia="宋体" w:cs="宋体"/>
      <w:sz w:val="21"/>
      <w:szCs w:val="21"/>
    </w:rPr>
  </w:style>
  <w:style w:type="paragraph" w:styleId="15">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6">
    <w:name w:val="annotation text"/>
    <w:basedOn w:val="1"/>
    <w:qFormat/>
    <w:uiPriority w:val="0"/>
    <w:pPr>
      <w:jc w:val="left"/>
    </w:pPr>
    <w:rPr>
      <w:rFonts w:ascii="Times New Roman" w:hAnsi="Times New Roman" w:eastAsia="宋体" w:cs="Times New Roman"/>
    </w:rPr>
  </w:style>
  <w:style w:type="paragraph" w:styleId="17">
    <w:name w:val="Body Text"/>
    <w:basedOn w:val="1"/>
    <w:next w:val="1"/>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8">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19">
    <w:name w:val="Plain Text"/>
    <w:basedOn w:val="1"/>
    <w:link w:val="51"/>
    <w:qFormat/>
    <w:uiPriority w:val="0"/>
    <w:rPr>
      <w:rFonts w:ascii="宋体" w:hAnsi="Courier New" w:eastAsia="宋体" w:cs="Courier New"/>
      <w:szCs w:val="21"/>
    </w:rPr>
  </w:style>
  <w:style w:type="paragraph" w:styleId="20">
    <w:name w:val="Date"/>
    <w:basedOn w:val="1"/>
    <w:next w:val="1"/>
    <w:qFormat/>
    <w:uiPriority w:val="0"/>
    <w:rPr>
      <w:rFonts w:ascii="Times New Roman" w:hAnsi="Times New Roman" w:eastAsia="宋体" w:cs="Times New Roman"/>
      <w:sz w:val="28"/>
      <w:szCs w:val="20"/>
    </w:rPr>
  </w:style>
  <w:style w:type="paragraph" w:styleId="21">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2">
    <w:name w:val="Balloon Text"/>
    <w:basedOn w:val="1"/>
    <w:qFormat/>
    <w:uiPriority w:val="0"/>
    <w:rPr>
      <w:rFonts w:ascii="Times New Roman" w:hAnsi="Times New Roman" w:eastAsia="宋体" w:cs="Times New Roman"/>
      <w:sz w:val="18"/>
      <w:szCs w:val="18"/>
    </w:rPr>
  </w:style>
  <w:style w:type="paragraph" w:styleId="23">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4">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5">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6">
    <w:name w:val="toc 4"/>
    <w:basedOn w:val="1"/>
    <w:next w:val="1"/>
    <w:qFormat/>
    <w:uiPriority w:val="0"/>
    <w:pPr>
      <w:ind w:left="1260"/>
    </w:pPr>
    <w:rPr>
      <w:rFonts w:ascii="Times New Roman" w:hAnsi="Times New Roman" w:eastAsia="宋体" w:cs="Times New Roman"/>
      <w:kern w:val="1"/>
    </w:rPr>
  </w:style>
  <w:style w:type="paragraph" w:styleId="27">
    <w:name w:val="footnote text"/>
    <w:basedOn w:val="1"/>
    <w:link w:val="52"/>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9">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qFormat/>
    <w:uiPriority w:val="0"/>
    <w:pPr>
      <w:ind w:left="3360" w:leftChars="1600"/>
    </w:pPr>
    <w:rPr>
      <w:rFonts w:ascii="Calibri" w:hAnsi="Calibri" w:eastAsia="宋体" w:cs="Times New Roman"/>
    </w:rPr>
  </w:style>
  <w:style w:type="paragraph" w:styleId="32">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3">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4">
    <w:name w:val="index 1"/>
    <w:basedOn w:val="1"/>
    <w:next w:val="1"/>
    <w:qFormat/>
    <w:uiPriority w:val="0"/>
    <w:rPr>
      <w:rFonts w:ascii="Times New Roman" w:hAnsi="Times New Roman" w:eastAsia="宋体" w:cs="Times New Roman"/>
    </w:rPr>
  </w:style>
  <w:style w:type="paragraph" w:styleId="35">
    <w:name w:val="Title"/>
    <w:basedOn w:val="1"/>
    <w:next w:val="1"/>
    <w:link w:val="53"/>
    <w:qFormat/>
    <w:uiPriority w:val="0"/>
    <w:pPr>
      <w:spacing w:before="240" w:after="60"/>
      <w:jc w:val="center"/>
      <w:outlineLvl w:val="0"/>
    </w:pPr>
    <w:rPr>
      <w:rFonts w:ascii="等线 Light" w:hAnsi="等线 Light" w:cs="Times New Roman"/>
      <w:b/>
      <w:bCs/>
      <w:sz w:val="32"/>
      <w:szCs w:val="32"/>
    </w:rPr>
  </w:style>
  <w:style w:type="paragraph" w:styleId="36">
    <w:name w:val="annotation subject"/>
    <w:basedOn w:val="16"/>
    <w:next w:val="16"/>
    <w:qFormat/>
    <w:uiPriority w:val="0"/>
    <w:rPr>
      <w:rFonts w:ascii="Times New Roman" w:hAnsi="Times New Roman" w:eastAsia="宋体" w:cs="Times New Roman"/>
      <w:b/>
      <w:bCs/>
    </w:rPr>
  </w:style>
  <w:style w:type="paragraph" w:styleId="37">
    <w:name w:val="Body Text First Indent"/>
    <w:basedOn w:val="17"/>
    <w:next w:val="17"/>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Hyperlink"/>
    <w:qFormat/>
    <w:uiPriority w:val="0"/>
    <w:rPr>
      <w:rFonts w:ascii="Times New Roman" w:hAnsi="Times New Roman" w:eastAsia="宋体" w:cs="Times New Roman"/>
      <w:color w:val="0000FF"/>
      <w:sz w:val="21"/>
      <w:szCs w:val="20"/>
      <w:u w:val="single"/>
    </w:rPr>
  </w:style>
  <w:style w:type="character" w:styleId="44">
    <w:name w:val="annotation reference"/>
    <w:qFormat/>
    <w:uiPriority w:val="0"/>
    <w:rPr>
      <w:rFonts w:ascii="Times New Roman" w:hAnsi="Times New Roman" w:eastAsia="宋体" w:cs="Times New Roman"/>
      <w:sz w:val="21"/>
      <w:szCs w:val="21"/>
    </w:rPr>
  </w:style>
  <w:style w:type="character" w:styleId="45">
    <w:name w:val="footnote reference"/>
    <w:qFormat/>
    <w:uiPriority w:val="0"/>
    <w:rPr>
      <w:rFonts w:ascii="Times New Roman" w:hAnsi="Times New Roman" w:eastAsia="宋体" w:cs="Times New Roman"/>
      <w:vertAlign w:val="superscript"/>
    </w:rPr>
  </w:style>
  <w:style w:type="paragraph" w:customStyle="1" w:styleId="46">
    <w:name w:val="正文文本首行缩进 21"/>
    <w:basedOn w:val="47"/>
    <w:qFormat/>
    <w:uiPriority w:val="99"/>
    <w:pPr>
      <w:tabs>
        <w:tab w:val="right" w:leader="dot" w:pos="8268"/>
      </w:tabs>
      <w:spacing w:line="200" w:lineRule="atLeast"/>
      <w:ind w:firstLine="420"/>
    </w:pPr>
    <w:rPr>
      <w:rFonts w:hAnsi="Courier New"/>
      <w:spacing w:val="-4"/>
      <w:sz w:val="18"/>
    </w:rPr>
  </w:style>
  <w:style w:type="paragraph" w:customStyle="1" w:styleId="47">
    <w:name w:val="正文缩进1"/>
    <w:basedOn w:val="48"/>
    <w:next w:val="13"/>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48">
    <w:name w:val="正文1"/>
    <w:basedOn w:val="18"/>
    <w:next w:val="1"/>
    <w:qFormat/>
    <w:uiPriority w:val="0"/>
    <w:pPr>
      <w:ind w:left="0" w:leftChars="0" w:firstLine="480" w:firstLineChars="200"/>
    </w:pPr>
    <w:rPr>
      <w:rFonts w:ascii="仿宋_GB2312" w:hAnsi="Courier New" w:eastAsia="仿宋_GB2312"/>
      <w:kern w:val="28"/>
      <w:sz w:val="24"/>
    </w:rPr>
  </w:style>
  <w:style w:type="paragraph" w:customStyle="1" w:styleId="49">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50">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51">
    <w:name w:val="纯文本 字符"/>
    <w:link w:val="19"/>
    <w:qFormat/>
    <w:uiPriority w:val="0"/>
    <w:rPr>
      <w:rFonts w:ascii="宋体" w:hAnsi="Courier New" w:eastAsia="宋体" w:cs="Courier New"/>
      <w:kern w:val="2"/>
      <w:sz w:val="21"/>
      <w:szCs w:val="21"/>
      <w:lang w:val="en-US" w:eastAsia="zh-CN" w:bidi="ar-SA"/>
    </w:rPr>
  </w:style>
  <w:style w:type="character" w:customStyle="1" w:styleId="52">
    <w:name w:val="脚注文本 字符"/>
    <w:link w:val="27"/>
    <w:qFormat/>
    <w:uiPriority w:val="0"/>
    <w:rPr>
      <w:rFonts w:ascii="Times New Roman" w:hAnsi="Times New Roman" w:eastAsia="宋体" w:cs="Times New Roman"/>
      <w:kern w:val="2"/>
      <w:sz w:val="18"/>
      <w:szCs w:val="18"/>
    </w:rPr>
  </w:style>
  <w:style w:type="character" w:customStyle="1" w:styleId="53">
    <w:name w:val="标题 字符"/>
    <w:link w:val="35"/>
    <w:qFormat/>
    <w:uiPriority w:val="0"/>
    <w:rPr>
      <w:rFonts w:ascii="等线 Light" w:hAnsi="等线 Light" w:eastAsia="宋体" w:cs="Times New Roman"/>
      <w:b/>
      <w:bCs/>
      <w:kern w:val="2"/>
      <w:sz w:val="32"/>
      <w:szCs w:val="32"/>
    </w:rPr>
  </w:style>
  <w:style w:type="paragraph" w:customStyle="1" w:styleId="54">
    <w:name w:val="_Style 2"/>
    <w:basedOn w:val="1"/>
    <w:qFormat/>
    <w:uiPriority w:val="0"/>
    <w:pPr>
      <w:ind w:firstLine="200" w:firstLineChars="200"/>
    </w:pPr>
    <w:rPr>
      <w:rFonts w:ascii="Calibri" w:hAnsi="Calibri"/>
      <w:sz w:val="28"/>
      <w:szCs w:val="22"/>
    </w:rPr>
  </w:style>
  <w:style w:type="character" w:customStyle="1" w:styleId="55">
    <w:name w:val="font11"/>
    <w:basedOn w:val="40"/>
    <w:qFormat/>
    <w:uiPriority w:val="0"/>
    <w:rPr>
      <w:rFonts w:hint="eastAsia" w:ascii="宋体" w:hAnsi="宋体" w:eastAsia="宋体" w:cs="Times New Roman"/>
      <w:color w:val="FF0000"/>
      <w:sz w:val="28"/>
      <w:szCs w:val="28"/>
      <w:u w:val="none"/>
    </w:rPr>
  </w:style>
  <w:style w:type="character" w:customStyle="1" w:styleId="56">
    <w:name w:val="font31"/>
    <w:basedOn w:val="40"/>
    <w:qFormat/>
    <w:uiPriority w:val="0"/>
    <w:rPr>
      <w:rFonts w:hint="eastAsia" w:ascii="宋体" w:hAnsi="宋体" w:eastAsia="宋体" w:cs="宋体"/>
      <w:color w:val="000000"/>
      <w:sz w:val="22"/>
      <w:szCs w:val="22"/>
      <w:u w:val="none"/>
    </w:rPr>
  </w:style>
  <w:style w:type="character" w:customStyle="1" w:styleId="57">
    <w:name w:val="font21"/>
    <w:qFormat/>
    <w:uiPriority w:val="0"/>
    <w:rPr>
      <w:rFonts w:hint="eastAsia" w:ascii="宋体" w:hAnsi="宋体" w:eastAsia="宋体" w:cs="宋体"/>
      <w:color w:val="000000"/>
      <w:sz w:val="21"/>
      <w:szCs w:val="21"/>
      <w:u w:val="none"/>
    </w:rPr>
  </w:style>
  <w:style w:type="character" w:customStyle="1" w:styleId="58">
    <w:name w:val="font01"/>
    <w:qFormat/>
    <w:uiPriority w:val="0"/>
    <w:rPr>
      <w:rFonts w:ascii="Verdana" w:hAnsi="Verdana" w:eastAsia="宋体" w:cs="Verdana"/>
      <w:color w:val="000000"/>
      <w:sz w:val="20"/>
      <w:szCs w:val="20"/>
      <w:u w:val="none"/>
    </w:rPr>
  </w:style>
  <w:style w:type="paragraph" w:customStyle="1" w:styleId="59">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60">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1">
    <w:name w:val="纯文本 Char1"/>
    <w:qFormat/>
    <w:uiPriority w:val="0"/>
    <w:rPr>
      <w:rFonts w:ascii="宋体" w:hAnsi="Courier New" w:eastAsia="宋体" w:cs="Courier New"/>
      <w:kern w:val="2"/>
      <w:sz w:val="21"/>
      <w:szCs w:val="21"/>
    </w:rPr>
  </w:style>
  <w:style w:type="character" w:customStyle="1" w:styleId="62">
    <w:name w:val="普通文字 Char Char2"/>
    <w:qFormat/>
    <w:uiPriority w:val="0"/>
    <w:rPr>
      <w:rFonts w:ascii="宋体" w:hAnsi="Courier New" w:eastAsia="宋体" w:cs="Courier New"/>
      <w:kern w:val="2"/>
      <w:sz w:val="21"/>
      <w:szCs w:val="21"/>
      <w:lang w:val="en-US" w:eastAsia="zh-CN" w:bidi="ar-SA"/>
    </w:rPr>
  </w:style>
  <w:style w:type="character" w:customStyle="1" w:styleId="63">
    <w:name w:val=" Char Char1"/>
    <w:qFormat/>
    <w:uiPriority w:val="0"/>
    <w:rPr>
      <w:rFonts w:ascii="宋体" w:hAnsi="Courier New" w:eastAsia="宋体" w:cs="Courier New"/>
      <w:kern w:val="2"/>
      <w:sz w:val="21"/>
      <w:szCs w:val="21"/>
      <w:lang w:val="en-US" w:eastAsia="zh-CN" w:bidi="ar-SA"/>
    </w:rPr>
  </w:style>
  <w:style w:type="paragraph" w:customStyle="1" w:styleId="64">
    <w:name w:val="Char"/>
    <w:basedOn w:val="1"/>
    <w:qFormat/>
    <w:uiPriority w:val="0"/>
    <w:rPr>
      <w:rFonts w:ascii="仿宋_GB2312" w:hAnsi="Times New Roman" w:eastAsia="仿宋_GB2312" w:cs="仿宋_GB2312"/>
      <w:b/>
      <w:bCs/>
      <w:sz w:val="32"/>
      <w:szCs w:val="32"/>
    </w:rPr>
  </w:style>
  <w:style w:type="paragraph" w:customStyle="1" w:styleId="65">
    <w:name w:val="标题1"/>
    <w:basedOn w:val="25"/>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6">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7">
    <w:name w:val=" Char Char Char2 Char Char Char"/>
    <w:basedOn w:val="1"/>
    <w:qFormat/>
    <w:uiPriority w:val="0"/>
    <w:rPr>
      <w:rFonts w:ascii="Times New Roman" w:hAnsi="Times New Roman" w:eastAsia="宋体" w:cs="Times New Roman"/>
    </w:rPr>
  </w:style>
  <w:style w:type="paragraph" w:customStyle="1" w:styleId="68">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9">
    <w:name w:val="正"/>
    <w:basedOn w:val="1"/>
    <w:qFormat/>
    <w:uiPriority w:val="0"/>
    <w:pPr>
      <w:ind w:firstLine="525"/>
    </w:pPr>
    <w:rPr>
      <w:rFonts w:ascii="Times New Roman" w:hAnsi="Times New Roman" w:eastAsia="宋体" w:cs="Times New Roman"/>
      <w:spacing w:val="20"/>
    </w:rPr>
  </w:style>
  <w:style w:type="paragraph" w:customStyle="1" w:styleId="7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1">
    <w:name w:val="ÕÂ¡À¨ºÌâ"/>
    <w:basedOn w:val="70"/>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2">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3">
    <w:name w:val="表格"/>
    <w:basedOn w:val="1"/>
    <w:next w:val="12"/>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4">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5">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6">
    <w:name w:val=" Char3"/>
    <w:basedOn w:val="1"/>
    <w:qFormat/>
    <w:uiPriority w:val="0"/>
    <w:pPr>
      <w:tabs>
        <w:tab w:val="left" w:pos="360"/>
      </w:tabs>
    </w:pPr>
    <w:rPr>
      <w:rFonts w:ascii="Times New Roman" w:hAnsi="Times New Roman" w:eastAsia="宋体" w:cs="Times New Roman"/>
      <w:sz w:val="24"/>
    </w:rPr>
  </w:style>
  <w:style w:type="paragraph" w:styleId="77">
    <w:name w:val="List Paragraph"/>
    <w:basedOn w:val="1"/>
    <w:qFormat/>
    <w:uiPriority w:val="0"/>
    <w:pPr>
      <w:ind w:firstLine="420" w:firstLineChars="200"/>
    </w:pPr>
    <w:rPr>
      <w:rFonts w:ascii="Times New Roman" w:hAnsi="Times New Roman" w:eastAsia="宋体" w:cs="Times New Roman"/>
    </w:rPr>
  </w:style>
  <w:style w:type="paragraph" w:customStyle="1" w:styleId="78">
    <w:name w:val=" Char"/>
    <w:basedOn w:val="1"/>
    <w:qFormat/>
    <w:uiPriority w:val="0"/>
    <w:rPr>
      <w:rFonts w:ascii="Times New Roman" w:hAnsi="Times New Roman" w:eastAsia="宋体" w:cs="Times New Roman"/>
      <w:szCs w:val="20"/>
    </w:rPr>
  </w:style>
  <w:style w:type="paragraph" w:customStyle="1" w:styleId="79">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0">
    <w:name w:val=" Char Char Char"/>
    <w:basedOn w:val="1"/>
    <w:qFormat/>
    <w:uiPriority w:val="0"/>
    <w:rPr>
      <w:rFonts w:ascii="Tahoma" w:hAnsi="Tahoma" w:eastAsia="宋体" w:cs="Times New Roman"/>
      <w:sz w:val="24"/>
      <w:szCs w:val="20"/>
    </w:rPr>
  </w:style>
  <w:style w:type="paragraph" w:customStyle="1" w:styleId="81">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2">
    <w:name w:val="列出段落1"/>
    <w:basedOn w:val="1"/>
    <w:qFormat/>
    <w:uiPriority w:val="0"/>
    <w:pPr>
      <w:ind w:firstLine="420" w:firstLineChars="200"/>
    </w:pPr>
    <w:rPr>
      <w:rFonts w:ascii="Times New Roman" w:hAnsi="Times New Roman" w:eastAsia="宋体" w:cs="Times New Roman"/>
      <w:szCs w:val="22"/>
    </w:rPr>
  </w:style>
  <w:style w:type="paragraph" w:customStyle="1" w:styleId="83">
    <w:name w:val="null3"/>
    <w:qFormat/>
    <w:uiPriority w:val="0"/>
    <w:rPr>
      <w:rFonts w:hint="eastAsia" w:ascii="Calibri" w:hAnsi="Calibri" w:eastAsia="宋体" w:cs="Times New Roman"/>
      <w:lang w:val="en-US" w:eastAsia="zh-Hans" w:bidi="ar-SA"/>
    </w:rPr>
  </w:style>
  <w:style w:type="paragraph" w:customStyle="1" w:styleId="84">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85">
    <w:name w:val="Table Text"/>
    <w:basedOn w:val="1"/>
    <w:semiHidden/>
    <w:qFormat/>
    <w:uiPriority w:val="0"/>
    <w:rPr>
      <w:rFonts w:ascii="宋体" w:hAnsi="宋体" w:eastAsia="宋体" w:cs="宋体"/>
      <w:sz w:val="19"/>
      <w:szCs w:val="19"/>
      <w:lang w:val="en-US" w:eastAsia="en-US" w:bidi="ar-SA"/>
    </w:rPr>
  </w:style>
  <w:style w:type="table" w:customStyle="1" w:styleId="86">
    <w:name w:val="Table Normal"/>
    <w:unhideWhenUsed/>
    <w:qFormat/>
    <w:uiPriority w:val="0"/>
    <w:tblPr>
      <w:tblCellMar>
        <w:top w:w="0" w:type="dxa"/>
        <w:left w:w="0" w:type="dxa"/>
        <w:bottom w:w="0" w:type="dxa"/>
        <w:right w:w="0" w:type="dxa"/>
      </w:tblCellMar>
    </w:tblPr>
  </w:style>
  <w:style w:type="character" w:customStyle="1" w:styleId="87">
    <w:name w:val="font91"/>
    <w:basedOn w:val="40"/>
    <w:qFormat/>
    <w:uiPriority w:val="0"/>
    <w:rPr>
      <w:rFonts w:hint="default" w:ascii="Times New Roman" w:hAnsi="Times New Roman" w:cs="Times New Roman"/>
      <w:color w:val="000000"/>
      <w:sz w:val="24"/>
      <w:szCs w:val="24"/>
      <w:u w:val="none"/>
    </w:rPr>
  </w:style>
  <w:style w:type="character" w:customStyle="1" w:styleId="88">
    <w:name w:val="font101"/>
    <w:basedOn w:val="40"/>
    <w:qFormat/>
    <w:uiPriority w:val="0"/>
    <w:rPr>
      <w:rFonts w:hint="eastAsia" w:ascii="宋体" w:hAnsi="宋体" w:eastAsia="宋体" w:cs="宋体"/>
      <w:b/>
      <w:bCs/>
      <w:color w:val="FF0000"/>
      <w:sz w:val="24"/>
      <w:szCs w:val="24"/>
      <w:u w:val="none"/>
    </w:rPr>
  </w:style>
  <w:style w:type="character" w:customStyle="1" w:styleId="89">
    <w:name w:val="font41"/>
    <w:basedOn w:val="40"/>
    <w:qFormat/>
    <w:uiPriority w:val="0"/>
    <w:rPr>
      <w:rFonts w:hint="eastAsia" w:ascii="宋体" w:hAnsi="宋体" w:eastAsia="宋体" w:cs="宋体"/>
      <w:color w:val="000000"/>
      <w:sz w:val="24"/>
      <w:szCs w:val="24"/>
      <w:u w:val="none"/>
    </w:rPr>
  </w:style>
  <w:style w:type="character" w:customStyle="1" w:styleId="90">
    <w:name w:val="font71"/>
    <w:basedOn w:val="40"/>
    <w:qFormat/>
    <w:uiPriority w:val="0"/>
    <w:rPr>
      <w:rFonts w:ascii="Segoe UI" w:hAnsi="Segoe UI" w:eastAsia="Segoe UI" w:cs="Segoe UI"/>
      <w:color w:val="000000"/>
      <w:sz w:val="24"/>
      <w:szCs w:val="24"/>
      <w:u w:val="none"/>
    </w:rPr>
  </w:style>
  <w:style w:type="character" w:customStyle="1" w:styleId="91">
    <w:name w:val="font61"/>
    <w:basedOn w:val="40"/>
    <w:qFormat/>
    <w:uiPriority w:val="0"/>
    <w:rPr>
      <w:rFonts w:hint="eastAsia" w:ascii="宋体" w:hAnsi="宋体" w:eastAsia="宋体" w:cs="宋体"/>
      <w:color w:val="000000"/>
      <w:sz w:val="24"/>
      <w:szCs w:val="24"/>
      <w:u w:val="none"/>
    </w:rPr>
  </w:style>
  <w:style w:type="character" w:customStyle="1" w:styleId="92">
    <w:name w:val="font81"/>
    <w:basedOn w:val="40"/>
    <w:qFormat/>
    <w:uiPriority w:val="0"/>
    <w:rPr>
      <w:rFonts w:hint="default" w:ascii="Times New Roman" w:hAnsi="Times New Roman" w:cs="Times New Roman"/>
      <w:color w:val="000000"/>
      <w:sz w:val="24"/>
      <w:szCs w:val="24"/>
      <w:u w:val="none"/>
    </w:rPr>
  </w:style>
  <w:style w:type="character" w:customStyle="1" w:styleId="93">
    <w:name w:val="font51"/>
    <w:basedOn w:val="40"/>
    <w:qFormat/>
    <w:uiPriority w:val="0"/>
    <w:rPr>
      <w:rFonts w:hint="eastAsia" w:ascii="宋体" w:hAnsi="宋体" w:eastAsia="宋体" w:cs="宋体"/>
      <w:color w:val="000000"/>
      <w:sz w:val="24"/>
      <w:szCs w:val="24"/>
      <w:u w:val="none"/>
    </w:rPr>
  </w:style>
  <w:style w:type="character" w:customStyle="1" w:styleId="94">
    <w:name w:val="font112"/>
    <w:basedOn w:val="40"/>
    <w:qFormat/>
    <w:uiPriority w:val="0"/>
    <w:rPr>
      <w:rFonts w:hint="default" w:ascii="Times New Roman" w:hAnsi="Times New Roman" w:cs="Times New Roman"/>
      <w:color w:val="000000"/>
      <w:sz w:val="24"/>
      <w:szCs w:val="24"/>
      <w:u w:val="none"/>
    </w:rPr>
  </w:style>
  <w:style w:type="character" w:customStyle="1" w:styleId="95">
    <w:name w:val="font121"/>
    <w:basedOn w:val="40"/>
    <w:qFormat/>
    <w:uiPriority w:val="0"/>
    <w:rPr>
      <w:rFonts w:hint="eastAsia" w:ascii="宋体" w:hAnsi="宋体" w:eastAsia="宋体" w:cs="宋体"/>
      <w:b/>
      <w:bCs/>
      <w:color w:val="FF0000"/>
      <w:sz w:val="24"/>
      <w:szCs w:val="24"/>
      <w:u w:val="none"/>
    </w:rPr>
  </w:style>
  <w:style w:type="character" w:customStyle="1" w:styleId="96">
    <w:name w:val="font111"/>
    <w:basedOn w:val="40"/>
    <w:qFormat/>
    <w:uiPriority w:val="0"/>
    <w:rPr>
      <w:rFonts w:hint="eastAsia" w:ascii="宋体" w:hAnsi="宋体" w:eastAsia="宋体" w:cs="宋体"/>
      <w:b/>
      <w:bCs/>
      <w:color w:val="FF0000"/>
      <w:sz w:val="24"/>
      <w:szCs w:val="24"/>
      <w:u w:val="none"/>
    </w:rPr>
  </w:style>
  <w:style w:type="character" w:customStyle="1" w:styleId="97">
    <w:name w:val="font122"/>
    <w:basedOn w:val="40"/>
    <w:qFormat/>
    <w:uiPriority w:val="0"/>
    <w:rPr>
      <w:rFonts w:hint="eastAsia" w:ascii="宋体" w:hAnsi="宋体" w:eastAsia="宋体" w:cs="宋体"/>
      <w:color w:val="FF0000"/>
      <w:sz w:val="24"/>
      <w:szCs w:val="24"/>
      <w:u w:val="none"/>
    </w:rPr>
  </w:style>
  <w:style w:type="paragraph" w:customStyle="1" w:styleId="98">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9">
    <w:name w:val="16"/>
    <w:basedOn w:val="40"/>
    <w:qFormat/>
    <w:uiPriority w:val="0"/>
    <w:rPr>
      <w:rFonts w:hint="eastAsia" w:ascii="宋体" w:hAnsi="宋体" w:eastAsia="宋体" w:cs="宋体"/>
      <w:b/>
      <w:color w:val="000000"/>
      <w:sz w:val="21"/>
      <w:szCs w:val="21"/>
    </w:rPr>
  </w:style>
  <w:style w:type="character" w:customStyle="1" w:styleId="100">
    <w:name w:val="17"/>
    <w:basedOn w:val="40"/>
    <w:qFormat/>
    <w:uiPriority w:val="0"/>
    <w:rPr>
      <w:rFonts w:hint="default" w:ascii="新宋体" w:hAnsi="新宋体" w:eastAsia="新宋体" w:cs="新宋体"/>
      <w:color w:val="000000"/>
      <w:sz w:val="21"/>
      <w:szCs w:val="21"/>
    </w:rPr>
  </w:style>
  <w:style w:type="character" w:customStyle="1" w:styleId="101">
    <w:name w:val="15"/>
    <w:basedOn w:val="40"/>
    <w:qFormat/>
    <w:uiPriority w:val="0"/>
    <w:rPr>
      <w:rFonts w:hint="eastAsia" w:ascii="宋体" w:hAnsi="宋体" w:eastAsia="宋体" w:cs="宋体"/>
      <w:color w:val="000000"/>
      <w:sz w:val="21"/>
      <w:szCs w:val="21"/>
    </w:rPr>
  </w:style>
  <w:style w:type="paragraph" w:customStyle="1" w:styleId="102">
    <w:name w:val="样式1"/>
    <w:basedOn w:val="1"/>
    <w:qFormat/>
    <w:uiPriority w:val="0"/>
    <w:pPr>
      <w:spacing w:line="360" w:lineRule="exact"/>
      <w:ind w:firstLine="200" w:firstLineChars="200"/>
    </w:pPr>
    <w:rPr>
      <w:rFonts w:ascii="Arial" w:hAnsi="Arial"/>
    </w:rPr>
  </w:style>
  <w:style w:type="paragraph" w:customStyle="1" w:styleId="103">
    <w:name w:val="首行缩进:  2 字符"/>
    <w:basedOn w:val="1"/>
    <w:qFormat/>
    <w:uiPriority w:val="0"/>
    <w:pPr>
      <w:kinsoku w:val="0"/>
      <w:overflowPunct w:val="0"/>
      <w:snapToGrid w:val="0"/>
      <w:spacing w:line="312" w:lineRule="auto"/>
      <w:ind w:firstLine="200" w:firstLineChars="200"/>
      <w:jc w:val="left"/>
    </w:pPr>
    <w:rPr>
      <w:rFonts w:cs="宋体"/>
      <w:kern w:val="0"/>
      <w:sz w:val="21"/>
      <w:szCs w:val="21"/>
    </w:rPr>
  </w:style>
  <w:style w:type="paragraph" w:customStyle="1" w:styleId="104">
    <w:name w:val="靠右正文"/>
    <w:basedOn w:val="1"/>
    <w:qFormat/>
    <w:uiPriority w:val="0"/>
    <w:pPr>
      <w:kinsoku w:val="0"/>
      <w:overflowPunct w:val="0"/>
      <w:adjustRightInd w:val="0"/>
      <w:snapToGrid w:val="0"/>
      <w:spacing w:line="312" w:lineRule="auto"/>
      <w:jc w:val="right"/>
    </w:pPr>
    <w:rPr>
      <w:kern w:val="0"/>
      <w:sz w:val="21"/>
      <w:szCs w:val="21"/>
    </w:rPr>
  </w:style>
  <w:style w:type="character" w:customStyle="1" w:styleId="105">
    <w:name w:val="time"/>
    <w:basedOn w:val="40"/>
    <w:uiPriority w:val="0"/>
  </w:style>
  <w:style w:type="character" w:customStyle="1" w:styleId="106">
    <w:name w:val="status"/>
    <w:basedOn w:val="40"/>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9711</Words>
  <Characters>10766</Characters>
  <Lines>224</Lines>
  <Paragraphs>63</Paragraphs>
  <TotalTime>81</TotalTime>
  <ScaleCrop>false</ScaleCrop>
  <LinksUpToDate>false</LinksUpToDate>
  <CharactersWithSpaces>10937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2024-03-16T00:41:00Z</dcterms:created>
  <dc:creator>Administrator</dc:creator>
  <cp:lastModifiedBy>欢欢</cp:lastModifiedBy>
  <cp:lastPrinted>2025-12-29T00:35:00Z</cp:lastPrinted>
  <dcterms:modified xsi:type="dcterms:W3CDTF">2025-12-29T06:43:37Z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9F20F1D9A8474957A69F91C130C27301_13</vt:lpwstr>
  </property>
  <property fmtid="{D5CDD505-2E9C-101B-9397-08002B2CF9AE}" pid="4" name="KSOTemplateDocerSaveRecord">
    <vt:lpwstr>eyJoZGlkIjoiMzdlYTIwYjlkMGM3MzMzZDBlZGNiYmFkOGNiOTMwZTciLCJ1c2VySWQiOiI0OTc5NjQ1NjQifQ==</vt:lpwstr>
  </property>
</Properties>
</file>