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66C1">
      <w:pPr>
        <w:pStyle w:val="19"/>
        <w:snapToGrid w:val="0"/>
        <w:spacing w:before="120" w:after="120" w:line="360" w:lineRule="auto"/>
        <w:jc w:val="center"/>
        <w:rPr>
          <w:rFonts w:hint="eastAsia"/>
          <w:b/>
          <w:color w:val="auto"/>
          <w:sz w:val="32"/>
          <w:szCs w:val="32"/>
          <w:highlight w:val="none"/>
        </w:rPr>
      </w:pPr>
      <w:r>
        <w:rPr>
          <w:rFonts w:hint="eastAsia" w:hAnsi="宋体" w:cs="宋体"/>
          <w:b/>
          <w:bCs/>
          <w:color w:val="auto"/>
          <w:sz w:val="52"/>
          <w:szCs w:val="52"/>
          <w:highlight w:val="none"/>
          <w:lang w:val="en-US" w:eastAsia="zh-CN"/>
        </w:rPr>
        <w:t>义乌市水处理有限责任公司武德净水厂2026-2028年度盐酸采购项目</w:t>
      </w:r>
    </w:p>
    <w:p w14:paraId="28EEF8A7">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0D6BBBAA">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0CE78B71">
      <w:pPr>
        <w:pStyle w:val="19"/>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424A265D">
      <w:pPr>
        <w:pStyle w:val="19"/>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3498B7F">
      <w:pPr>
        <w:pStyle w:val="19"/>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JYP-2025-CG339 </w:t>
      </w:r>
    </w:p>
    <w:p w14:paraId="5CA2CDFB">
      <w:pPr>
        <w:pStyle w:val="19"/>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义乌市水处理有限责任公司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65A507">
      <w:pPr>
        <w:pStyle w:val="19"/>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金华义产拍卖有限公司</w:t>
      </w:r>
      <w:r>
        <w:rPr>
          <w:rFonts w:hint="eastAsia" w:hAnsi="宋体"/>
          <w:b/>
          <w:color w:val="auto"/>
          <w:sz w:val="32"/>
          <w:szCs w:val="32"/>
          <w:highlight w:val="none"/>
          <w:u w:val="single"/>
        </w:rPr>
        <w:t>（盖章）</w:t>
      </w:r>
    </w:p>
    <w:p w14:paraId="4B38B1B7">
      <w:pPr>
        <w:pStyle w:val="19"/>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3A9D2EB9">
      <w:pPr>
        <w:pStyle w:val="19"/>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2ACA4AA2">
      <w:pPr>
        <w:pStyle w:val="19"/>
        <w:snapToGrid w:val="0"/>
        <w:spacing w:before="120" w:after="120" w:line="360" w:lineRule="auto"/>
        <w:rPr>
          <w:rFonts w:hAnsi="宋体"/>
          <w:b/>
          <w:color w:val="auto"/>
          <w:sz w:val="32"/>
          <w:szCs w:val="32"/>
          <w:highlight w:val="none"/>
          <w:u w:val="single"/>
        </w:rPr>
      </w:pPr>
    </w:p>
    <w:p w14:paraId="0E278F56">
      <w:pPr>
        <w:pStyle w:val="25"/>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_Toc26352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_Toc26352 \h </w:instrText>
      </w:r>
      <w:r>
        <w:fldChar w:fldCharType="separate"/>
      </w:r>
      <w:r>
        <w:t>3</w:t>
      </w:r>
      <w:r>
        <w:fldChar w:fldCharType="end"/>
      </w:r>
      <w:r>
        <w:rPr>
          <w:color w:val="auto"/>
          <w:highlight w:val="none"/>
        </w:rPr>
        <w:fldChar w:fldCharType="end"/>
      </w:r>
    </w:p>
    <w:p w14:paraId="10C7B99B">
      <w:pPr>
        <w:pStyle w:val="25"/>
        <w:tabs>
          <w:tab w:val="right" w:leader="dot" w:pos="8306"/>
        </w:tabs>
      </w:pPr>
      <w:r>
        <w:rPr>
          <w:color w:val="auto"/>
          <w:szCs w:val="30"/>
          <w:highlight w:val="none"/>
        </w:rPr>
        <w:fldChar w:fldCharType="begin"/>
      </w:r>
      <w:r>
        <w:rPr>
          <w:szCs w:val="30"/>
          <w:highlight w:val="none"/>
        </w:rPr>
        <w:instrText xml:space="preserve"> HYPERLINK \l _Toc8997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_Toc8997 \h </w:instrText>
      </w:r>
      <w:r>
        <w:fldChar w:fldCharType="separate"/>
      </w:r>
      <w:r>
        <w:t>6</w:t>
      </w:r>
      <w:r>
        <w:fldChar w:fldCharType="end"/>
      </w:r>
      <w:r>
        <w:rPr>
          <w:color w:val="auto"/>
          <w:szCs w:val="30"/>
          <w:highlight w:val="none"/>
        </w:rPr>
        <w:fldChar w:fldCharType="end"/>
      </w:r>
    </w:p>
    <w:p w14:paraId="4FC6769D">
      <w:pPr>
        <w:pStyle w:val="25"/>
        <w:tabs>
          <w:tab w:val="right" w:leader="dot" w:pos="8306"/>
        </w:tabs>
      </w:pPr>
      <w:r>
        <w:rPr>
          <w:color w:val="auto"/>
          <w:szCs w:val="30"/>
          <w:highlight w:val="none"/>
        </w:rPr>
        <w:fldChar w:fldCharType="begin"/>
      </w:r>
      <w:r>
        <w:rPr>
          <w:szCs w:val="30"/>
          <w:highlight w:val="none"/>
        </w:rPr>
        <w:instrText xml:space="preserve"> HYPERLINK \l _Toc16045 </w:instrText>
      </w:r>
      <w:r>
        <w:rPr>
          <w:szCs w:val="30"/>
          <w:highlight w:val="none"/>
        </w:rPr>
        <w:fldChar w:fldCharType="separate"/>
      </w:r>
      <w:r>
        <w:rPr>
          <w:rFonts w:hint="eastAsia"/>
          <w:szCs w:val="32"/>
          <w:highlight w:val="none"/>
        </w:rPr>
        <w:t>投标须知</w:t>
      </w:r>
      <w:r>
        <w:tab/>
      </w:r>
      <w:r>
        <w:fldChar w:fldCharType="begin"/>
      </w:r>
      <w:r>
        <w:instrText xml:space="preserve"> PAGEREF _Toc16045 \h </w:instrText>
      </w:r>
      <w:r>
        <w:fldChar w:fldCharType="separate"/>
      </w:r>
      <w:r>
        <w:t>8</w:t>
      </w:r>
      <w:r>
        <w:fldChar w:fldCharType="end"/>
      </w:r>
      <w:r>
        <w:rPr>
          <w:color w:val="auto"/>
          <w:szCs w:val="30"/>
          <w:highlight w:val="none"/>
        </w:rPr>
        <w:fldChar w:fldCharType="end"/>
      </w:r>
    </w:p>
    <w:p w14:paraId="7975781D">
      <w:pPr>
        <w:pStyle w:val="30"/>
        <w:tabs>
          <w:tab w:val="right" w:leader="dot" w:pos="8306"/>
        </w:tabs>
      </w:pPr>
      <w:r>
        <w:rPr>
          <w:color w:val="auto"/>
          <w:szCs w:val="30"/>
          <w:highlight w:val="none"/>
        </w:rPr>
        <w:fldChar w:fldCharType="begin"/>
      </w:r>
      <w:r>
        <w:rPr>
          <w:szCs w:val="30"/>
          <w:highlight w:val="none"/>
        </w:rPr>
        <w:instrText xml:space="preserve"> HYPERLINK \l _Toc25103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_Toc25103 \h </w:instrText>
      </w:r>
      <w:r>
        <w:fldChar w:fldCharType="separate"/>
      </w:r>
      <w:r>
        <w:t>8</w:t>
      </w:r>
      <w:r>
        <w:fldChar w:fldCharType="end"/>
      </w:r>
      <w:r>
        <w:rPr>
          <w:color w:val="auto"/>
          <w:szCs w:val="30"/>
          <w:highlight w:val="none"/>
        </w:rPr>
        <w:fldChar w:fldCharType="end"/>
      </w:r>
    </w:p>
    <w:p w14:paraId="409B4FB0">
      <w:pPr>
        <w:pStyle w:val="30"/>
        <w:tabs>
          <w:tab w:val="right" w:leader="dot" w:pos="8306"/>
        </w:tabs>
      </w:pPr>
      <w:r>
        <w:rPr>
          <w:color w:val="auto"/>
          <w:szCs w:val="30"/>
          <w:highlight w:val="none"/>
        </w:rPr>
        <w:fldChar w:fldCharType="begin"/>
      </w:r>
      <w:r>
        <w:rPr>
          <w:szCs w:val="30"/>
          <w:highlight w:val="none"/>
        </w:rPr>
        <w:instrText xml:space="preserve"> HYPERLINK \l _Toc8871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_Toc8871 \h </w:instrText>
      </w:r>
      <w:r>
        <w:fldChar w:fldCharType="separate"/>
      </w:r>
      <w:r>
        <w:t>9</w:t>
      </w:r>
      <w:r>
        <w:fldChar w:fldCharType="end"/>
      </w:r>
      <w:r>
        <w:rPr>
          <w:color w:val="auto"/>
          <w:szCs w:val="30"/>
          <w:highlight w:val="none"/>
        </w:rPr>
        <w:fldChar w:fldCharType="end"/>
      </w:r>
    </w:p>
    <w:p w14:paraId="3BAB7FB7">
      <w:pPr>
        <w:pStyle w:val="30"/>
        <w:tabs>
          <w:tab w:val="right" w:leader="dot" w:pos="8306"/>
        </w:tabs>
      </w:pPr>
      <w:r>
        <w:rPr>
          <w:color w:val="auto"/>
          <w:szCs w:val="30"/>
          <w:highlight w:val="none"/>
        </w:rPr>
        <w:fldChar w:fldCharType="begin"/>
      </w:r>
      <w:r>
        <w:rPr>
          <w:szCs w:val="30"/>
          <w:highlight w:val="none"/>
        </w:rPr>
        <w:instrText xml:space="preserve"> HYPERLINK \l _Toc31381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_Toc31381 \h </w:instrText>
      </w:r>
      <w:r>
        <w:fldChar w:fldCharType="separate"/>
      </w:r>
      <w:r>
        <w:t>10</w:t>
      </w:r>
      <w:r>
        <w:fldChar w:fldCharType="end"/>
      </w:r>
      <w:r>
        <w:rPr>
          <w:color w:val="auto"/>
          <w:szCs w:val="30"/>
          <w:highlight w:val="none"/>
        </w:rPr>
        <w:fldChar w:fldCharType="end"/>
      </w:r>
    </w:p>
    <w:p w14:paraId="35A184E1">
      <w:pPr>
        <w:pStyle w:val="30"/>
        <w:tabs>
          <w:tab w:val="right" w:leader="dot" w:pos="8306"/>
        </w:tabs>
      </w:pPr>
      <w:r>
        <w:rPr>
          <w:color w:val="auto"/>
          <w:szCs w:val="30"/>
          <w:highlight w:val="none"/>
        </w:rPr>
        <w:fldChar w:fldCharType="begin"/>
      </w:r>
      <w:r>
        <w:rPr>
          <w:szCs w:val="30"/>
          <w:highlight w:val="none"/>
        </w:rPr>
        <w:instrText xml:space="preserve"> HYPERLINK \l _Toc6105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_Toc6105 \h </w:instrText>
      </w:r>
      <w:r>
        <w:fldChar w:fldCharType="separate"/>
      </w:r>
      <w:r>
        <w:t>12</w:t>
      </w:r>
      <w:r>
        <w:fldChar w:fldCharType="end"/>
      </w:r>
      <w:r>
        <w:rPr>
          <w:color w:val="auto"/>
          <w:szCs w:val="30"/>
          <w:highlight w:val="none"/>
        </w:rPr>
        <w:fldChar w:fldCharType="end"/>
      </w:r>
    </w:p>
    <w:p w14:paraId="1761BD74">
      <w:pPr>
        <w:pStyle w:val="30"/>
        <w:tabs>
          <w:tab w:val="right" w:leader="dot" w:pos="8306"/>
        </w:tabs>
      </w:pPr>
      <w:r>
        <w:rPr>
          <w:color w:val="auto"/>
          <w:szCs w:val="30"/>
          <w:highlight w:val="none"/>
        </w:rPr>
        <w:fldChar w:fldCharType="begin"/>
      </w:r>
      <w:r>
        <w:rPr>
          <w:szCs w:val="30"/>
          <w:highlight w:val="none"/>
        </w:rPr>
        <w:instrText xml:space="preserve"> HYPERLINK \l _Toc14938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_Toc14938 \h </w:instrText>
      </w:r>
      <w:r>
        <w:fldChar w:fldCharType="separate"/>
      </w:r>
      <w:r>
        <w:t>13</w:t>
      </w:r>
      <w:r>
        <w:fldChar w:fldCharType="end"/>
      </w:r>
      <w:r>
        <w:rPr>
          <w:color w:val="auto"/>
          <w:szCs w:val="30"/>
          <w:highlight w:val="none"/>
        </w:rPr>
        <w:fldChar w:fldCharType="end"/>
      </w:r>
    </w:p>
    <w:p w14:paraId="15A5BCA0">
      <w:pPr>
        <w:pStyle w:val="30"/>
        <w:tabs>
          <w:tab w:val="right" w:leader="dot" w:pos="8306"/>
        </w:tabs>
      </w:pPr>
      <w:r>
        <w:rPr>
          <w:color w:val="auto"/>
          <w:szCs w:val="30"/>
          <w:highlight w:val="none"/>
        </w:rPr>
        <w:fldChar w:fldCharType="begin"/>
      </w:r>
      <w:r>
        <w:rPr>
          <w:szCs w:val="30"/>
          <w:highlight w:val="none"/>
        </w:rPr>
        <w:instrText xml:space="preserve"> HYPERLINK \l _Toc26527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_Toc26527 \h </w:instrText>
      </w:r>
      <w:r>
        <w:fldChar w:fldCharType="separate"/>
      </w:r>
      <w:r>
        <w:t>14</w:t>
      </w:r>
      <w:r>
        <w:fldChar w:fldCharType="end"/>
      </w:r>
      <w:r>
        <w:rPr>
          <w:color w:val="auto"/>
          <w:szCs w:val="30"/>
          <w:highlight w:val="none"/>
        </w:rPr>
        <w:fldChar w:fldCharType="end"/>
      </w:r>
    </w:p>
    <w:p w14:paraId="41CD7D72">
      <w:pPr>
        <w:pStyle w:val="25"/>
        <w:tabs>
          <w:tab w:val="right" w:leader="dot" w:pos="8306"/>
        </w:tabs>
      </w:pPr>
      <w:r>
        <w:rPr>
          <w:color w:val="auto"/>
          <w:szCs w:val="30"/>
          <w:highlight w:val="none"/>
        </w:rPr>
        <w:fldChar w:fldCharType="begin"/>
      </w:r>
      <w:r>
        <w:rPr>
          <w:szCs w:val="30"/>
          <w:highlight w:val="none"/>
        </w:rPr>
        <w:instrText xml:space="preserve"> HYPERLINK \l _Toc22119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_Toc22119 \h </w:instrText>
      </w:r>
      <w:r>
        <w:fldChar w:fldCharType="separate"/>
      </w:r>
      <w:r>
        <w:t>15</w:t>
      </w:r>
      <w:r>
        <w:fldChar w:fldCharType="end"/>
      </w:r>
      <w:r>
        <w:rPr>
          <w:color w:val="auto"/>
          <w:szCs w:val="30"/>
          <w:highlight w:val="none"/>
        </w:rPr>
        <w:fldChar w:fldCharType="end"/>
      </w:r>
    </w:p>
    <w:p w14:paraId="3D589FD7">
      <w:pPr>
        <w:pStyle w:val="30"/>
        <w:tabs>
          <w:tab w:val="right" w:leader="dot" w:pos="8306"/>
        </w:tabs>
      </w:pPr>
      <w:r>
        <w:rPr>
          <w:color w:val="auto"/>
          <w:szCs w:val="30"/>
          <w:highlight w:val="none"/>
        </w:rPr>
        <w:fldChar w:fldCharType="begin"/>
      </w:r>
      <w:r>
        <w:rPr>
          <w:szCs w:val="30"/>
          <w:highlight w:val="none"/>
        </w:rPr>
        <w:instrText xml:space="preserve"> HYPERLINK \l _Toc18298 </w:instrText>
      </w:r>
      <w:r>
        <w:rPr>
          <w:szCs w:val="30"/>
          <w:highlight w:val="none"/>
        </w:rPr>
        <w:fldChar w:fldCharType="separate"/>
      </w:r>
      <w:r>
        <w:rPr>
          <w:rFonts w:hint="eastAsia" w:hAnsi="宋体" w:cs="宋体"/>
          <w:bCs w:val="0"/>
          <w:highlight w:val="none"/>
        </w:rPr>
        <w:t>一、服务内容</w:t>
      </w:r>
      <w:r>
        <w:tab/>
      </w:r>
      <w:r>
        <w:fldChar w:fldCharType="begin"/>
      </w:r>
      <w:r>
        <w:instrText xml:space="preserve"> PAGEREF _Toc18298 \h </w:instrText>
      </w:r>
      <w:r>
        <w:fldChar w:fldCharType="separate"/>
      </w:r>
      <w:r>
        <w:t>15</w:t>
      </w:r>
      <w:r>
        <w:fldChar w:fldCharType="end"/>
      </w:r>
      <w:r>
        <w:rPr>
          <w:color w:val="auto"/>
          <w:szCs w:val="30"/>
          <w:highlight w:val="none"/>
        </w:rPr>
        <w:fldChar w:fldCharType="end"/>
      </w:r>
    </w:p>
    <w:p w14:paraId="231529EC">
      <w:pPr>
        <w:pStyle w:val="30"/>
        <w:tabs>
          <w:tab w:val="right" w:leader="dot" w:pos="8306"/>
        </w:tabs>
      </w:pPr>
      <w:r>
        <w:rPr>
          <w:color w:val="auto"/>
          <w:szCs w:val="30"/>
          <w:highlight w:val="none"/>
        </w:rPr>
        <w:fldChar w:fldCharType="begin"/>
      </w:r>
      <w:r>
        <w:rPr>
          <w:szCs w:val="30"/>
          <w:highlight w:val="none"/>
        </w:rPr>
        <w:instrText xml:space="preserve"> HYPERLINK \l _Toc6251 </w:instrText>
      </w:r>
      <w:r>
        <w:rPr>
          <w:szCs w:val="30"/>
          <w:highlight w:val="none"/>
        </w:rPr>
        <w:fldChar w:fldCharType="separate"/>
      </w:r>
      <w:r>
        <w:rPr>
          <w:rFonts w:hint="eastAsia" w:hAnsi="宋体" w:cs="宋体"/>
          <w:bCs w:val="0"/>
          <w:highlight w:val="none"/>
          <w:lang w:val="en-US" w:eastAsia="zh-CN"/>
        </w:rPr>
        <w:t>二</w:t>
      </w:r>
      <w:r>
        <w:rPr>
          <w:rFonts w:hint="eastAsia" w:hAnsi="宋体" w:cs="宋体"/>
          <w:bCs w:val="0"/>
          <w:highlight w:val="none"/>
        </w:rPr>
        <w:t>、服务人员及变更</w:t>
      </w:r>
      <w:r>
        <w:tab/>
      </w:r>
      <w:r>
        <w:fldChar w:fldCharType="begin"/>
      </w:r>
      <w:r>
        <w:instrText xml:space="preserve"> PAGEREF _Toc6251 \h </w:instrText>
      </w:r>
      <w:r>
        <w:fldChar w:fldCharType="separate"/>
      </w:r>
      <w:r>
        <w:t>15</w:t>
      </w:r>
      <w:r>
        <w:fldChar w:fldCharType="end"/>
      </w:r>
      <w:r>
        <w:rPr>
          <w:color w:val="auto"/>
          <w:szCs w:val="30"/>
          <w:highlight w:val="none"/>
        </w:rPr>
        <w:fldChar w:fldCharType="end"/>
      </w:r>
    </w:p>
    <w:p w14:paraId="11B47C9C">
      <w:pPr>
        <w:pStyle w:val="30"/>
        <w:tabs>
          <w:tab w:val="right" w:leader="dot" w:pos="8306"/>
        </w:tabs>
      </w:pPr>
      <w:r>
        <w:rPr>
          <w:color w:val="auto"/>
          <w:szCs w:val="30"/>
          <w:highlight w:val="none"/>
        </w:rPr>
        <w:fldChar w:fldCharType="begin"/>
      </w:r>
      <w:r>
        <w:rPr>
          <w:szCs w:val="30"/>
          <w:highlight w:val="none"/>
        </w:rPr>
        <w:instrText xml:space="preserve"> HYPERLINK \l _Toc25544 </w:instrText>
      </w:r>
      <w:r>
        <w:rPr>
          <w:szCs w:val="30"/>
          <w:highlight w:val="none"/>
        </w:rPr>
        <w:fldChar w:fldCharType="separate"/>
      </w:r>
      <w:r>
        <w:rPr>
          <w:rFonts w:hint="eastAsia" w:hAnsi="宋体" w:cs="宋体"/>
          <w:bCs w:val="0"/>
          <w:highlight w:val="none"/>
          <w:lang w:val="en-US" w:eastAsia="zh-CN"/>
        </w:rPr>
        <w:t>三</w:t>
      </w:r>
      <w:r>
        <w:rPr>
          <w:rFonts w:hint="eastAsia" w:hAnsi="宋体" w:cs="宋体"/>
          <w:bCs w:val="0"/>
          <w:highlight w:val="none"/>
        </w:rPr>
        <w:t>、</w:t>
      </w:r>
      <w:r>
        <w:rPr>
          <w:rFonts w:hint="eastAsia" w:hAnsi="宋体" w:cs="宋体"/>
          <w:bCs w:val="0"/>
          <w:highlight w:val="none"/>
          <w:lang w:val="en-US" w:eastAsia="zh-CN"/>
        </w:rPr>
        <w:t>其他</w:t>
      </w:r>
      <w:r>
        <w:tab/>
      </w:r>
      <w:r>
        <w:fldChar w:fldCharType="begin"/>
      </w:r>
      <w:r>
        <w:instrText xml:space="preserve"> PAGEREF _Toc25544 \h </w:instrText>
      </w:r>
      <w:r>
        <w:fldChar w:fldCharType="separate"/>
      </w:r>
      <w:r>
        <w:t>15</w:t>
      </w:r>
      <w:r>
        <w:fldChar w:fldCharType="end"/>
      </w:r>
      <w:r>
        <w:rPr>
          <w:color w:val="auto"/>
          <w:szCs w:val="30"/>
          <w:highlight w:val="none"/>
        </w:rPr>
        <w:fldChar w:fldCharType="end"/>
      </w:r>
    </w:p>
    <w:p w14:paraId="4469B4FE">
      <w:pPr>
        <w:pStyle w:val="30"/>
        <w:tabs>
          <w:tab w:val="right" w:leader="dot" w:pos="8306"/>
        </w:tabs>
      </w:pPr>
      <w:r>
        <w:rPr>
          <w:color w:val="auto"/>
          <w:szCs w:val="30"/>
          <w:highlight w:val="none"/>
        </w:rPr>
        <w:fldChar w:fldCharType="begin"/>
      </w:r>
      <w:r>
        <w:rPr>
          <w:szCs w:val="30"/>
          <w:highlight w:val="none"/>
        </w:rPr>
        <w:instrText xml:space="preserve"> HYPERLINK \l _Toc1813 </w:instrText>
      </w:r>
      <w:r>
        <w:rPr>
          <w:szCs w:val="30"/>
          <w:highlight w:val="none"/>
        </w:rPr>
        <w:fldChar w:fldCharType="separate"/>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、商务要求</w:t>
      </w:r>
      <w:r>
        <w:tab/>
      </w:r>
      <w:r>
        <w:fldChar w:fldCharType="begin"/>
      </w:r>
      <w:r>
        <w:instrText xml:space="preserve"> PAGEREF _Toc1813 \h </w:instrText>
      </w:r>
      <w:r>
        <w:fldChar w:fldCharType="separate"/>
      </w:r>
      <w:r>
        <w:t>15</w:t>
      </w:r>
      <w:r>
        <w:fldChar w:fldCharType="end"/>
      </w:r>
      <w:r>
        <w:rPr>
          <w:color w:val="auto"/>
          <w:szCs w:val="30"/>
          <w:highlight w:val="none"/>
        </w:rPr>
        <w:fldChar w:fldCharType="end"/>
      </w:r>
    </w:p>
    <w:p w14:paraId="46702A0B">
      <w:pPr>
        <w:pStyle w:val="30"/>
        <w:tabs>
          <w:tab w:val="right" w:leader="dot" w:pos="8306"/>
        </w:tabs>
      </w:pPr>
      <w:r>
        <w:rPr>
          <w:color w:val="auto"/>
          <w:szCs w:val="30"/>
          <w:highlight w:val="none"/>
        </w:rPr>
        <w:fldChar w:fldCharType="begin"/>
      </w:r>
      <w:r>
        <w:rPr>
          <w:szCs w:val="30"/>
          <w:highlight w:val="none"/>
        </w:rPr>
        <w:instrText xml:space="preserve"> HYPERLINK \l _Toc3383 </w:instrText>
      </w:r>
      <w:r>
        <w:rPr>
          <w:szCs w:val="30"/>
          <w:highlight w:val="none"/>
        </w:rPr>
        <w:fldChar w:fldCharType="separate"/>
      </w:r>
      <w:r>
        <w:rPr>
          <w:rFonts w:hint="eastAsia" w:ascii="宋体" w:hAnsi="宋体" w:eastAsia="宋体" w:cs="宋体"/>
          <w:bCs/>
          <w:szCs w:val="21"/>
          <w:highlight w:val="none"/>
          <w:lang w:val="en-US" w:eastAsia="zh-CN"/>
        </w:rPr>
        <w:t>五</w:t>
      </w:r>
      <w:r>
        <w:rPr>
          <w:rFonts w:hint="eastAsia" w:ascii="宋体" w:hAnsi="宋体" w:eastAsia="宋体" w:cs="宋体"/>
          <w:bCs/>
          <w:szCs w:val="21"/>
          <w:highlight w:val="none"/>
        </w:rPr>
        <w:t>、其他说明</w:t>
      </w:r>
      <w:r>
        <w:tab/>
      </w:r>
      <w:r>
        <w:fldChar w:fldCharType="begin"/>
      </w:r>
      <w:r>
        <w:instrText xml:space="preserve"> PAGEREF _Toc3383 \h </w:instrText>
      </w:r>
      <w:r>
        <w:fldChar w:fldCharType="separate"/>
      </w:r>
      <w:r>
        <w:t>16</w:t>
      </w:r>
      <w:r>
        <w:fldChar w:fldCharType="end"/>
      </w:r>
      <w:r>
        <w:rPr>
          <w:color w:val="auto"/>
          <w:szCs w:val="30"/>
          <w:highlight w:val="none"/>
        </w:rPr>
        <w:fldChar w:fldCharType="end"/>
      </w:r>
    </w:p>
    <w:p w14:paraId="236495F2">
      <w:pPr>
        <w:pStyle w:val="25"/>
        <w:tabs>
          <w:tab w:val="right" w:leader="dot" w:pos="8306"/>
        </w:tabs>
      </w:pPr>
      <w:r>
        <w:rPr>
          <w:color w:val="auto"/>
          <w:szCs w:val="30"/>
          <w:highlight w:val="none"/>
        </w:rPr>
        <w:fldChar w:fldCharType="begin"/>
      </w:r>
      <w:r>
        <w:rPr>
          <w:szCs w:val="30"/>
          <w:highlight w:val="none"/>
        </w:rPr>
        <w:instrText xml:space="preserve"> HYPERLINK \l _Toc27172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_Toc27172 \h </w:instrText>
      </w:r>
      <w:r>
        <w:fldChar w:fldCharType="separate"/>
      </w:r>
      <w:r>
        <w:t>17</w:t>
      </w:r>
      <w:r>
        <w:fldChar w:fldCharType="end"/>
      </w:r>
      <w:r>
        <w:rPr>
          <w:color w:val="auto"/>
          <w:szCs w:val="30"/>
          <w:highlight w:val="none"/>
        </w:rPr>
        <w:fldChar w:fldCharType="end"/>
      </w:r>
    </w:p>
    <w:p w14:paraId="2153E985">
      <w:pPr>
        <w:pStyle w:val="30"/>
        <w:tabs>
          <w:tab w:val="right" w:leader="dot" w:pos="8306"/>
        </w:tabs>
      </w:pPr>
      <w:r>
        <w:rPr>
          <w:color w:val="auto"/>
          <w:szCs w:val="30"/>
          <w:highlight w:val="none"/>
        </w:rPr>
        <w:fldChar w:fldCharType="begin"/>
      </w:r>
      <w:r>
        <w:rPr>
          <w:szCs w:val="30"/>
          <w:highlight w:val="none"/>
        </w:rPr>
        <w:instrText xml:space="preserve"> HYPERLINK \l _Toc1807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_Toc1807 \h </w:instrText>
      </w:r>
      <w:r>
        <w:fldChar w:fldCharType="separate"/>
      </w:r>
      <w:r>
        <w:t>17</w:t>
      </w:r>
      <w:r>
        <w:fldChar w:fldCharType="end"/>
      </w:r>
      <w:r>
        <w:rPr>
          <w:color w:val="auto"/>
          <w:szCs w:val="30"/>
          <w:highlight w:val="none"/>
        </w:rPr>
        <w:fldChar w:fldCharType="end"/>
      </w:r>
    </w:p>
    <w:p w14:paraId="1573318D">
      <w:pPr>
        <w:pStyle w:val="30"/>
        <w:tabs>
          <w:tab w:val="right" w:leader="dot" w:pos="8306"/>
        </w:tabs>
      </w:pPr>
      <w:r>
        <w:rPr>
          <w:color w:val="auto"/>
          <w:szCs w:val="30"/>
          <w:highlight w:val="none"/>
        </w:rPr>
        <w:fldChar w:fldCharType="begin"/>
      </w:r>
      <w:r>
        <w:rPr>
          <w:szCs w:val="30"/>
          <w:highlight w:val="none"/>
        </w:rPr>
        <w:instrText xml:space="preserve"> HYPERLINK \l _Toc20520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_Toc20520 \h </w:instrText>
      </w:r>
      <w:r>
        <w:fldChar w:fldCharType="separate"/>
      </w:r>
      <w:r>
        <w:t>17</w:t>
      </w:r>
      <w:r>
        <w:fldChar w:fldCharType="end"/>
      </w:r>
      <w:r>
        <w:rPr>
          <w:color w:val="auto"/>
          <w:szCs w:val="30"/>
          <w:highlight w:val="none"/>
        </w:rPr>
        <w:fldChar w:fldCharType="end"/>
      </w:r>
    </w:p>
    <w:p w14:paraId="1E91A507">
      <w:pPr>
        <w:pStyle w:val="30"/>
        <w:tabs>
          <w:tab w:val="right" w:leader="dot" w:pos="8306"/>
        </w:tabs>
      </w:pPr>
      <w:r>
        <w:rPr>
          <w:color w:val="auto"/>
          <w:szCs w:val="30"/>
          <w:highlight w:val="none"/>
        </w:rPr>
        <w:fldChar w:fldCharType="begin"/>
      </w:r>
      <w:r>
        <w:rPr>
          <w:szCs w:val="30"/>
          <w:highlight w:val="none"/>
        </w:rPr>
        <w:instrText xml:space="preserve"> HYPERLINK \l _Toc9344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_Toc9344 \h </w:instrText>
      </w:r>
      <w:r>
        <w:fldChar w:fldCharType="separate"/>
      </w:r>
      <w:r>
        <w:t>19</w:t>
      </w:r>
      <w:r>
        <w:fldChar w:fldCharType="end"/>
      </w:r>
      <w:r>
        <w:rPr>
          <w:color w:val="auto"/>
          <w:szCs w:val="30"/>
          <w:highlight w:val="none"/>
        </w:rPr>
        <w:fldChar w:fldCharType="end"/>
      </w:r>
    </w:p>
    <w:p w14:paraId="28FFF1B1">
      <w:pPr>
        <w:pStyle w:val="25"/>
        <w:tabs>
          <w:tab w:val="right" w:leader="dot" w:pos="8306"/>
        </w:tabs>
      </w:pPr>
      <w:r>
        <w:rPr>
          <w:color w:val="auto"/>
          <w:szCs w:val="30"/>
          <w:highlight w:val="none"/>
        </w:rPr>
        <w:fldChar w:fldCharType="begin"/>
      </w:r>
      <w:r>
        <w:rPr>
          <w:szCs w:val="30"/>
          <w:highlight w:val="none"/>
        </w:rPr>
        <w:instrText xml:space="preserve"> HYPERLINK \l _Toc11009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_Toc11009 \h </w:instrText>
      </w:r>
      <w:r>
        <w:fldChar w:fldCharType="separate"/>
      </w:r>
      <w:r>
        <w:t>22</w:t>
      </w:r>
      <w:r>
        <w:fldChar w:fldCharType="end"/>
      </w:r>
      <w:r>
        <w:rPr>
          <w:color w:val="auto"/>
          <w:szCs w:val="30"/>
          <w:highlight w:val="none"/>
        </w:rPr>
        <w:fldChar w:fldCharType="end"/>
      </w:r>
    </w:p>
    <w:p w14:paraId="38127559">
      <w:pPr>
        <w:pStyle w:val="25"/>
        <w:tabs>
          <w:tab w:val="right" w:leader="dot" w:pos="8306"/>
        </w:tabs>
      </w:pPr>
      <w:r>
        <w:rPr>
          <w:color w:val="auto"/>
          <w:szCs w:val="30"/>
          <w:highlight w:val="none"/>
        </w:rPr>
        <w:fldChar w:fldCharType="begin"/>
      </w:r>
      <w:r>
        <w:rPr>
          <w:szCs w:val="30"/>
          <w:highlight w:val="none"/>
        </w:rPr>
        <w:instrText xml:space="preserve"> HYPERLINK \l _Toc5520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_Toc5520 \h </w:instrText>
      </w:r>
      <w:r>
        <w:fldChar w:fldCharType="separate"/>
      </w:r>
      <w:r>
        <w:t>24</w:t>
      </w:r>
      <w:r>
        <w:fldChar w:fldCharType="end"/>
      </w:r>
      <w:r>
        <w:rPr>
          <w:color w:val="auto"/>
          <w:szCs w:val="30"/>
          <w:highlight w:val="none"/>
        </w:rPr>
        <w:fldChar w:fldCharType="end"/>
      </w:r>
    </w:p>
    <w:p w14:paraId="5CF22BA1">
      <w:pPr>
        <w:pStyle w:val="25"/>
        <w:tabs>
          <w:tab w:val="right" w:leader="dot" w:pos="8306"/>
        </w:tabs>
      </w:pPr>
      <w:r>
        <w:rPr>
          <w:color w:val="auto"/>
          <w:szCs w:val="30"/>
          <w:highlight w:val="none"/>
        </w:rPr>
        <w:fldChar w:fldCharType="begin"/>
      </w:r>
      <w:r>
        <w:rPr>
          <w:szCs w:val="30"/>
          <w:highlight w:val="none"/>
        </w:rPr>
        <w:instrText xml:space="preserve"> HYPERLINK \l _Toc416 </w:instrText>
      </w:r>
      <w:r>
        <w:rPr>
          <w:szCs w:val="30"/>
          <w:highlight w:val="none"/>
        </w:rPr>
        <w:fldChar w:fldCharType="separate"/>
      </w:r>
      <w:r>
        <w:rPr>
          <w:rFonts w:hint="eastAsia"/>
          <w:highlight w:val="none"/>
          <w:lang w:val="en-US" w:eastAsia="zh-CN"/>
        </w:rPr>
        <w:t xml:space="preserve">第七章 </w:t>
      </w:r>
      <w:r>
        <w:rPr>
          <w:rFonts w:hint="eastAsia"/>
          <w:highlight w:val="none"/>
        </w:rPr>
        <w:t>合同</w:t>
      </w:r>
      <w:r>
        <w:tab/>
      </w:r>
      <w:r>
        <w:fldChar w:fldCharType="begin"/>
      </w:r>
      <w:r>
        <w:instrText xml:space="preserve"> PAGEREF _Toc416 \h </w:instrText>
      </w:r>
      <w:r>
        <w:fldChar w:fldCharType="separate"/>
      </w:r>
      <w:r>
        <w:t>26</w:t>
      </w:r>
      <w:r>
        <w:fldChar w:fldCharType="end"/>
      </w:r>
      <w:r>
        <w:rPr>
          <w:color w:val="auto"/>
          <w:szCs w:val="30"/>
          <w:highlight w:val="none"/>
        </w:rPr>
        <w:fldChar w:fldCharType="end"/>
      </w:r>
    </w:p>
    <w:p w14:paraId="6053FE1E">
      <w:pPr>
        <w:pStyle w:val="25"/>
        <w:tabs>
          <w:tab w:val="right" w:leader="dot" w:pos="8306"/>
        </w:tabs>
      </w:pPr>
      <w:r>
        <w:rPr>
          <w:color w:val="auto"/>
          <w:szCs w:val="30"/>
          <w:highlight w:val="none"/>
        </w:rPr>
        <w:fldChar w:fldCharType="begin"/>
      </w:r>
      <w:r>
        <w:rPr>
          <w:szCs w:val="30"/>
          <w:highlight w:val="none"/>
        </w:rPr>
        <w:instrText xml:space="preserve"> HYPERLINK \l _Toc2151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cs="Times New Roman"/>
          <w:szCs w:val="36"/>
          <w:highlight w:val="none"/>
          <w:lang w:val="en-US" w:eastAsia="zh-CN"/>
        </w:rPr>
        <w:t>八</w:t>
      </w:r>
      <w:r>
        <w:rPr>
          <w:rFonts w:hint="eastAsia" w:ascii="宋体" w:hAnsi="宋体" w:eastAsia="宋体" w:cs="Times New Roman"/>
          <w:szCs w:val="36"/>
          <w:highlight w:val="none"/>
        </w:rPr>
        <w:t>章  投标文件部分格式</w:t>
      </w:r>
      <w:r>
        <w:tab/>
      </w:r>
      <w:r>
        <w:fldChar w:fldCharType="begin"/>
      </w:r>
      <w:r>
        <w:instrText xml:space="preserve"> PAGEREF _Toc2151 \h </w:instrText>
      </w:r>
      <w:r>
        <w:fldChar w:fldCharType="separate"/>
      </w:r>
      <w:r>
        <w:t>31</w:t>
      </w:r>
      <w:r>
        <w:fldChar w:fldCharType="end"/>
      </w:r>
      <w:r>
        <w:rPr>
          <w:color w:val="auto"/>
          <w:szCs w:val="30"/>
          <w:highlight w:val="none"/>
        </w:rPr>
        <w:fldChar w:fldCharType="end"/>
      </w:r>
    </w:p>
    <w:p w14:paraId="4FDBEAF3">
      <w:pPr>
        <w:pStyle w:val="30"/>
        <w:tabs>
          <w:tab w:val="right" w:leader="dot" w:pos="8306"/>
        </w:tabs>
      </w:pPr>
      <w:r>
        <w:rPr>
          <w:color w:val="auto"/>
          <w:szCs w:val="30"/>
          <w:highlight w:val="none"/>
        </w:rPr>
        <w:fldChar w:fldCharType="begin"/>
      </w:r>
      <w:r>
        <w:rPr>
          <w:szCs w:val="30"/>
          <w:highlight w:val="none"/>
        </w:rPr>
        <w:instrText xml:space="preserve"> HYPERLINK \l _Toc26781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_Toc26781 \h </w:instrText>
      </w:r>
      <w:r>
        <w:fldChar w:fldCharType="separate"/>
      </w:r>
      <w:r>
        <w:t>31</w:t>
      </w:r>
      <w:r>
        <w:fldChar w:fldCharType="end"/>
      </w:r>
      <w:r>
        <w:rPr>
          <w:color w:val="auto"/>
          <w:szCs w:val="30"/>
          <w:highlight w:val="none"/>
        </w:rPr>
        <w:fldChar w:fldCharType="end"/>
      </w:r>
    </w:p>
    <w:p w14:paraId="2B7A1CA2">
      <w:pPr>
        <w:pStyle w:val="30"/>
        <w:tabs>
          <w:tab w:val="right" w:leader="dot" w:pos="8306"/>
        </w:tabs>
      </w:pPr>
      <w:r>
        <w:rPr>
          <w:color w:val="auto"/>
          <w:szCs w:val="30"/>
          <w:highlight w:val="none"/>
        </w:rPr>
        <w:fldChar w:fldCharType="begin"/>
      </w:r>
      <w:r>
        <w:rPr>
          <w:szCs w:val="30"/>
          <w:highlight w:val="none"/>
        </w:rPr>
        <w:instrText xml:space="preserve"> HYPERLINK \l _Toc10759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_Toc10759 \h </w:instrText>
      </w:r>
      <w:r>
        <w:fldChar w:fldCharType="separate"/>
      </w:r>
      <w:r>
        <w:t>31</w:t>
      </w:r>
      <w:r>
        <w:fldChar w:fldCharType="end"/>
      </w:r>
      <w:r>
        <w:rPr>
          <w:color w:val="auto"/>
          <w:szCs w:val="30"/>
          <w:highlight w:val="none"/>
        </w:rPr>
        <w:fldChar w:fldCharType="end"/>
      </w:r>
    </w:p>
    <w:p w14:paraId="1CFDC601">
      <w:pPr>
        <w:pStyle w:val="30"/>
        <w:tabs>
          <w:tab w:val="right" w:leader="dot" w:pos="8306"/>
        </w:tabs>
      </w:pPr>
      <w:r>
        <w:rPr>
          <w:color w:val="auto"/>
          <w:szCs w:val="30"/>
          <w:highlight w:val="none"/>
        </w:rPr>
        <w:fldChar w:fldCharType="begin"/>
      </w:r>
      <w:r>
        <w:rPr>
          <w:szCs w:val="30"/>
          <w:highlight w:val="none"/>
        </w:rPr>
        <w:instrText xml:space="preserve"> HYPERLINK \l _Toc16534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_Toc16534 \h </w:instrText>
      </w:r>
      <w:r>
        <w:fldChar w:fldCharType="separate"/>
      </w:r>
      <w:r>
        <w:t>31</w:t>
      </w:r>
      <w:r>
        <w:fldChar w:fldCharType="end"/>
      </w:r>
      <w:r>
        <w:rPr>
          <w:color w:val="auto"/>
          <w:szCs w:val="30"/>
          <w:highlight w:val="none"/>
        </w:rPr>
        <w:fldChar w:fldCharType="end"/>
      </w:r>
    </w:p>
    <w:p w14:paraId="6C5D817C">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25F02D31">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13402"/>
      <w:bookmarkStart w:id="1" w:name="_Toc2635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0389FF16">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B3CE6C3">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YWYGZC202601CG0012</w:t>
      </w:r>
      <w:r>
        <w:rPr>
          <w:rFonts w:hint="eastAsia" w:ascii="宋体" w:hAnsi="宋体" w:cs="宋体"/>
          <w:b/>
          <w:bCs w:val="0"/>
          <w:color w:val="auto"/>
          <w:highlight w:val="none"/>
          <w:lang w:eastAsia="zh-CN"/>
        </w:rPr>
        <w:t>（</w:t>
      </w:r>
      <w:r>
        <w:rPr>
          <w:rFonts w:hint="eastAsia" w:ascii="宋体" w:hAnsi="宋体" w:cs="宋体"/>
          <w:b w:val="0"/>
          <w:bCs/>
          <w:color w:val="auto"/>
          <w:highlight w:val="none"/>
          <w:lang w:val="en-US" w:eastAsia="zh-CN"/>
        </w:rPr>
        <w:t>JYP</w:t>
      </w:r>
      <w:r>
        <w:rPr>
          <w:rFonts w:hint="eastAsia" w:ascii="宋体" w:hAnsi="宋体" w:cs="宋体"/>
          <w:b w:val="0"/>
          <w:bCs/>
          <w:color w:val="auto"/>
          <w:highlight w:val="none"/>
        </w:rPr>
        <w:t>-202</w:t>
      </w:r>
      <w:r>
        <w:rPr>
          <w:rFonts w:hint="eastAsia" w:ascii="宋体" w:hAnsi="宋体" w:cs="宋体"/>
          <w:b w:val="0"/>
          <w:bCs/>
          <w:color w:val="auto"/>
          <w:highlight w:val="none"/>
          <w:lang w:val="en-US" w:eastAsia="zh-CN"/>
        </w:rPr>
        <w:t>5</w:t>
      </w:r>
      <w:r>
        <w:rPr>
          <w:rFonts w:hint="eastAsia" w:ascii="宋体" w:hAnsi="宋体" w:cs="宋体"/>
          <w:b w:val="0"/>
          <w:bCs/>
          <w:color w:val="auto"/>
          <w:highlight w:val="none"/>
        </w:rPr>
        <w:t>-CG</w:t>
      </w:r>
      <w:r>
        <w:rPr>
          <w:rFonts w:hint="eastAsia" w:ascii="宋体" w:hAnsi="宋体" w:cs="宋体"/>
          <w:b w:val="0"/>
          <w:bCs/>
          <w:color w:val="auto"/>
          <w:highlight w:val="none"/>
          <w:lang w:val="en-US" w:eastAsia="zh-CN"/>
        </w:rPr>
        <w:t>339</w:t>
      </w:r>
      <w:r>
        <w:rPr>
          <w:rFonts w:hint="eastAsia" w:ascii="宋体" w:hAnsi="宋体" w:cs="宋体"/>
          <w:b/>
          <w:bCs w:val="0"/>
          <w:color w:val="auto"/>
          <w:highlight w:val="none"/>
          <w:lang w:eastAsia="zh-CN"/>
        </w:rPr>
        <w:t>）</w:t>
      </w:r>
      <w:r>
        <w:rPr>
          <w:rFonts w:hint="eastAsia" w:ascii="宋体" w:hAnsi="宋体" w:cs="宋体"/>
          <w:b/>
          <w:bCs w:val="0"/>
          <w:color w:val="auto"/>
          <w:highlight w:val="none"/>
        </w:rPr>
        <w:t xml:space="preserve">  </w:t>
      </w:r>
    </w:p>
    <w:p w14:paraId="653B868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rPr>
        <w:t>用于武德净水厂工业废水处理的盐酸（31%），预计</w:t>
      </w:r>
      <w:r>
        <w:rPr>
          <w:rFonts w:hint="eastAsia" w:ascii="宋体" w:hAnsi="宋体"/>
          <w:lang w:val="en-US" w:eastAsia="zh-CN"/>
        </w:rPr>
        <w:t>2</w:t>
      </w:r>
      <w:r>
        <w:rPr>
          <w:rFonts w:hint="eastAsia" w:ascii="宋体" w:hAnsi="宋体"/>
        </w:rPr>
        <w:t>年用量为</w:t>
      </w:r>
      <w:r>
        <w:rPr>
          <w:rFonts w:hint="eastAsia" w:ascii="宋体" w:hAnsi="宋体"/>
          <w:lang w:val="en-US" w:eastAsia="zh-CN"/>
        </w:rPr>
        <w:t>2000</w:t>
      </w:r>
      <w:r>
        <w:rPr>
          <w:rFonts w:hint="eastAsia" w:ascii="宋体" w:hAnsi="宋体"/>
        </w:rPr>
        <w:t>吨（最终以实际用量为准）</w:t>
      </w:r>
      <w:r>
        <w:rPr>
          <w:rFonts w:hint="eastAsia" w:ascii="宋体" w:hAnsi="宋体"/>
          <w:color w:val="auto"/>
          <w:highlight w:val="none"/>
          <w:lang w:eastAsia="zh-CN"/>
        </w:rPr>
        <w:t>，具体</w:t>
      </w:r>
      <w:r>
        <w:rPr>
          <w:rFonts w:hint="eastAsia" w:ascii="宋体" w:hAnsi="宋体"/>
          <w:color w:val="auto"/>
          <w:highlight w:val="none"/>
          <w:lang w:val="en-US" w:eastAsia="zh-CN"/>
        </w:rPr>
        <w:t>内容</w:t>
      </w:r>
      <w:r>
        <w:rPr>
          <w:rFonts w:hint="eastAsia" w:ascii="宋体" w:hAnsi="宋体"/>
          <w:color w:val="auto"/>
          <w:highlight w:val="none"/>
          <w:lang w:eastAsia="zh-CN"/>
        </w:rPr>
        <w:t>详见第三章招标项目要求。</w:t>
      </w:r>
    </w:p>
    <w:p w14:paraId="670049C3">
      <w:pPr>
        <w:spacing w:line="360" w:lineRule="auto"/>
        <w:ind w:firstLine="632" w:firstLineChars="300"/>
        <w:rPr>
          <w:rFonts w:ascii="宋体" w:hAnsi="宋体"/>
        </w:rPr>
      </w:pP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rPr>
        <w:t>预算为：</w:t>
      </w:r>
      <w:r>
        <w:rPr>
          <w:rFonts w:hint="eastAsia" w:ascii="宋体" w:hAnsi="宋体"/>
          <w:lang w:val="en-US" w:eastAsia="zh-CN"/>
        </w:rPr>
        <w:t>50</w:t>
      </w:r>
      <w:r>
        <w:rPr>
          <w:rFonts w:hint="eastAsia" w:ascii="宋体" w:hAnsi="宋体"/>
        </w:rPr>
        <w:t>万元</w:t>
      </w:r>
      <w:r>
        <w:rPr>
          <w:rFonts w:hint="eastAsia" w:ascii="宋体" w:hAnsi="宋体"/>
          <w:lang w:eastAsia="zh-CN"/>
        </w:rPr>
        <w:t>，</w:t>
      </w:r>
      <w:r>
        <w:rPr>
          <w:rFonts w:hint="eastAsia" w:ascii="宋体" w:hAnsi="宋体"/>
        </w:rPr>
        <w:t>2</w:t>
      </w:r>
      <w:r>
        <w:rPr>
          <w:rFonts w:hint="eastAsia" w:ascii="宋体" w:hAnsi="宋体"/>
          <w:lang w:val="en-US" w:eastAsia="zh-CN"/>
        </w:rPr>
        <w:t>50</w:t>
      </w:r>
      <w:r>
        <w:rPr>
          <w:rFonts w:hint="eastAsia" w:ascii="宋体" w:hAnsi="宋体"/>
        </w:rPr>
        <w:t>元/吨，本次招标采购的供货年限为</w:t>
      </w:r>
      <w:r>
        <w:rPr>
          <w:rFonts w:hint="eastAsia" w:ascii="宋体" w:hAnsi="宋体"/>
          <w:lang w:val="en-US" w:eastAsia="zh-CN"/>
        </w:rPr>
        <w:t>2</w:t>
      </w:r>
      <w:r>
        <w:rPr>
          <w:rFonts w:hint="eastAsia" w:ascii="宋体" w:hAnsi="宋体"/>
        </w:rPr>
        <w:t>年。投标人的投标单价高于单价最高限价作无效标处理。</w:t>
      </w:r>
    </w:p>
    <w:p w14:paraId="57A3FA2C">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6BBBA1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15AB7C91">
      <w:pPr>
        <w:pStyle w:val="19"/>
        <w:adjustRightInd w:val="0"/>
        <w:snapToGrid w:val="0"/>
        <w:spacing w:line="440" w:lineRule="exact"/>
        <w:ind w:firstLine="420" w:firstLineChars="200"/>
        <w:rPr>
          <w:rFonts w:hAnsi="宋体" w:cs="宋体"/>
          <w:b/>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r>
        <w:rPr>
          <w:rFonts w:hint="eastAsia" w:hAnsi="宋体"/>
        </w:rPr>
        <w:t>（1）</w:t>
      </w:r>
      <w:r>
        <w:rPr>
          <w:rFonts w:hint="eastAsia" w:hAnsi="宋体" w:cs="宋体"/>
        </w:rPr>
        <w:t>有本项目供货及服务能力的盐酸生产厂家或代理商</w:t>
      </w:r>
      <w:r>
        <w:rPr>
          <w:rFonts w:hint="eastAsia" w:hAnsi="宋体" w:cs="宋体"/>
          <w:b/>
          <w:bCs/>
        </w:rPr>
        <w:t>；</w:t>
      </w:r>
    </w:p>
    <w:p w14:paraId="1C7795EB">
      <w:pPr>
        <w:spacing w:line="360" w:lineRule="auto"/>
        <w:ind w:firstLine="420" w:firstLineChars="200"/>
        <w:rPr>
          <w:rFonts w:ascii="宋体" w:hAnsi="宋体" w:cs="宋体"/>
          <w:szCs w:val="21"/>
          <w:highlight w:val="yellow"/>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）投标人须经《浙江省涉毒物品管控系统》注册及备案；</w:t>
      </w:r>
    </w:p>
    <w:p w14:paraId="673A1B8A">
      <w:pPr>
        <w:spacing w:line="360" w:lineRule="auto"/>
        <w:ind w:firstLine="420" w:firstLineChars="200"/>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）投标人须具备</w:t>
      </w:r>
      <w:r>
        <w:rPr>
          <w:rFonts w:hint="eastAsia" w:ascii="宋体" w:hAnsi="宋体" w:cs="宋体"/>
          <w:szCs w:val="21"/>
          <w:lang w:val="en-US" w:eastAsia="zh-CN"/>
        </w:rPr>
        <w:t>危化品经营许可证，</w:t>
      </w:r>
      <w:r>
        <w:rPr>
          <w:rFonts w:hint="eastAsia" w:ascii="宋体" w:hAnsi="宋体" w:cs="宋体"/>
          <w:szCs w:val="21"/>
        </w:rPr>
        <w:t>危化品道路运输许可证（许可范围包含本项目物资）；若委托第三方运输公司运输，投标人须提供与第三方运输公司的运输协议及运输公司危化品道路运输许可证（许可范围包含本项目物资）；</w:t>
      </w:r>
    </w:p>
    <w:p w14:paraId="2E28F4D3">
      <w:pPr>
        <w:spacing w:line="360" w:lineRule="auto"/>
        <w:ind w:firstLine="420" w:firstLineChars="200"/>
        <w:rPr>
          <w:rFonts w:hint="eastAsia" w:ascii="Times New Roman" w:hAnsi="宋体" w:eastAsia="宋体" w:cs="Times New Roman"/>
          <w:b w:val="0"/>
          <w:bCs/>
          <w:color w:val="auto"/>
          <w:highlight w:val="none"/>
          <w:lang w:val="zh-CN"/>
        </w:rPr>
      </w:pPr>
      <w:r>
        <w:rPr>
          <w:rFonts w:hint="eastAsia" w:ascii="宋体" w:hAnsi="宋体"/>
          <w:bCs/>
        </w:rPr>
        <w:t>（5）</w:t>
      </w:r>
      <w:r>
        <w:rPr>
          <w:rFonts w:hint="eastAsia" w:ascii="宋体" w:hAnsi="宋体" w:cs="宋体"/>
          <w:szCs w:val="21"/>
        </w:rPr>
        <w:t>投标人为销售代理单位的，需提供与盐酸生产厂家签订并仍有效的工业合成盐酸长期供货合同；</w:t>
      </w:r>
    </w:p>
    <w:p w14:paraId="5FB86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hAnsi="宋体" w:cs="Times New Roman"/>
          <w:b w:val="0"/>
          <w:bCs/>
          <w:color w:val="auto"/>
          <w:highlight w:val="none"/>
          <w:lang w:val="en-US" w:eastAsia="zh-CN"/>
        </w:rPr>
        <w:t>6</w:t>
      </w:r>
      <w:r>
        <w:rPr>
          <w:rFonts w:hint="eastAsia" w:ascii="Times New Roman" w:hAnsi="宋体" w:eastAsia="宋体" w:cs="Times New Roman"/>
          <w:b w:val="0"/>
          <w:bCs/>
          <w:color w:val="auto"/>
          <w:highlight w:val="none"/>
          <w:lang w:val="en-US" w:eastAsia="zh-CN"/>
        </w:rPr>
        <w:t>）</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33FC4FC5">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1672D2A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宋体" w:hAnsi="宋体" w:eastAsia="宋体" w:cs="宋体"/>
          <w:color w:val="auto"/>
          <w:highlight w:val="none"/>
        </w:rPr>
        <w:t>时间：公告发布时间起至投标截止时间止。</w:t>
      </w:r>
    </w:p>
    <w:p w14:paraId="347C969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地点：义乌市阳光招标采购平台</w:t>
      </w:r>
      <w:r>
        <w:rPr>
          <w:rFonts w:hint="eastAsia" w:ascii="宋体" w:hAnsi="宋体" w:cs="宋体"/>
          <w:color w:val="auto"/>
          <w:highlight w:val="none"/>
          <w:lang w:eastAsia="zh-CN"/>
        </w:rPr>
        <w:t>（</w:t>
      </w:r>
      <w:r>
        <w:rPr>
          <w:rFonts w:hint="eastAsia" w:ascii="宋体" w:hAnsi="宋体" w:eastAsia="宋体" w:cs="宋体"/>
          <w:color w:val="auto"/>
          <w:highlight w:val="none"/>
        </w:rPr>
        <w:t>www.ywygzc.com</w:t>
      </w:r>
      <w:r>
        <w:rPr>
          <w:rFonts w:hint="eastAsia" w:ascii="宋体" w:hAnsi="宋体" w:cs="宋体"/>
          <w:color w:val="auto"/>
          <w:highlight w:val="none"/>
          <w:lang w:eastAsia="zh-CN"/>
        </w:rPr>
        <w:t>）</w:t>
      </w:r>
      <w:r>
        <w:rPr>
          <w:rFonts w:hint="eastAsia" w:ascii="宋体" w:hAnsi="宋体" w:eastAsia="宋体" w:cs="宋体"/>
          <w:color w:val="auto"/>
          <w:highlight w:val="none"/>
        </w:rPr>
        <w:t>、义乌产权交易网（www.ywcq.com）。</w:t>
      </w:r>
    </w:p>
    <w:p w14:paraId="463B2ED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eastAsia="宋体" w:cs="宋体"/>
          <w:color w:val="auto"/>
          <w:highlight w:val="none"/>
        </w:rPr>
        <w:t>方式：登录义乌市阳光招标采购平台账号获取或直接在招标公告下方获取。</w:t>
      </w:r>
    </w:p>
    <w:p w14:paraId="724CB33C">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52CB5141">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义乌市水处理有限责任公司：</w:t>
      </w:r>
      <w:r>
        <w:rPr>
          <w:rFonts w:hint="eastAsia" w:ascii="宋体" w:hAnsi="宋体" w:cs="宋体"/>
          <w:sz w:val="21"/>
          <w:szCs w:val="21"/>
        </w:rPr>
        <w:t>吴先生 0579-85319722</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p>
    <w:p w14:paraId="69963116">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7111E57D">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2026年1月 15日13:00</w:t>
      </w:r>
      <w:r>
        <w:rPr>
          <w:rFonts w:hint="eastAsia" w:ascii="宋体" w:hAnsi="宋体" w:eastAsia="宋体" w:cs="宋体"/>
          <w:color w:val="auto"/>
          <w:highlight w:val="none"/>
        </w:rPr>
        <w:t>（北京时间）</w:t>
      </w:r>
    </w:p>
    <w:p w14:paraId="139485B5">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0D1B390">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2026年1月15日13:00</w:t>
      </w:r>
    </w:p>
    <w:p w14:paraId="1F95EA98">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0215B74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5F2D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义乌市阳光招标采购平台供应商入库申报操作手册；CA办理操作流程：义乌市阳光招标采购平台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办事指南-CA在线办理”（目前“义乌市阳光招标采购平台”仅支持天谷CA锁）】。因未注册入库、未办理CA数字证书等原因造成无法投标或投标失败等后果由供应商自行承担。</w:t>
      </w:r>
    </w:p>
    <w:p w14:paraId="769F4D5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义乌市阳光招标采购平台投标人操作手册”以获取最新操作指南。</w:t>
      </w:r>
    </w:p>
    <w:p w14:paraId="39CE3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投标文件上传：投标人应在投标截止时间（</w:t>
      </w:r>
      <w:r>
        <w:rPr>
          <w:rFonts w:hint="eastAsia" w:ascii="宋体" w:hAnsi="宋体" w:cs="宋体"/>
          <w:color w:val="auto"/>
          <w:highlight w:val="none"/>
          <w:lang w:val="en-US" w:eastAsia="zh-CN"/>
        </w:rPr>
        <w:t>2026年1月15日13:00</w:t>
      </w:r>
      <w:r>
        <w:rPr>
          <w:rFonts w:hint="eastAsia" w:ascii="Times New Roman" w:hAnsi="宋体" w:eastAsia="宋体" w:cs="Times New Roman"/>
          <w:b w:val="0"/>
          <w:bCs/>
          <w:color w:val="auto"/>
          <w:highlight w:val="none"/>
          <w:lang w:val="zh-CN"/>
        </w:rPr>
        <w:t>）之前上传投标文件。</w:t>
      </w:r>
    </w:p>
    <w:p w14:paraId="0067C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zh-CN"/>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D75E7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82C2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①</w:t>
      </w:r>
      <w:r>
        <w:rPr>
          <w:rFonts w:hint="eastAsia" w:ascii="Times New Roman" w:hAnsi="宋体" w:eastAsia="宋体" w:cs="Times New Roman"/>
          <w:b w:val="0"/>
          <w:bCs/>
          <w:color w:val="auto"/>
          <w:highlight w:val="none"/>
          <w:lang w:val="zh-CN"/>
        </w:rPr>
        <w:t>该电脑未安装CA驱动，无法读取CA锁——重新下载安装驱动</w:t>
      </w:r>
      <w:r>
        <w:rPr>
          <w:rFonts w:hint="eastAsia" w:hAnsi="宋体" w:cs="Times New Roman"/>
          <w:b w:val="0"/>
          <w:bCs/>
          <w:color w:val="auto"/>
          <w:highlight w:val="none"/>
          <w:lang w:val="en-US" w:eastAsia="zh-CN"/>
        </w:rPr>
        <w:t>；</w:t>
      </w:r>
    </w:p>
    <w:p w14:paraId="18372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②</w:t>
      </w:r>
      <w:r>
        <w:rPr>
          <w:rFonts w:hint="eastAsia" w:ascii="Times New Roman" w:hAnsi="宋体" w:eastAsia="宋体" w:cs="Times New Roman"/>
          <w:b w:val="0"/>
          <w:bCs/>
          <w:color w:val="auto"/>
          <w:highlight w:val="none"/>
          <w:lang w:val="zh-CN"/>
        </w:rPr>
        <w:t>电脑长时间未关机应用程序未响应，导致无法读取CA锁——重启电脑或重新安装驱动</w:t>
      </w:r>
      <w:r>
        <w:rPr>
          <w:rFonts w:hint="eastAsia" w:hAnsi="宋体" w:cs="Times New Roman"/>
          <w:b w:val="0"/>
          <w:bCs/>
          <w:color w:val="auto"/>
          <w:highlight w:val="none"/>
          <w:lang w:val="en-US" w:eastAsia="zh-CN"/>
        </w:rPr>
        <w:t>；</w:t>
      </w:r>
    </w:p>
    <w:p w14:paraId="2317F3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③</w:t>
      </w:r>
      <w:r>
        <w:rPr>
          <w:rFonts w:hint="eastAsia" w:ascii="Times New Roman" w:hAnsi="宋体" w:eastAsia="宋体" w:cs="Times New Roman"/>
          <w:b w:val="0"/>
          <w:bCs/>
          <w:color w:val="auto"/>
          <w:highlight w:val="none"/>
          <w:lang w:val="zh-CN"/>
        </w:rPr>
        <w:t>浏览器版本过低导致无法识别——更换Egde、谷歌浏览器</w:t>
      </w:r>
      <w:r>
        <w:rPr>
          <w:rFonts w:hint="eastAsia" w:hAnsi="宋体" w:cs="Times New Roman"/>
          <w:b w:val="0"/>
          <w:bCs/>
          <w:color w:val="auto"/>
          <w:highlight w:val="none"/>
          <w:lang w:val="en-US" w:eastAsia="zh-CN"/>
        </w:rPr>
        <w:t>；</w:t>
      </w:r>
    </w:p>
    <w:p w14:paraId="17EE8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④</w:t>
      </w:r>
      <w:r>
        <w:rPr>
          <w:rFonts w:hint="eastAsia" w:ascii="Times New Roman" w:hAnsi="宋体" w:eastAsia="宋体" w:cs="Times New Roman"/>
          <w:b w:val="0"/>
          <w:bCs/>
          <w:color w:val="auto"/>
          <w:highlight w:val="none"/>
          <w:lang w:val="zh-CN"/>
        </w:rPr>
        <w:t>密码多次输入错误导致无法解密——打开CA工具进行检测密码是否正确</w:t>
      </w:r>
      <w:r>
        <w:rPr>
          <w:rFonts w:hint="eastAsia" w:hAnsi="宋体" w:cs="Times New Roman"/>
          <w:b w:val="0"/>
          <w:bCs/>
          <w:color w:val="auto"/>
          <w:highlight w:val="none"/>
          <w:lang w:val="en-US" w:eastAsia="zh-CN"/>
        </w:rPr>
        <w:t>；</w:t>
      </w:r>
    </w:p>
    <w:p w14:paraId="0FD19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⑤因杀毒软件检测导致无法识别CA锁——关闭杀毒软件</w:t>
      </w:r>
      <w:r>
        <w:rPr>
          <w:rFonts w:hint="eastAsia" w:hAnsi="宋体" w:cs="Times New Roman"/>
          <w:b w:val="0"/>
          <w:bCs/>
          <w:color w:val="auto"/>
          <w:highlight w:val="none"/>
          <w:lang w:val="en-US" w:eastAsia="zh-CN"/>
        </w:rPr>
        <w:t>；</w:t>
      </w:r>
    </w:p>
    <w:p w14:paraId="169B7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微软雅黑" w:hAnsi="微软雅黑" w:eastAsia="微软雅黑" w:cs="微软雅黑"/>
          <w:b w:val="0"/>
          <w:bCs/>
          <w:color w:val="auto"/>
          <w:highlight w:val="none"/>
          <w:lang w:val="zh-CN"/>
        </w:rPr>
        <w:t>⑥</w:t>
      </w:r>
      <w:r>
        <w:rPr>
          <w:rFonts w:hint="eastAsia" w:ascii="Times New Roman" w:hAnsi="宋体" w:eastAsia="宋体" w:cs="Times New Roman"/>
          <w:b w:val="0"/>
          <w:bCs/>
          <w:color w:val="auto"/>
          <w:highlight w:val="none"/>
          <w:lang w:val="zh-CN"/>
        </w:rPr>
        <w:t>因系统安装多版本驱动导致无法识别CA锁——卸载其他驱动或更换其他电脑安装驱动。</w:t>
      </w:r>
    </w:p>
    <w:p w14:paraId="64529766">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Times New Roman" w:hAnsi="宋体" w:eastAsia="宋体" w:cs="Times New Roman"/>
          <w:b w:val="0"/>
          <w:bCs/>
          <w:color w:val="auto"/>
          <w:highlight w:val="none"/>
          <w:lang w:val="en-US" w:eastAsia="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5）</w:t>
      </w:r>
      <w:r>
        <w:rPr>
          <w:rFonts w:hint="eastAsia" w:ascii="Times New Roman" w:hAnsi="宋体" w:eastAsia="宋体" w:cs="Times New Roman"/>
          <w:b w:val="0"/>
          <w:bCs/>
          <w:color w:val="auto"/>
          <w:highlight w:val="none"/>
          <w:lang w:val="zh-CN"/>
        </w:rPr>
        <w:t>参与在线投标时如遇平台技术问题详询：0579-89920081，电子投标制作问题详询：</w:t>
      </w:r>
      <w:r>
        <w:rPr>
          <w:rFonts w:hint="eastAsia" w:hAnsi="宋体"/>
          <w:color w:val="auto"/>
          <w:highlight w:val="none"/>
          <w:lang w:val="en-US" w:eastAsia="zh-CN"/>
        </w:rPr>
        <w:t>姜先生 0579-89919879</w:t>
      </w:r>
    </w:p>
    <w:p w14:paraId="33AA040A">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31F06F90">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02E5E06A">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义乌市水处理有限责任公司：</w:t>
      </w:r>
      <w:r>
        <w:rPr>
          <w:rFonts w:hint="eastAsia" w:ascii="宋体" w:hAnsi="宋体" w:cs="宋体"/>
          <w:sz w:val="21"/>
          <w:szCs w:val="21"/>
        </w:rPr>
        <w:t>吴先生 0579-85319722</w:t>
      </w:r>
    </w:p>
    <w:p w14:paraId="090BFF72">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lang w:eastAsia="zh-CN"/>
        </w:rPr>
        <w:t>金华义产拍卖有限公司：</w:t>
      </w:r>
      <w:r>
        <w:rPr>
          <w:rFonts w:hint="eastAsia" w:ascii="宋体" w:hAnsi="宋体" w:cs="宋体"/>
          <w:sz w:val="21"/>
          <w:szCs w:val="21"/>
          <w:lang w:val="en-US" w:eastAsia="zh-CN"/>
        </w:rPr>
        <w:t>姜先生 0579-89919879</w:t>
      </w:r>
    </w:p>
    <w:p w14:paraId="59622A5E">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474DA927">
      <w:pPr>
        <w:pStyle w:val="37"/>
        <w:rPr>
          <w:rFonts w:hint="eastAsia"/>
          <w:color w:val="auto"/>
          <w:highlight w:val="none"/>
        </w:rPr>
      </w:pPr>
    </w:p>
    <w:p w14:paraId="7AB3A044">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hAnsi="宋体" w:cs="Times New Roman"/>
          <w:color w:val="auto"/>
          <w:highlight w:val="none"/>
          <w:lang w:eastAsia="zh-CN"/>
        </w:rPr>
        <w:t>义乌市水处理有限责任公司</w:t>
      </w:r>
    </w:p>
    <w:p w14:paraId="44419238">
      <w:pPr>
        <w:pStyle w:val="19"/>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eastAsia="宋体"/>
          <w:color w:val="auto"/>
          <w:highlight w:val="none"/>
          <w:lang w:eastAsia="zh-CN"/>
        </w:rPr>
      </w:pPr>
      <w:r>
        <w:rPr>
          <w:rFonts w:hint="eastAsia" w:hAnsi="宋体"/>
          <w:color w:val="auto"/>
          <w:highlight w:val="none"/>
          <w:lang w:eastAsia="zh-CN"/>
        </w:rPr>
        <w:t>金华义产拍卖有限公司</w:t>
      </w:r>
    </w:p>
    <w:p w14:paraId="4C49FE0A">
      <w:pPr>
        <w:pStyle w:val="19"/>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6</w:t>
      </w:r>
      <w:r>
        <w:rPr>
          <w:rFonts w:hint="eastAsia" w:hAnsi="宋体"/>
          <w:color w:val="auto"/>
          <w:highlight w:val="none"/>
        </w:rPr>
        <w:t>年</w:t>
      </w:r>
      <w:r>
        <w:rPr>
          <w:rFonts w:hint="eastAsia" w:hAnsi="宋体"/>
          <w:color w:val="auto"/>
          <w:highlight w:val="none"/>
          <w:lang w:val="en-US" w:eastAsia="zh-CN"/>
        </w:rPr>
        <w:t xml:space="preserve"> 1</w:t>
      </w:r>
      <w:r>
        <w:rPr>
          <w:rFonts w:hint="eastAsia" w:hAnsi="宋体"/>
          <w:color w:val="auto"/>
          <w:highlight w:val="none"/>
        </w:rPr>
        <w:t>月</w:t>
      </w:r>
      <w:r>
        <w:rPr>
          <w:rFonts w:hint="eastAsia" w:hAnsi="宋体"/>
          <w:color w:val="auto"/>
          <w:highlight w:val="none"/>
          <w:lang w:val="en-US" w:eastAsia="zh-CN"/>
        </w:rPr>
        <w:t xml:space="preserve">6 </w:t>
      </w:r>
      <w:r>
        <w:rPr>
          <w:rFonts w:hint="eastAsia" w:hAnsi="宋体"/>
          <w:color w:val="auto"/>
          <w:highlight w:val="none"/>
        </w:rPr>
        <w:t>日</w:t>
      </w:r>
    </w:p>
    <w:p w14:paraId="7796E3F8">
      <w:pPr>
        <w:pStyle w:val="19"/>
        <w:adjustRightInd w:val="0"/>
        <w:snapToGrid w:val="0"/>
        <w:spacing w:line="360" w:lineRule="auto"/>
        <w:jc w:val="right"/>
        <w:rPr>
          <w:rFonts w:hint="eastAsia" w:hAnsi="宋体"/>
          <w:color w:val="auto"/>
          <w:sz w:val="24"/>
          <w:highlight w:val="none"/>
        </w:rPr>
      </w:pPr>
    </w:p>
    <w:p w14:paraId="6B1135AB">
      <w:pPr>
        <w:pStyle w:val="19"/>
        <w:adjustRightInd w:val="0"/>
        <w:snapToGrid w:val="0"/>
        <w:spacing w:line="360" w:lineRule="auto"/>
        <w:jc w:val="right"/>
        <w:rPr>
          <w:rFonts w:hint="eastAsia" w:hAnsi="宋体"/>
          <w:color w:val="auto"/>
          <w:sz w:val="24"/>
          <w:highlight w:val="none"/>
        </w:rPr>
      </w:pPr>
    </w:p>
    <w:p w14:paraId="586B18AF">
      <w:pPr>
        <w:pStyle w:val="19"/>
        <w:adjustRightInd w:val="0"/>
        <w:snapToGrid w:val="0"/>
        <w:spacing w:line="400" w:lineRule="exact"/>
        <w:jc w:val="right"/>
        <w:rPr>
          <w:rFonts w:hint="eastAsia" w:hAnsi="宋体"/>
          <w:color w:val="auto"/>
          <w:sz w:val="24"/>
          <w:highlight w:val="none"/>
        </w:rPr>
      </w:pPr>
    </w:p>
    <w:p w14:paraId="7ED7D8F6">
      <w:pPr>
        <w:pStyle w:val="19"/>
        <w:adjustRightInd w:val="0"/>
        <w:snapToGrid w:val="0"/>
        <w:spacing w:line="400" w:lineRule="exact"/>
        <w:jc w:val="right"/>
        <w:rPr>
          <w:rFonts w:hint="eastAsia" w:hAnsi="宋体"/>
          <w:color w:val="auto"/>
          <w:sz w:val="24"/>
          <w:highlight w:val="none"/>
        </w:rPr>
      </w:pPr>
    </w:p>
    <w:p w14:paraId="57CA975D">
      <w:pPr>
        <w:pStyle w:val="19"/>
        <w:adjustRightInd w:val="0"/>
        <w:snapToGrid w:val="0"/>
        <w:spacing w:line="400" w:lineRule="exact"/>
        <w:jc w:val="right"/>
        <w:rPr>
          <w:rFonts w:hint="eastAsia" w:hAnsi="宋体"/>
          <w:color w:val="auto"/>
          <w:sz w:val="24"/>
          <w:highlight w:val="none"/>
        </w:rPr>
      </w:pPr>
    </w:p>
    <w:p w14:paraId="341E215F">
      <w:pPr>
        <w:pStyle w:val="19"/>
        <w:adjustRightInd w:val="0"/>
        <w:snapToGrid w:val="0"/>
        <w:spacing w:line="400" w:lineRule="exact"/>
        <w:jc w:val="right"/>
        <w:rPr>
          <w:rFonts w:hint="eastAsia" w:hAnsi="宋体"/>
          <w:color w:val="auto"/>
          <w:sz w:val="24"/>
          <w:highlight w:val="none"/>
        </w:rPr>
      </w:pPr>
    </w:p>
    <w:p w14:paraId="602697E7">
      <w:pPr>
        <w:pStyle w:val="19"/>
        <w:adjustRightInd w:val="0"/>
        <w:snapToGrid w:val="0"/>
        <w:spacing w:line="400" w:lineRule="exact"/>
        <w:jc w:val="right"/>
        <w:rPr>
          <w:rFonts w:hint="eastAsia" w:hAnsi="宋体"/>
          <w:color w:val="auto"/>
          <w:sz w:val="24"/>
          <w:highlight w:val="none"/>
        </w:rPr>
      </w:pPr>
    </w:p>
    <w:p w14:paraId="615D0FD7">
      <w:pPr>
        <w:pStyle w:val="19"/>
        <w:adjustRightInd w:val="0"/>
        <w:snapToGrid w:val="0"/>
        <w:spacing w:line="400" w:lineRule="exact"/>
        <w:jc w:val="right"/>
        <w:rPr>
          <w:rFonts w:hAnsi="宋体"/>
          <w:color w:val="auto"/>
          <w:highlight w:val="none"/>
        </w:rPr>
      </w:pPr>
    </w:p>
    <w:p w14:paraId="20A54470">
      <w:pPr>
        <w:pStyle w:val="19"/>
        <w:adjustRightInd w:val="0"/>
        <w:snapToGrid w:val="0"/>
        <w:spacing w:line="400" w:lineRule="exact"/>
        <w:jc w:val="right"/>
        <w:rPr>
          <w:rFonts w:hAnsi="宋体"/>
          <w:color w:val="auto"/>
          <w:highlight w:val="none"/>
        </w:rPr>
      </w:pPr>
    </w:p>
    <w:p w14:paraId="0ABA6B3A">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8997"/>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08BD9214">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6A2F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0372B0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6B9BE5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1CD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6022DF">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8EAC1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50FB79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8D10FF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cs="Times New Roman"/>
                <w:color w:val="auto"/>
                <w:highlight w:val="none"/>
                <w:lang w:eastAsia="zh-CN"/>
              </w:rPr>
              <w:t>义乌市水处理有限责任公司武德净水厂2026-2028年度盐酸采购项目</w:t>
            </w:r>
          </w:p>
          <w:p w14:paraId="046CA0C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Times New Roman"/>
                <w:color w:val="auto"/>
                <w:highlight w:val="none"/>
                <w:lang w:eastAsia="zh-CN"/>
              </w:rPr>
              <w:t>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2DC3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0FD4B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9CE157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02F88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3EF6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7BF464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D5093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投标人</w:t>
            </w:r>
          </w:p>
          <w:p w14:paraId="3343A1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EDB82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428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0C1BA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4E9C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70ABC05">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最低评标价法</w:t>
            </w:r>
          </w:p>
        </w:tc>
      </w:tr>
      <w:tr w14:paraId="63E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B9D8E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799CBF3">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B11E8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10E3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E2DB9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5925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C61A74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9D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A74E8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61648E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962A765">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5E2D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8CA3D1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AE403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31587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义乌市水处理有限责任公司：</w:t>
            </w:r>
            <w:r>
              <w:rPr>
                <w:rFonts w:hint="eastAsia" w:ascii="宋体" w:hAnsi="宋体" w:cs="宋体"/>
                <w:sz w:val="21"/>
                <w:szCs w:val="21"/>
              </w:rPr>
              <w:t>吴先生 0579-85319722</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1</w:t>
            </w:r>
            <w:r>
              <w:rPr>
                <w:rFonts w:hint="eastAsia" w:ascii="宋体" w:hAnsi="宋体" w:eastAsia="宋体" w:cs="宋体"/>
                <w:color w:val="auto"/>
                <w:highlight w:val="none"/>
              </w:rPr>
              <w:t>。</w:t>
            </w:r>
          </w:p>
        </w:tc>
      </w:tr>
      <w:tr w14:paraId="563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1AB9F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14A81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FF5715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4B6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293BB2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E47FA4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B11DF9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2026年1月15日13:00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66F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B49C6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D99CD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6C03C2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2026年1月15 日13:00</w:t>
            </w:r>
          </w:p>
          <w:p w14:paraId="46BD618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2F6D9C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23FA68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F6500C5">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24FB2979">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4DD3DD9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5FD7380C">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49D36D9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0C6D01AE">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140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A6323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DA40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DCE11B0">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3AFF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6485B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316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4AA8C6">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0143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D16AE7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E46BE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66CEFE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52B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6A19E0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0E0439A">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5881C9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54883E8C">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1AFD820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2BE62F4B">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7ADFEA3D">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090E0A4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C1D5C2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754FF0E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64B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093E58">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46B5C4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32B707B">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35C52B5A">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55DA573">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2AFD8957">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32581"/>
      <w:bookmarkStart w:id="6" w:name="_Toc16045"/>
      <w:bookmarkStart w:id="7" w:name="_Toc8496"/>
      <w:r>
        <w:rPr>
          <w:rFonts w:hint="eastAsia"/>
          <w:color w:val="auto"/>
          <w:sz w:val="32"/>
          <w:szCs w:val="32"/>
          <w:highlight w:val="none"/>
        </w:rPr>
        <w:t>投标须知</w:t>
      </w:r>
      <w:bookmarkEnd w:id="5"/>
      <w:bookmarkEnd w:id="6"/>
      <w:bookmarkEnd w:id="7"/>
    </w:p>
    <w:p w14:paraId="0AB95E06">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7843"/>
      <w:bookmarkStart w:id="9" w:name="_Toc20416"/>
      <w:bookmarkStart w:id="10" w:name="_Toc362250687"/>
      <w:bookmarkStart w:id="11" w:name="_Toc25103"/>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3356B87E">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A2D6081">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12501106">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00FB4EC">
      <w:pPr>
        <w:pStyle w:val="19"/>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义乌市水处理有限责任公司</w:t>
      </w:r>
      <w:r>
        <w:rPr>
          <w:rFonts w:hint="eastAsia" w:ascii="宋体" w:hAnsi="宋体" w:eastAsia="宋体" w:cs="宋体"/>
          <w:color w:val="auto"/>
          <w:sz w:val="21"/>
          <w:szCs w:val="21"/>
          <w:highlight w:val="none"/>
        </w:rPr>
        <w:t>。</w:t>
      </w:r>
    </w:p>
    <w:p w14:paraId="2702A2F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w:t>
      </w:r>
      <w:r>
        <w:rPr>
          <w:rFonts w:hint="eastAsia" w:ascii="宋体" w:hAnsi="宋体" w:cs="宋体"/>
          <w:color w:val="auto"/>
          <w:sz w:val="21"/>
          <w:szCs w:val="21"/>
          <w:highlight w:val="none"/>
          <w:lang w:eastAsia="zh-CN"/>
        </w:rPr>
        <w:t>金华义产拍卖有限公司</w:t>
      </w:r>
      <w:r>
        <w:rPr>
          <w:rFonts w:hint="eastAsia" w:ascii="宋体" w:hAnsi="宋体" w:eastAsia="宋体" w:cs="宋体"/>
          <w:color w:val="auto"/>
          <w:sz w:val="21"/>
          <w:szCs w:val="21"/>
          <w:highlight w:val="none"/>
        </w:rPr>
        <w:t>。</w:t>
      </w:r>
    </w:p>
    <w:p w14:paraId="406426B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6EF4F6AC">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706E4D1">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52BE8D7">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43701DCA">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55492433">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4AD9338E">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3772311B">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5B2017A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2C89C3C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2AC2ED6">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应保证所提交给招标机构和采购人的资料和数据是真实的。</w:t>
      </w:r>
    </w:p>
    <w:p w14:paraId="0FF008F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5DE74A2">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68244B46">
      <w:pPr>
        <w:pStyle w:val="19"/>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79759E3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66F5E1D0">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在考察过程中发生的各类事件及所发生的各项费用，均由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自行承担。采购人和代理机构概不负责。</w:t>
      </w:r>
    </w:p>
    <w:p w14:paraId="2766CA9F">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提供的有关现场的数据和资料，是采购人现有的能被投标人利用的资料，采购人对投标人据此做出的任何推论、理解和结论不负责任。</w:t>
      </w:r>
    </w:p>
    <w:p w14:paraId="005A7985">
      <w:pPr>
        <w:pStyle w:val="17"/>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37911604">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B042B2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680EB499">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0632406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3B70FF22">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29212"/>
      <w:bookmarkStart w:id="15" w:name="_Toc12737"/>
      <w:bookmarkStart w:id="16" w:name="_Toc362250688"/>
      <w:bookmarkStart w:id="17" w:name="_Toc8871"/>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442310D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0576CB8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0140167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54B1124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130B587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708D7CFE">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79F392C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1E73807">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5E0C03B0">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58E983F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7F4498B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522F0C3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3D2D7F0F">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应认真阅读投标须知、合同条件、规定格式、项目要求、报价要求等招标文件所有的内容。如果</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的投标文件不能符合招标文件的要求，责任由</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自负。实质上不响应招标文件要求的投标文件将被拒绝。</w:t>
      </w:r>
    </w:p>
    <w:p w14:paraId="58B66F52">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60938BA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41AC2A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1A9751E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3102A3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在前附表规定时间未提交疑问的，视作默认对本次招标过程中招标文件无异议，采购人对其提出的问题可以不作解释。</w:t>
      </w:r>
    </w:p>
    <w:p w14:paraId="62D543FC">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6B27C7D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2283AF9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663A7DB0">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362250689"/>
      <w:bookmarkStart w:id="19" w:name="_Toc274303231"/>
      <w:bookmarkStart w:id="20" w:name="_Toc16783"/>
      <w:bookmarkStart w:id="21" w:name="_Toc31250"/>
      <w:bookmarkStart w:id="22" w:name="_Toc3138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0C737421">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D3474A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681B721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0801A23F">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091B9EF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458638F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D1E735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48E713D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42B75E57">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41A59C9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2EADE856">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686C8C0">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09190FA">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10BFD164">
      <w:pPr>
        <w:pStyle w:val="17"/>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6258F2F0">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5787D41">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w:t>
      </w:r>
      <w:bookmarkStart w:id="78" w:name="_GoBack"/>
      <w:bookmarkEnd w:id="78"/>
      <w:r>
        <w:rPr>
          <w:rFonts w:hint="eastAsia" w:ascii="宋体" w:hAnsi="宋体" w:eastAsia="宋体" w:cs="宋体"/>
          <w:color w:val="auto"/>
          <w:sz w:val="21"/>
          <w:szCs w:val="21"/>
          <w:highlight w:val="none"/>
        </w:rPr>
        <w:t>网址：http://www.gsxt.gov.cn/）上的单位详细信息打印件；</w:t>
      </w:r>
    </w:p>
    <w:p w14:paraId="0DC5C32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64BD820C">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法定代表人</w:t>
      </w:r>
      <w:r>
        <w:rPr>
          <w:rFonts w:hint="eastAsia" w:ascii="宋体" w:hAnsi="宋体" w:eastAsia="宋体" w:cs="宋体"/>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color w:val="auto"/>
          <w:sz w:val="21"/>
          <w:szCs w:val="21"/>
          <w:highlight w:val="none"/>
        </w:rPr>
        <w:t>［适用于非法定代表人参加投标的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14D8A14F">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★（4）在《浙江省涉毒物品管控系统》注册及备案的证明</w:t>
      </w:r>
    </w:p>
    <w:p w14:paraId="082BBF9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★（5）危化品经营许可证，</w:t>
      </w:r>
      <w:r>
        <w:rPr>
          <w:rFonts w:hint="eastAsia" w:ascii="宋体" w:hAnsi="宋体" w:eastAsia="宋体" w:cs="宋体"/>
          <w:color w:val="auto"/>
          <w:sz w:val="21"/>
          <w:szCs w:val="21"/>
          <w:highlight w:val="none"/>
        </w:rPr>
        <w:t>危化品道路运输许可证（许可范围包含本项目物资）</w:t>
      </w:r>
    </w:p>
    <w:p w14:paraId="7D70DDF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★（6）提供与盐酸生产厂家签订并仍有效的工业合成盐酸长期供货合同（若为销售代理单位）；</w:t>
      </w:r>
    </w:p>
    <w:p w14:paraId="77F465CC">
      <w:pPr>
        <w:pStyle w:val="19"/>
        <w:pageBreakBefore w:val="0"/>
        <w:widowControl w:val="0"/>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与第三方运输公司的运输协议及运输公司危化品道路运输许可证（许可范围包含本项目物资）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若委托第三方运输</w:t>
      </w:r>
      <w:r>
        <w:rPr>
          <w:rFonts w:hint="eastAsia" w:ascii="宋体" w:hAnsi="宋体" w:eastAsia="宋体" w:cs="宋体"/>
          <w:color w:val="auto"/>
          <w:sz w:val="21"/>
          <w:szCs w:val="21"/>
          <w:highlight w:val="none"/>
          <w:lang w:eastAsia="zh-CN"/>
        </w:rPr>
        <w:t>）</w:t>
      </w:r>
    </w:p>
    <w:p w14:paraId="60F05A7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5EC32327">
      <w:pPr>
        <w:spacing w:line="360" w:lineRule="auto"/>
        <w:ind w:firstLine="420" w:firstLineChars="200"/>
        <w:rPr>
          <w:rFonts w:hint="eastAsia" w:ascii="宋体" w:hAnsi="宋体" w:cs="宋体"/>
          <w:color w:val="FF0000"/>
          <w:szCs w:val="21"/>
          <w:highlight w:val="none"/>
        </w:rPr>
      </w:pPr>
      <w:r>
        <w:rPr>
          <w:rFonts w:hint="eastAsia" w:ascii="宋体" w:hAnsi="宋体" w:cs="宋体"/>
          <w:szCs w:val="21"/>
        </w:rPr>
        <w:t>（1）</w:t>
      </w:r>
      <w:r>
        <w:rPr>
          <w:rFonts w:hint="eastAsia" w:ascii="宋体" w:hAnsi="宋体" w:eastAsia="宋体" w:cs="宋体"/>
          <w:highlight w:val="none"/>
        </w:rPr>
        <w:t>规范偏离表；</w:t>
      </w:r>
    </w:p>
    <w:p w14:paraId="31CF371C">
      <w:pPr>
        <w:spacing w:line="360" w:lineRule="auto"/>
        <w:ind w:firstLine="420" w:firstLineChars="200"/>
        <w:rPr>
          <w:rFonts w:hint="eastAsia" w:ascii="宋体" w:hAnsi="宋体" w:cs="宋体"/>
          <w:szCs w:val="21"/>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cs="宋体"/>
          <w:szCs w:val="21"/>
        </w:rPr>
        <w:t>货物简要说明一览表；</w:t>
      </w:r>
    </w:p>
    <w:p w14:paraId="01E37FF0">
      <w:pPr>
        <w:spacing w:line="360" w:lineRule="auto"/>
        <w:ind w:firstLine="420" w:firstLineChars="2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）产品质量保证承诺书和售后服务承诺书</w:t>
      </w:r>
      <w:r>
        <w:rPr>
          <w:rFonts w:hint="eastAsia" w:ascii="宋体" w:hAnsi="宋体" w:cs="宋体"/>
          <w:szCs w:val="21"/>
          <w:lang w:eastAsia="zh-CN"/>
        </w:rPr>
        <w:t>；</w:t>
      </w:r>
    </w:p>
    <w:p w14:paraId="3DC4FB62">
      <w:pPr>
        <w:spacing w:line="360" w:lineRule="auto"/>
        <w:ind w:firstLine="420" w:firstLineChars="200"/>
        <w:rPr>
          <w:rFonts w:hint="eastAsia" w:ascii="宋体" w:hAnsi="宋体" w:eastAsia="宋体" w:cs="宋体"/>
          <w:color w:val="FF0000"/>
          <w:szCs w:val="21"/>
          <w:highlight w:val="none"/>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）根据评审需要、招标文件要求等，投标人自行考虑需提供的资料。</w:t>
      </w:r>
    </w:p>
    <w:p w14:paraId="1CCD202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4DF6AC51">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C1D9822">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51040FEE">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22BA0FC7">
      <w:pPr>
        <w:pStyle w:val="17"/>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09AE25D9">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568E18BE">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672111F7">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7447C16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2BCAF92B">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6DD51744">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6EF256E0">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2EADEAD">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00F4EF5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1EB9914D">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2C622CC3">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5FBE3AC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0F45152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对投标人的误判，责任由投标人自己承担。</w:t>
      </w:r>
    </w:p>
    <w:p w14:paraId="7979949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5B8F21A2">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1DCD434B">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27009"/>
      <w:bookmarkStart w:id="24" w:name="_Toc362250690"/>
      <w:bookmarkStart w:id="25" w:name="_Toc8254"/>
      <w:bookmarkStart w:id="26" w:name="_Toc274303232"/>
    </w:p>
    <w:p w14:paraId="0DCE01E0">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6105"/>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6ED8A19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3381EED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 xml:space="preserve">年 </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 xml:space="preserve">月 </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1662A9D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731CC424">
      <w:pPr>
        <w:pStyle w:val="19"/>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3888E5A0">
      <w:pPr>
        <w:pStyle w:val="17"/>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51A6A009">
      <w:pPr>
        <w:pStyle w:val="19"/>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6DFF0C28">
      <w:pPr>
        <w:pStyle w:val="19"/>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9DA6CA0">
      <w:pPr>
        <w:pStyle w:val="19"/>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0E75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74E4CD2">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51D7A44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72D27FD">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0FE4DDA0">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3C74A2F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407F801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7F5ACF69">
      <w:pPr>
        <w:pStyle w:val="4"/>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14938"/>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641D7B76">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7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1CAD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top"/>
          </w:tcPr>
          <w:p w14:paraId="6C39FED9">
            <w:pPr>
              <w:spacing w:line="34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中标金额（万元）</w:t>
            </w:r>
          </w:p>
        </w:tc>
        <w:tc>
          <w:tcPr>
            <w:tcW w:w="1384" w:type="dxa"/>
            <w:noWrap w:val="0"/>
            <w:vAlign w:val="top"/>
          </w:tcPr>
          <w:p w14:paraId="7B815A02">
            <w:pPr>
              <w:spacing w:line="34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收费标准</w:t>
            </w:r>
          </w:p>
        </w:tc>
        <w:tc>
          <w:tcPr>
            <w:tcW w:w="4048" w:type="dxa"/>
            <w:noWrap w:val="0"/>
            <w:vAlign w:val="top"/>
          </w:tcPr>
          <w:p w14:paraId="5A6367EE">
            <w:pPr>
              <w:spacing w:line="34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备注</w:t>
            </w:r>
          </w:p>
        </w:tc>
      </w:tr>
      <w:tr w14:paraId="1906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5A746CE0">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100（含）以下</w:t>
            </w:r>
          </w:p>
        </w:tc>
        <w:tc>
          <w:tcPr>
            <w:tcW w:w="1384" w:type="dxa"/>
            <w:noWrap w:val="0"/>
            <w:vAlign w:val="center"/>
          </w:tcPr>
          <w:p w14:paraId="298E71CA">
            <w:pPr>
              <w:spacing w:line="400" w:lineRule="exact"/>
              <w:jc w:val="center"/>
              <w:rPr>
                <w:rFonts w:ascii="Times New Roman" w:hAnsi="Times New Roman" w:eastAsia="宋体" w:cs="Times New Roman"/>
                <w:color w:val="auto"/>
                <w:highlight w:val="none"/>
              </w:rPr>
            </w:pPr>
            <w:r>
              <w:rPr>
                <w:rFonts w:ascii="Times New Roman" w:hAnsi="Times New Roman" w:eastAsia="仿宋" w:cs="Times New Roman"/>
                <w:bCs/>
                <w:color w:val="auto"/>
                <w:szCs w:val="21"/>
                <w:highlight w:val="none"/>
              </w:rPr>
              <w:t>1.5%</w:t>
            </w:r>
          </w:p>
        </w:tc>
        <w:tc>
          <w:tcPr>
            <w:tcW w:w="4048" w:type="dxa"/>
            <w:vMerge w:val="restart"/>
            <w:noWrap w:val="0"/>
            <w:vAlign w:val="center"/>
          </w:tcPr>
          <w:p w14:paraId="06C94F99">
            <w:pPr>
              <w:spacing w:line="340" w:lineRule="exact"/>
              <w:rPr>
                <w:rFonts w:ascii="宋体" w:hAnsi="Times New Roman" w:eastAsia="宋体" w:cs="Times New Roman"/>
                <w:color w:val="auto"/>
                <w:highlight w:val="none"/>
              </w:rPr>
            </w:pPr>
            <w:r>
              <w:rPr>
                <w:rFonts w:hint="eastAsia" w:ascii="宋体" w:hAnsi="宋体" w:eastAsia="宋体" w:cs="宋体"/>
                <w:color w:val="auto"/>
                <w:highlight w:val="none"/>
              </w:rPr>
              <w:t>招标服务费采用差额定率累进法计算，向中标方单向收取。</w:t>
            </w:r>
          </w:p>
          <w:p w14:paraId="2A28D1EF">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例：中标金额为</w:t>
            </w:r>
            <w:r>
              <w:rPr>
                <w:rFonts w:ascii="宋体" w:hAnsi="宋体" w:eastAsia="宋体" w:cs="宋体"/>
                <w:color w:val="auto"/>
                <w:highlight w:val="none"/>
              </w:rPr>
              <w:t>1000</w:t>
            </w:r>
            <w:r>
              <w:rPr>
                <w:rFonts w:hint="eastAsia" w:ascii="宋体" w:hAnsi="宋体" w:eastAsia="宋体" w:cs="宋体"/>
                <w:color w:val="auto"/>
                <w:highlight w:val="none"/>
              </w:rPr>
              <w:t>万。服务费</w:t>
            </w:r>
            <w:r>
              <w:rPr>
                <w:rFonts w:ascii="宋体" w:hAnsi="宋体" w:eastAsia="宋体" w:cs="宋体"/>
                <w:color w:val="auto"/>
                <w:highlight w:val="none"/>
              </w:rPr>
              <w:t>=100</w:t>
            </w:r>
            <w:r>
              <w:rPr>
                <w:rFonts w:hint="eastAsia" w:ascii="宋体" w:hAnsi="宋体" w:eastAsia="宋体" w:cs="宋体"/>
                <w:color w:val="auto"/>
                <w:highlight w:val="none"/>
              </w:rPr>
              <w:t>万×</w:t>
            </w:r>
            <w:r>
              <w:rPr>
                <w:rFonts w:ascii="宋体" w:hAnsi="宋体" w:eastAsia="宋体" w:cs="宋体"/>
                <w:color w:val="auto"/>
                <w:highlight w:val="none"/>
              </w:rPr>
              <w:t>1.5%+400</w:t>
            </w:r>
            <w:r>
              <w:rPr>
                <w:rFonts w:hint="eastAsia" w:ascii="宋体" w:hAnsi="宋体" w:eastAsia="宋体" w:cs="宋体"/>
                <w:color w:val="auto"/>
                <w:highlight w:val="none"/>
              </w:rPr>
              <w:t>万×</w:t>
            </w:r>
            <w:r>
              <w:rPr>
                <w:rFonts w:ascii="宋体" w:hAnsi="宋体" w:eastAsia="宋体" w:cs="宋体"/>
                <w:color w:val="auto"/>
                <w:highlight w:val="none"/>
              </w:rPr>
              <w:t>1.1%+500</w:t>
            </w:r>
            <w:r>
              <w:rPr>
                <w:rFonts w:hint="eastAsia" w:ascii="宋体" w:hAnsi="宋体" w:eastAsia="宋体" w:cs="宋体"/>
                <w:color w:val="auto"/>
                <w:highlight w:val="none"/>
              </w:rPr>
              <w:t>万×</w:t>
            </w:r>
            <w:r>
              <w:rPr>
                <w:rFonts w:ascii="宋体" w:hAnsi="宋体" w:eastAsia="宋体" w:cs="宋体"/>
                <w:color w:val="auto"/>
                <w:highlight w:val="none"/>
              </w:rPr>
              <w:t>0.8%=9.9</w:t>
            </w:r>
            <w:r>
              <w:rPr>
                <w:rFonts w:hint="eastAsia" w:ascii="宋体" w:hAnsi="宋体" w:eastAsia="宋体" w:cs="宋体"/>
                <w:color w:val="auto"/>
                <w:highlight w:val="none"/>
              </w:rPr>
              <w:t>万</w:t>
            </w:r>
          </w:p>
          <w:p w14:paraId="1B90ABAB">
            <w:pPr>
              <w:pStyle w:val="37"/>
              <w:rPr>
                <w:color w:val="auto"/>
                <w:highlight w:val="none"/>
              </w:rPr>
            </w:pPr>
          </w:p>
        </w:tc>
      </w:tr>
      <w:tr w14:paraId="104A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613CD2E1">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100-500（含）</w:t>
            </w:r>
          </w:p>
        </w:tc>
        <w:tc>
          <w:tcPr>
            <w:tcW w:w="1384" w:type="dxa"/>
            <w:noWrap w:val="0"/>
            <w:vAlign w:val="center"/>
          </w:tcPr>
          <w:p w14:paraId="01017F32">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1.1%</w:t>
            </w:r>
          </w:p>
        </w:tc>
        <w:tc>
          <w:tcPr>
            <w:tcW w:w="4048" w:type="dxa"/>
            <w:vMerge w:val="continue"/>
            <w:noWrap w:val="0"/>
            <w:vAlign w:val="top"/>
          </w:tcPr>
          <w:p w14:paraId="2FFF3239">
            <w:pPr>
              <w:spacing w:line="340" w:lineRule="exact"/>
              <w:rPr>
                <w:rFonts w:ascii="宋体" w:hAnsi="Times New Roman" w:eastAsia="宋体" w:cs="Times New Roman"/>
                <w:color w:val="auto"/>
                <w:highlight w:val="none"/>
              </w:rPr>
            </w:pPr>
          </w:p>
        </w:tc>
      </w:tr>
      <w:tr w14:paraId="16E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3F324D41">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500-1000（含）</w:t>
            </w:r>
          </w:p>
        </w:tc>
        <w:tc>
          <w:tcPr>
            <w:tcW w:w="1384" w:type="dxa"/>
            <w:noWrap w:val="0"/>
            <w:vAlign w:val="center"/>
          </w:tcPr>
          <w:p w14:paraId="2659B9DC">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0.8%</w:t>
            </w:r>
          </w:p>
        </w:tc>
        <w:tc>
          <w:tcPr>
            <w:tcW w:w="4048" w:type="dxa"/>
            <w:vMerge w:val="continue"/>
            <w:noWrap w:val="0"/>
            <w:vAlign w:val="top"/>
          </w:tcPr>
          <w:p w14:paraId="56AD9790">
            <w:pPr>
              <w:spacing w:line="340" w:lineRule="exact"/>
              <w:rPr>
                <w:rFonts w:ascii="宋体" w:hAnsi="Times New Roman" w:eastAsia="宋体" w:cs="Times New Roman"/>
                <w:color w:val="auto"/>
                <w:highlight w:val="none"/>
              </w:rPr>
            </w:pPr>
          </w:p>
        </w:tc>
      </w:tr>
      <w:tr w14:paraId="06E9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7FED941C">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1000-5000（含）</w:t>
            </w:r>
          </w:p>
        </w:tc>
        <w:tc>
          <w:tcPr>
            <w:tcW w:w="1384" w:type="dxa"/>
            <w:noWrap w:val="0"/>
            <w:vAlign w:val="center"/>
          </w:tcPr>
          <w:p w14:paraId="092ABD1E">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0.5%</w:t>
            </w:r>
          </w:p>
        </w:tc>
        <w:tc>
          <w:tcPr>
            <w:tcW w:w="4048" w:type="dxa"/>
            <w:vMerge w:val="continue"/>
            <w:noWrap w:val="0"/>
            <w:vAlign w:val="top"/>
          </w:tcPr>
          <w:p w14:paraId="6B40AA52">
            <w:pPr>
              <w:spacing w:line="340" w:lineRule="exact"/>
              <w:rPr>
                <w:rFonts w:ascii="宋体" w:hAnsi="Times New Roman" w:eastAsia="宋体" w:cs="Times New Roman"/>
                <w:color w:val="auto"/>
                <w:highlight w:val="none"/>
              </w:rPr>
            </w:pPr>
          </w:p>
        </w:tc>
      </w:tr>
      <w:tr w14:paraId="2B4F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21DA9D76">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5000-10000（含）</w:t>
            </w:r>
          </w:p>
        </w:tc>
        <w:tc>
          <w:tcPr>
            <w:tcW w:w="1384" w:type="dxa"/>
            <w:noWrap w:val="0"/>
            <w:vAlign w:val="center"/>
          </w:tcPr>
          <w:p w14:paraId="0E2EC0B7">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0.25%</w:t>
            </w:r>
          </w:p>
        </w:tc>
        <w:tc>
          <w:tcPr>
            <w:tcW w:w="4048" w:type="dxa"/>
            <w:vMerge w:val="continue"/>
            <w:noWrap w:val="0"/>
            <w:vAlign w:val="top"/>
          </w:tcPr>
          <w:p w14:paraId="34D8465A">
            <w:pPr>
              <w:spacing w:line="340" w:lineRule="exact"/>
              <w:rPr>
                <w:rFonts w:ascii="宋体" w:hAnsi="Times New Roman" w:eastAsia="宋体" w:cs="Times New Roman"/>
                <w:color w:val="auto"/>
                <w:highlight w:val="none"/>
              </w:rPr>
            </w:pPr>
          </w:p>
        </w:tc>
      </w:tr>
      <w:tr w14:paraId="21D7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082" w:type="dxa"/>
            <w:noWrap w:val="0"/>
            <w:vAlign w:val="center"/>
          </w:tcPr>
          <w:p w14:paraId="50C95595">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10000-50000（含）</w:t>
            </w:r>
          </w:p>
        </w:tc>
        <w:tc>
          <w:tcPr>
            <w:tcW w:w="1384" w:type="dxa"/>
            <w:noWrap w:val="0"/>
            <w:vAlign w:val="center"/>
          </w:tcPr>
          <w:p w14:paraId="4FDA2A81">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0.05%</w:t>
            </w:r>
          </w:p>
        </w:tc>
        <w:tc>
          <w:tcPr>
            <w:tcW w:w="4048" w:type="dxa"/>
            <w:vMerge w:val="continue"/>
            <w:noWrap w:val="0"/>
            <w:vAlign w:val="top"/>
          </w:tcPr>
          <w:p w14:paraId="49A7DB8A">
            <w:pPr>
              <w:spacing w:line="340" w:lineRule="exact"/>
              <w:rPr>
                <w:rFonts w:ascii="宋体" w:hAnsi="Times New Roman" w:eastAsia="宋体" w:cs="Times New Roman"/>
                <w:color w:val="auto"/>
                <w:highlight w:val="none"/>
              </w:rPr>
            </w:pPr>
          </w:p>
        </w:tc>
      </w:tr>
      <w:tr w14:paraId="6D91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082" w:type="dxa"/>
            <w:noWrap w:val="0"/>
            <w:vAlign w:val="center"/>
          </w:tcPr>
          <w:p w14:paraId="0D2AE205">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50000-100000（含）</w:t>
            </w:r>
          </w:p>
        </w:tc>
        <w:tc>
          <w:tcPr>
            <w:tcW w:w="1384" w:type="dxa"/>
            <w:noWrap w:val="0"/>
            <w:vAlign w:val="center"/>
          </w:tcPr>
          <w:p w14:paraId="4DDDF571">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0.035%</w:t>
            </w:r>
          </w:p>
        </w:tc>
        <w:tc>
          <w:tcPr>
            <w:tcW w:w="4048" w:type="dxa"/>
            <w:vMerge w:val="continue"/>
            <w:noWrap w:val="0"/>
            <w:vAlign w:val="top"/>
          </w:tcPr>
          <w:p w14:paraId="1A667699">
            <w:pPr>
              <w:spacing w:line="340" w:lineRule="exact"/>
              <w:rPr>
                <w:rFonts w:ascii="宋体" w:hAnsi="Times New Roman" w:eastAsia="宋体" w:cs="Times New Roman"/>
                <w:color w:val="auto"/>
                <w:highlight w:val="none"/>
              </w:rPr>
            </w:pPr>
          </w:p>
        </w:tc>
      </w:tr>
      <w:tr w14:paraId="045A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082" w:type="dxa"/>
            <w:noWrap w:val="0"/>
            <w:vAlign w:val="center"/>
          </w:tcPr>
          <w:p w14:paraId="38CE2769">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100000-500000（含）</w:t>
            </w:r>
          </w:p>
        </w:tc>
        <w:tc>
          <w:tcPr>
            <w:tcW w:w="1384" w:type="dxa"/>
            <w:noWrap w:val="0"/>
            <w:vAlign w:val="center"/>
          </w:tcPr>
          <w:p w14:paraId="0421195E">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0.008%</w:t>
            </w:r>
          </w:p>
        </w:tc>
        <w:tc>
          <w:tcPr>
            <w:tcW w:w="4048" w:type="dxa"/>
            <w:vMerge w:val="continue"/>
            <w:noWrap w:val="0"/>
            <w:vAlign w:val="top"/>
          </w:tcPr>
          <w:p w14:paraId="037ABD51">
            <w:pPr>
              <w:spacing w:line="340" w:lineRule="exact"/>
              <w:rPr>
                <w:rFonts w:ascii="宋体" w:hAnsi="Times New Roman" w:eastAsia="宋体" w:cs="Times New Roman"/>
                <w:color w:val="auto"/>
                <w:highlight w:val="none"/>
              </w:rPr>
            </w:pPr>
          </w:p>
        </w:tc>
      </w:tr>
      <w:tr w14:paraId="2BD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082" w:type="dxa"/>
            <w:noWrap w:val="0"/>
            <w:vAlign w:val="center"/>
          </w:tcPr>
          <w:p w14:paraId="57E8B574">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500000-1000000（含）</w:t>
            </w:r>
          </w:p>
        </w:tc>
        <w:tc>
          <w:tcPr>
            <w:tcW w:w="1384" w:type="dxa"/>
            <w:noWrap w:val="0"/>
            <w:vAlign w:val="center"/>
          </w:tcPr>
          <w:p w14:paraId="40CFB612">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0.006%</w:t>
            </w:r>
          </w:p>
        </w:tc>
        <w:tc>
          <w:tcPr>
            <w:tcW w:w="4048" w:type="dxa"/>
            <w:vMerge w:val="continue"/>
            <w:noWrap w:val="0"/>
            <w:vAlign w:val="top"/>
          </w:tcPr>
          <w:p w14:paraId="7D1A9B80">
            <w:pPr>
              <w:spacing w:line="340" w:lineRule="exact"/>
              <w:rPr>
                <w:rFonts w:ascii="宋体" w:hAnsi="Times New Roman" w:eastAsia="宋体" w:cs="Times New Roman"/>
                <w:color w:val="auto"/>
                <w:highlight w:val="none"/>
              </w:rPr>
            </w:pPr>
          </w:p>
        </w:tc>
      </w:tr>
      <w:tr w14:paraId="1CCD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082" w:type="dxa"/>
            <w:noWrap w:val="0"/>
            <w:vAlign w:val="center"/>
          </w:tcPr>
          <w:p w14:paraId="271975AE">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1000000以上</w:t>
            </w:r>
          </w:p>
        </w:tc>
        <w:tc>
          <w:tcPr>
            <w:tcW w:w="1384" w:type="dxa"/>
            <w:noWrap w:val="0"/>
            <w:vAlign w:val="center"/>
          </w:tcPr>
          <w:p w14:paraId="01911689">
            <w:pPr>
              <w:spacing w:line="400" w:lineRule="exact"/>
              <w:jc w:val="center"/>
              <w:rPr>
                <w:rFonts w:ascii="宋体" w:hAnsi="Times New Roman" w:eastAsia="宋体" w:cs="Times New Roman"/>
                <w:color w:val="auto"/>
                <w:highlight w:val="none"/>
              </w:rPr>
            </w:pPr>
            <w:r>
              <w:rPr>
                <w:rFonts w:ascii="Times New Roman" w:hAnsi="Times New Roman" w:eastAsia="仿宋" w:cs="Times New Roman"/>
                <w:bCs/>
                <w:color w:val="auto"/>
                <w:szCs w:val="21"/>
                <w:highlight w:val="none"/>
              </w:rPr>
              <w:t>0.004%</w:t>
            </w:r>
          </w:p>
        </w:tc>
        <w:tc>
          <w:tcPr>
            <w:tcW w:w="4048" w:type="dxa"/>
            <w:vMerge w:val="continue"/>
            <w:noWrap w:val="0"/>
            <w:vAlign w:val="top"/>
          </w:tcPr>
          <w:p w14:paraId="311E72CD">
            <w:pPr>
              <w:spacing w:line="340" w:lineRule="exact"/>
              <w:rPr>
                <w:rFonts w:ascii="宋体" w:hAnsi="Times New Roman" w:eastAsia="宋体" w:cs="Times New Roman"/>
                <w:color w:val="auto"/>
                <w:highlight w:val="none"/>
              </w:rPr>
            </w:pPr>
          </w:p>
        </w:tc>
      </w:tr>
    </w:tbl>
    <w:p w14:paraId="643C3AC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0FC567E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银行账号名称：</w:t>
      </w:r>
      <w:r>
        <w:rPr>
          <w:rFonts w:hint="eastAsia" w:ascii="宋体" w:hAnsi="宋体" w:cs="宋体"/>
          <w:b/>
          <w:bCs/>
          <w:color w:val="auto"/>
          <w:sz w:val="21"/>
          <w:szCs w:val="21"/>
          <w:highlight w:val="none"/>
          <w:lang w:eastAsia="zh-CN"/>
        </w:rPr>
        <w:t>金华义产拍卖有限公司</w:t>
      </w:r>
    </w:p>
    <w:p w14:paraId="4DC39FB9">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银行账号：工商银行义乌分行 </w:t>
      </w:r>
    </w:p>
    <w:p w14:paraId="16125BEC">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开户银行：1208020009092868552</w:t>
      </w:r>
    </w:p>
    <w:p w14:paraId="7D94C8EA">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67F1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F9043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29D54EF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30D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63F623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109DFF2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820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9595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630614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3A40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BCCEF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5ACD7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4A2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5E225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856C9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17A9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05C54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4DA36B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EBF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8DD43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7C2044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36B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CE384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26CD4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F2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D709FD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B9E711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9D224B0">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w:t>
      </w:r>
      <w:r>
        <w:rPr>
          <w:rFonts w:hint="eastAsia" w:ascii="宋体" w:hAnsi="宋体" w:cs="宋体"/>
          <w:color w:val="auto"/>
          <w:spacing w:val="-6"/>
          <w:szCs w:val="21"/>
          <w:highlight w:val="none"/>
          <w:lang w:val="en-US" w:eastAsia="zh-CN"/>
        </w:rPr>
        <w:t>向</w:t>
      </w:r>
      <w:r>
        <w:rPr>
          <w:rFonts w:hint="eastAsia" w:ascii="宋体" w:hAnsi="宋体" w:cs="宋体"/>
          <w:color w:val="auto"/>
          <w:spacing w:val="-6"/>
          <w:szCs w:val="21"/>
          <w:highlight w:val="none"/>
        </w:rPr>
        <w:t>中标单位收取交易服务费1000元/次；2）以上收费不包含作为</w:t>
      </w:r>
      <w:r>
        <w:rPr>
          <w:rFonts w:hint="eastAsia" w:ascii="宋体" w:hAnsi="宋体" w:cs="宋体"/>
          <w:color w:val="auto"/>
          <w:spacing w:val="-6"/>
          <w:szCs w:val="21"/>
          <w:highlight w:val="none"/>
          <w:lang w:eastAsia="zh-CN"/>
        </w:rPr>
        <w:t>投标人</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下载中心</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义乌市阳光招标采购平台投标人操作手册”</w:t>
      </w:r>
      <w:r>
        <w:rPr>
          <w:rFonts w:hint="eastAsia" w:ascii="宋体" w:hAnsi="宋体" w:cs="宋体"/>
          <w:color w:val="auto"/>
          <w:spacing w:val="-6"/>
          <w:szCs w:val="21"/>
          <w:highlight w:val="none"/>
          <w:lang w:eastAsia="zh-CN"/>
        </w:rPr>
        <w:t>。</w:t>
      </w:r>
    </w:p>
    <w:p w14:paraId="383D04B3">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26527"/>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其他</w:t>
      </w:r>
      <w:bookmarkEnd w:id="31"/>
    </w:p>
    <w:p w14:paraId="3A4DC83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1A8445D2">
      <w:pPr>
        <w:pStyle w:val="4"/>
        <w:numPr>
          <w:ilvl w:val="0"/>
          <w:numId w:val="4"/>
        </w:numPr>
        <w:spacing w:before="120" w:after="120" w:line="360" w:lineRule="auto"/>
        <w:jc w:val="center"/>
        <w:rPr>
          <w:rFonts w:hint="eastAsia" w:ascii="Times New Roman" w:hAnsi="Times New Roman" w:eastAsia="宋体" w:cs="Times New Roman"/>
          <w:color w:val="auto"/>
          <w:sz w:val="36"/>
          <w:highlight w:val="none"/>
          <w:lang w:val="en-US" w:eastAsia="zh-CN"/>
        </w:rPr>
      </w:pPr>
      <w:bookmarkStart w:id="32" w:name="_Toc22119"/>
      <w:r>
        <w:rPr>
          <w:rFonts w:hint="eastAsia" w:ascii="Times New Roman" w:hAnsi="Times New Roman" w:eastAsia="宋体" w:cs="Times New Roman"/>
          <w:color w:val="auto"/>
          <w:sz w:val="36"/>
          <w:highlight w:val="none"/>
          <w:lang w:val="en-US" w:eastAsia="zh-CN"/>
        </w:rPr>
        <w:t>招标项目要求</w:t>
      </w:r>
      <w:bookmarkEnd w:id="32"/>
    </w:p>
    <w:p w14:paraId="1C3BB6EE">
      <w:pPr>
        <w:pStyle w:val="4"/>
        <w:numPr>
          <w:ilvl w:val="0"/>
          <w:numId w:val="0"/>
        </w:numPr>
        <w:spacing w:before="120" w:after="120" w:line="360" w:lineRule="auto"/>
        <w:ind w:right="0" w:rightChars="0"/>
        <w:rPr>
          <w:rFonts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、项目内容：</w:t>
      </w:r>
    </w:p>
    <w:p w14:paraId="06656668">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义乌市水处理有限责任公司武德净水厂</w:t>
      </w:r>
      <w:r>
        <w:rPr>
          <w:rFonts w:hint="eastAsia" w:ascii="宋体" w:hAnsi="宋体"/>
          <w:sz w:val="21"/>
          <w:szCs w:val="21"/>
          <w:lang w:val="en-US" w:eastAsia="zh-CN"/>
        </w:rPr>
        <w:t>2026-2028</w:t>
      </w:r>
      <w:r>
        <w:rPr>
          <w:rFonts w:hint="eastAsia" w:ascii="宋体" w:hAnsi="宋体"/>
          <w:sz w:val="21"/>
          <w:szCs w:val="21"/>
        </w:rPr>
        <w:t>年度盐酸采购，预计采购数量约</w:t>
      </w:r>
      <w:r>
        <w:rPr>
          <w:rFonts w:hint="eastAsia" w:ascii="宋体" w:hAnsi="宋体"/>
          <w:sz w:val="21"/>
          <w:szCs w:val="21"/>
          <w:lang w:val="en-US" w:eastAsia="zh-CN"/>
        </w:rPr>
        <w:t>2000</w:t>
      </w:r>
      <w:r>
        <w:rPr>
          <w:rFonts w:hint="eastAsia" w:ascii="宋体" w:hAnsi="宋体"/>
          <w:sz w:val="21"/>
          <w:szCs w:val="21"/>
        </w:rPr>
        <w:t>吨。实际采购量根据采购方实际需求为准。</w:t>
      </w:r>
    </w:p>
    <w:p w14:paraId="59C2E07D">
      <w:pPr>
        <w:pStyle w:val="4"/>
        <w:spacing w:before="120" w:after="120" w:line="360" w:lineRule="auto"/>
        <w:rPr>
          <w:rFonts w:ascii="宋体" w:hAnsi="宋体" w:eastAsia="宋体" w:cs="宋体"/>
          <w:sz w:val="21"/>
          <w:szCs w:val="21"/>
        </w:rPr>
      </w:pPr>
      <w:bookmarkStart w:id="33" w:name="_Toc111827034"/>
      <w:r>
        <w:rPr>
          <w:rFonts w:hint="eastAsia" w:ascii="宋体" w:hAnsi="宋体" w:eastAsia="宋体" w:cs="宋体"/>
          <w:sz w:val="21"/>
          <w:szCs w:val="21"/>
        </w:rPr>
        <w:t>二、技术规范</w:t>
      </w:r>
      <w:bookmarkEnd w:id="33"/>
    </w:p>
    <w:p w14:paraId="3E311C17">
      <w:pPr>
        <w:pStyle w:val="33"/>
        <w:shd w:val="clear" w:color="auto" w:fill="FFFFFF"/>
        <w:adjustRightInd w:val="0"/>
        <w:snapToGrid w:val="0"/>
        <w:spacing w:line="480" w:lineRule="exact"/>
        <w:ind w:firstLine="480" w:firstLineChars="200"/>
        <w:rPr>
          <w:rFonts w:ascii="宋体" w:hAnsi="宋体"/>
          <w:sz w:val="21"/>
          <w:szCs w:val="21"/>
        </w:rPr>
      </w:pPr>
      <w:r>
        <w:rPr>
          <w:rFonts w:hint="eastAsia"/>
        </w:rPr>
        <w:t>★</w:t>
      </w:r>
      <w:r>
        <w:rPr>
          <w:rFonts w:hint="eastAsia" w:ascii="宋体" w:hAnsi="宋体"/>
          <w:sz w:val="21"/>
          <w:szCs w:val="21"/>
        </w:rPr>
        <w:t>1、投标人提供的产品须符合工业用合成盐酸</w:t>
      </w:r>
      <w:r>
        <w:rPr>
          <w:rFonts w:ascii="宋体" w:hAnsi="宋体"/>
          <w:sz w:val="21"/>
          <w:szCs w:val="21"/>
        </w:rPr>
        <w:t>GB/T 320-2006</w:t>
      </w:r>
      <w:r>
        <w:rPr>
          <w:rFonts w:hint="eastAsia" w:ascii="宋体" w:hAnsi="宋体"/>
          <w:sz w:val="21"/>
          <w:szCs w:val="21"/>
        </w:rPr>
        <w:t>中一等品要求。详细技术指标说明详见下表：</w:t>
      </w:r>
    </w:p>
    <w:tbl>
      <w:tblPr>
        <w:tblStyle w:val="38"/>
        <w:tblW w:w="93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735"/>
      </w:tblGrid>
      <w:tr w14:paraId="31787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589" w:type="dxa"/>
          </w:tcPr>
          <w:p w14:paraId="6FDF282D">
            <w:pPr>
              <w:jc w:val="center"/>
              <w:rPr>
                <w:b/>
                <w:bCs/>
                <w:szCs w:val="21"/>
              </w:rPr>
            </w:pPr>
            <w:r>
              <w:rPr>
                <w:rFonts w:hint="eastAsia"/>
                <w:b/>
                <w:bCs/>
              </w:rPr>
              <w:t>项目</w:t>
            </w:r>
          </w:p>
        </w:tc>
        <w:tc>
          <w:tcPr>
            <w:tcW w:w="4735" w:type="dxa"/>
          </w:tcPr>
          <w:p w14:paraId="5729260B">
            <w:pPr>
              <w:jc w:val="center"/>
              <w:rPr>
                <w:b/>
                <w:bCs/>
                <w:szCs w:val="21"/>
              </w:rPr>
            </w:pPr>
            <w:r>
              <w:rPr>
                <w:rFonts w:hint="eastAsia"/>
                <w:b/>
                <w:bCs/>
              </w:rPr>
              <w:t>一等品</w:t>
            </w:r>
          </w:p>
        </w:tc>
      </w:tr>
      <w:tr w14:paraId="7BC7A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589" w:type="dxa"/>
          </w:tcPr>
          <w:p w14:paraId="34A0AEF0">
            <w:pPr>
              <w:jc w:val="center"/>
            </w:pPr>
            <w:r>
              <w:rPr>
                <w:rFonts w:hint="eastAsia"/>
              </w:rPr>
              <w:t>总酸度（以HCl计）的质量分数         ≥</w:t>
            </w:r>
          </w:p>
        </w:tc>
        <w:tc>
          <w:tcPr>
            <w:tcW w:w="4735" w:type="dxa"/>
          </w:tcPr>
          <w:p w14:paraId="56811AD0">
            <w:pPr>
              <w:jc w:val="center"/>
              <w:rPr>
                <w:rFonts w:ascii="宋体" w:hAnsi="宋体"/>
                <w:spacing w:val="20"/>
                <w:szCs w:val="21"/>
              </w:rPr>
            </w:pPr>
            <w:r>
              <w:rPr>
                <w:rFonts w:hint="eastAsia"/>
              </w:rPr>
              <w:t>31.0</w:t>
            </w:r>
          </w:p>
        </w:tc>
      </w:tr>
      <w:tr w14:paraId="4C18B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4589" w:type="dxa"/>
          </w:tcPr>
          <w:p w14:paraId="0118B18D">
            <w:pPr>
              <w:jc w:val="center"/>
            </w:pPr>
            <w:r>
              <w:rPr>
                <w:rFonts w:hint="eastAsia"/>
              </w:rPr>
              <w:t>铁（以Fe计）的质量分数              ≤</w:t>
            </w:r>
          </w:p>
        </w:tc>
        <w:tc>
          <w:tcPr>
            <w:tcW w:w="4735" w:type="dxa"/>
          </w:tcPr>
          <w:p w14:paraId="0B8A77B8">
            <w:pPr>
              <w:jc w:val="center"/>
              <w:rPr>
                <w:rFonts w:ascii="宋体" w:hAnsi="宋体"/>
                <w:spacing w:val="20"/>
                <w:szCs w:val="21"/>
              </w:rPr>
            </w:pPr>
            <w:r>
              <w:rPr>
                <w:rFonts w:hint="eastAsia"/>
              </w:rPr>
              <w:t>0.008</w:t>
            </w:r>
          </w:p>
        </w:tc>
      </w:tr>
      <w:tr w14:paraId="25567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9" w:type="dxa"/>
          </w:tcPr>
          <w:p w14:paraId="5C35DDBB">
            <w:pPr>
              <w:jc w:val="center"/>
            </w:pPr>
            <w:r>
              <w:rPr>
                <w:rFonts w:hint="eastAsia"/>
              </w:rPr>
              <w:t>灼烧残渣的质量分数                  ≤</w:t>
            </w:r>
          </w:p>
        </w:tc>
        <w:tc>
          <w:tcPr>
            <w:tcW w:w="4735" w:type="dxa"/>
          </w:tcPr>
          <w:p w14:paraId="77A609C4">
            <w:pPr>
              <w:jc w:val="center"/>
              <w:rPr>
                <w:rFonts w:ascii="宋体" w:hAnsi="宋体"/>
                <w:spacing w:val="20"/>
                <w:szCs w:val="21"/>
              </w:rPr>
            </w:pPr>
            <w:r>
              <w:rPr>
                <w:rFonts w:hint="eastAsia"/>
              </w:rPr>
              <w:t>0.10</w:t>
            </w:r>
          </w:p>
        </w:tc>
      </w:tr>
      <w:tr w14:paraId="4D2D5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9" w:type="dxa"/>
          </w:tcPr>
          <w:p w14:paraId="2E5277B6">
            <w:pPr>
              <w:jc w:val="center"/>
            </w:pPr>
            <w:r>
              <w:rPr>
                <w:rFonts w:hint="eastAsia"/>
              </w:rPr>
              <w:t>游离氯（以Cl计）的质量分数         ≤</w:t>
            </w:r>
          </w:p>
        </w:tc>
        <w:tc>
          <w:tcPr>
            <w:tcW w:w="4735" w:type="dxa"/>
          </w:tcPr>
          <w:p w14:paraId="7BAC034A">
            <w:pPr>
              <w:jc w:val="center"/>
              <w:rPr>
                <w:rFonts w:ascii="宋体" w:hAnsi="宋体"/>
                <w:spacing w:val="20"/>
                <w:szCs w:val="21"/>
              </w:rPr>
            </w:pPr>
            <w:r>
              <w:rPr>
                <w:rFonts w:hint="eastAsia"/>
              </w:rPr>
              <w:t>0.008</w:t>
            </w:r>
          </w:p>
        </w:tc>
      </w:tr>
      <w:tr w14:paraId="337D5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9" w:type="dxa"/>
          </w:tcPr>
          <w:p w14:paraId="517F56CC">
            <w:pPr>
              <w:jc w:val="center"/>
              <w:rPr>
                <w:b/>
                <w:bCs/>
              </w:rPr>
            </w:pPr>
            <w:r>
              <w:rPr>
                <w:rFonts w:hint="eastAsia"/>
              </w:rPr>
              <w:t>砷的质量分数                        ≤</w:t>
            </w:r>
          </w:p>
        </w:tc>
        <w:tc>
          <w:tcPr>
            <w:tcW w:w="4735" w:type="dxa"/>
          </w:tcPr>
          <w:p w14:paraId="1ABE5933">
            <w:pPr>
              <w:jc w:val="center"/>
              <w:rPr>
                <w:rFonts w:ascii="宋体" w:hAnsi="宋体"/>
                <w:b/>
                <w:bCs/>
                <w:spacing w:val="20"/>
                <w:szCs w:val="21"/>
              </w:rPr>
            </w:pPr>
            <w:r>
              <w:rPr>
                <w:rFonts w:hint="eastAsia"/>
              </w:rPr>
              <w:t>0.0001</w:t>
            </w:r>
          </w:p>
        </w:tc>
      </w:tr>
      <w:tr w14:paraId="034CB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589" w:type="dxa"/>
          </w:tcPr>
          <w:p w14:paraId="08033ACB">
            <w:pPr>
              <w:jc w:val="center"/>
              <w:rPr>
                <w:b/>
                <w:bCs/>
              </w:rPr>
            </w:pPr>
            <w:r>
              <w:rPr>
                <w:rFonts w:hint="eastAsia"/>
              </w:rPr>
              <w:t>硫酸盐（以SO</w:t>
            </w:r>
            <w:r>
              <w:rPr>
                <w:rFonts w:hint="eastAsia"/>
                <w:vertAlign w:val="subscript"/>
              </w:rPr>
              <w:t>4</w:t>
            </w:r>
            <w:r>
              <w:rPr>
                <w:rFonts w:hint="eastAsia"/>
                <w:vertAlign w:val="superscript"/>
              </w:rPr>
              <w:t>2-</w:t>
            </w:r>
            <w:r>
              <w:rPr>
                <w:rFonts w:hint="eastAsia"/>
              </w:rPr>
              <w:t>）                   ≤</w:t>
            </w:r>
          </w:p>
        </w:tc>
        <w:tc>
          <w:tcPr>
            <w:tcW w:w="4735" w:type="dxa"/>
          </w:tcPr>
          <w:p w14:paraId="65F38E5B">
            <w:pPr>
              <w:jc w:val="center"/>
              <w:rPr>
                <w:rFonts w:ascii="宋体" w:hAnsi="宋体"/>
                <w:b/>
                <w:bCs/>
                <w:spacing w:val="20"/>
                <w:szCs w:val="21"/>
              </w:rPr>
            </w:pPr>
            <w:r>
              <w:rPr>
                <w:rFonts w:hint="eastAsia"/>
              </w:rPr>
              <w:t>0.03</w:t>
            </w:r>
          </w:p>
        </w:tc>
      </w:tr>
    </w:tbl>
    <w:p w14:paraId="7E11C589">
      <w:pPr>
        <w:tabs>
          <w:tab w:val="left" w:pos="435"/>
        </w:tabs>
        <w:spacing w:line="480" w:lineRule="exact"/>
        <w:ind w:firstLine="420" w:firstLineChars="200"/>
        <w:rPr>
          <w:rFonts w:ascii="宋体" w:hAnsi="宋体" w:cs="宋体"/>
          <w:bCs/>
        </w:rPr>
      </w:pPr>
      <w:r>
        <w:rPr>
          <w:rFonts w:hint="eastAsia" w:ascii="宋体" w:hAnsi="宋体" w:cs="宋体"/>
          <w:bCs/>
        </w:rPr>
        <w:t>（1）除上述要求外，投标人所提供的产品不得含有影响武德净水厂后续工艺正常运行的有害物质，</w:t>
      </w:r>
      <w:r>
        <w:rPr>
          <w:rFonts w:hint="eastAsia" w:ascii="宋体" w:hAnsi="宋体"/>
          <w:szCs w:val="21"/>
        </w:rPr>
        <w:t>且不得向水中释放任何超标污染物，一经发现买方有权终止合同。同时须满足现场管道、设备设施等使用需求，投标人可以现场踏勘，增加对投标产品使用环境的了解。</w:t>
      </w:r>
    </w:p>
    <w:p w14:paraId="4F1F6B49">
      <w:pPr>
        <w:tabs>
          <w:tab w:val="left" w:pos="435"/>
        </w:tabs>
        <w:spacing w:line="480" w:lineRule="exact"/>
        <w:ind w:firstLine="420" w:firstLineChars="200"/>
        <w:rPr>
          <w:rFonts w:ascii="宋体" w:hAnsi="宋体" w:cs="宋体"/>
          <w:bCs/>
        </w:rPr>
      </w:pPr>
      <w:r>
        <w:rPr>
          <w:rFonts w:hint="eastAsia" w:ascii="宋体" w:hAnsi="宋体" w:cs="宋体"/>
          <w:bCs/>
        </w:rPr>
        <w:t>（2）由于产品的质量问题导致采购人出水水质超标，而引发的污染环境罪或罚款，采购人除依法追究中标方法律责任外，环保及相关部门处罚产生的罚款及未来三年内采购人无法退税的金额，全部由中标方承担。</w:t>
      </w:r>
    </w:p>
    <w:p w14:paraId="111B0025">
      <w:pPr>
        <w:widowControl/>
        <w:snapToGrid w:val="0"/>
        <w:spacing w:line="460" w:lineRule="atLeast"/>
        <w:ind w:firstLine="420" w:firstLineChars="200"/>
        <w:jc w:val="left"/>
        <w:rPr>
          <w:rFonts w:hint="eastAsia" w:ascii="宋体" w:hAnsi="宋体" w:cs="宋体"/>
          <w:sz w:val="22"/>
          <w:szCs w:val="22"/>
        </w:rPr>
      </w:pPr>
      <w:r>
        <w:rPr>
          <w:rFonts w:hint="eastAsia" w:ascii="宋体" w:hAnsi="宋体" w:cs="宋体"/>
          <w:szCs w:val="21"/>
        </w:rPr>
        <w:t>（3）由于</w:t>
      </w:r>
      <w:r>
        <w:rPr>
          <w:rFonts w:hint="eastAsia" w:ascii="宋体" w:cs="宋体"/>
          <w:szCs w:val="21"/>
        </w:rPr>
        <w:t>产品</w:t>
      </w:r>
      <w:r>
        <w:rPr>
          <w:rFonts w:hint="eastAsia" w:ascii="宋体" w:hAnsi="宋体" w:cs="宋体"/>
          <w:szCs w:val="21"/>
        </w:rPr>
        <w:t>质量问题，导致采购人现场出现管路开裂、鼓包，设备设施故障等问题，所造成的损失全部由中标方承担</w:t>
      </w:r>
      <w:r>
        <w:rPr>
          <w:rFonts w:hint="eastAsia" w:ascii="宋体" w:hAnsi="宋体" w:cs="宋体"/>
          <w:sz w:val="22"/>
          <w:szCs w:val="22"/>
        </w:rPr>
        <w:t>。</w:t>
      </w:r>
    </w:p>
    <w:p w14:paraId="7F88FF95">
      <w:pPr>
        <w:widowControl/>
        <w:snapToGrid w:val="0"/>
        <w:spacing w:line="460" w:lineRule="atLeast"/>
        <w:ind w:firstLine="420" w:firstLineChars="200"/>
        <w:jc w:val="left"/>
        <w:rPr>
          <w:rFonts w:hint="default"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lang w:val="en-US" w:eastAsia="zh-CN"/>
        </w:rPr>
        <w:t>投标人所提供的盐酸不得为脱氟酸。</w:t>
      </w:r>
    </w:p>
    <w:p w14:paraId="0073C698">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2、生产工艺要求：生产过程符合国家相关技术规范要求和技术标准。</w:t>
      </w:r>
    </w:p>
    <w:p w14:paraId="24C2AEE8">
      <w:pPr>
        <w:tabs>
          <w:tab w:val="left" w:pos="435"/>
        </w:tabs>
        <w:spacing w:line="480" w:lineRule="exact"/>
        <w:ind w:firstLine="420" w:firstLineChars="200"/>
        <w:rPr>
          <w:rFonts w:ascii="宋体" w:hAnsi="宋体" w:cs="宋体"/>
        </w:rPr>
      </w:pPr>
      <w:r>
        <w:rPr>
          <w:rFonts w:hint="eastAsia" w:ascii="宋体" w:hAnsi="宋体" w:cs="宋体"/>
        </w:rPr>
        <w:tab/>
      </w:r>
      <w:r>
        <w:rPr>
          <w:rFonts w:hint="eastAsia" w:ascii="宋体" w:hAnsi="宋体" w:cs="宋体"/>
        </w:rPr>
        <w:t>3、合格的产品和服务</w:t>
      </w:r>
    </w:p>
    <w:p w14:paraId="5FBFE635">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3.1投标人提供的所有产品必须是全新的，所涉及的技术、设计、技术培训和技术服务应来自于中华人民共和国或与中华人民共和国有正常贸易往来的国家或地区。</w:t>
      </w:r>
    </w:p>
    <w:p w14:paraId="35791A18">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3.2投标人应保证招标人在本项目招标过程中以及招标结束后在使用该产品或产品的任何一部分时，免受投标人或第三方提出的侵犯其专利权、商标权、著作权或其它知识产权的起诉。</w:t>
      </w:r>
    </w:p>
    <w:p w14:paraId="4C83934E">
      <w:pPr>
        <w:pStyle w:val="33"/>
        <w:shd w:val="clear" w:color="auto" w:fill="FFFFFF"/>
        <w:adjustRightInd w:val="0"/>
        <w:snapToGrid w:val="0"/>
        <w:spacing w:line="480" w:lineRule="exact"/>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4、质量检验</w:t>
      </w:r>
    </w:p>
    <w:p w14:paraId="3388A8B6">
      <w:pPr>
        <w:pStyle w:val="33"/>
        <w:shd w:val="clear" w:color="auto" w:fill="FFFFFF"/>
        <w:adjustRightInd w:val="0"/>
        <w:snapToGrid w:val="0"/>
        <w:spacing w:line="48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4.1日常抽检</w:t>
      </w:r>
    </w:p>
    <w:p w14:paraId="41089887">
      <w:pPr>
        <w:pStyle w:val="33"/>
        <w:shd w:val="clear" w:color="auto" w:fill="FFFFFF"/>
        <w:adjustRightInd w:val="0"/>
        <w:snapToGrid w:val="0"/>
        <w:spacing w:line="48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产品质量检验采用日常抽检的形式。需方有权对供方提供的盐酸（31%）进行抽检，日常抽检样品采购人进行主要成分检测；</w:t>
      </w:r>
    </w:p>
    <w:p w14:paraId="7BA6C3FB">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4.2检测结果运用</w:t>
      </w:r>
    </w:p>
    <w:p w14:paraId="35F8FFD6">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检测结果技术指标全部符合本项目招标文件技术规范要求的，该批次货款全额结算。检测结果技术指标不符合本项目招标文件技术规范要求的，其中29%≤工业用盐酸质量分数&lt;31%的，扣除该批次货款的15%不予结算；27%≤工业用盐酸质量分数&lt;29%，扣除该批次货款50%不予结算；工业用盐酸质量分数&lt;27%，扣除该批次全部货款不予结算；其他指标任一项不达标时，扣除该批次货款的20%；多项不达标时，该批次扣款为每个单项扣款金额相加，该批次货款扣完为止。</w:t>
      </w:r>
    </w:p>
    <w:p w14:paraId="288241C8">
      <w:pPr>
        <w:pStyle w:val="33"/>
        <w:shd w:val="clear" w:color="auto" w:fill="FFFFFF"/>
        <w:adjustRightInd w:val="0"/>
        <w:snapToGrid w:val="0"/>
        <w:spacing w:line="480" w:lineRule="exact"/>
        <w:ind w:firstLine="420" w:firstLineChars="200"/>
        <w:rPr>
          <w:rFonts w:hint="eastAsia" w:ascii="宋体" w:hAnsi="宋体" w:eastAsia="宋体"/>
          <w:b/>
          <w:bCs/>
          <w:color w:val="auto"/>
          <w:sz w:val="21"/>
          <w:szCs w:val="21"/>
          <w:highlight w:val="none"/>
          <w:lang w:eastAsia="zh-CN"/>
        </w:rPr>
      </w:pPr>
      <w:r>
        <w:rPr>
          <w:rFonts w:hint="eastAsia" w:ascii="宋体" w:hAnsi="宋体"/>
          <w:color w:val="auto"/>
          <w:sz w:val="21"/>
          <w:szCs w:val="21"/>
          <w:highlight w:val="none"/>
        </w:rPr>
        <w:t>4.3日常抽检样品检测费用由需方承担</w:t>
      </w:r>
      <w:r>
        <w:rPr>
          <w:rFonts w:hint="eastAsia" w:ascii="宋体" w:hAnsi="宋体"/>
          <w:color w:val="auto"/>
          <w:sz w:val="21"/>
          <w:szCs w:val="21"/>
          <w:highlight w:val="none"/>
          <w:lang w:eastAsia="zh-CN"/>
        </w:rPr>
        <w:t>；</w:t>
      </w:r>
    </w:p>
    <w:p w14:paraId="4A58115F">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4.4如供方对检测结果有疑义的，供需双方在场的情况下取样送第三方检测机构进行检测，检测结果技术指标若符合本项目招标文件技术规范要求的，则该批次货款全额结算，检测费用由需方承担；检测结果技术指标不符合招标项目要求中技术规范中指标要求的，则该批次按4.2的要求进行支付货款，检测费用由供方承担。</w:t>
      </w:r>
    </w:p>
    <w:p w14:paraId="55740E0E">
      <w:pPr>
        <w:pStyle w:val="33"/>
        <w:shd w:val="clear" w:color="auto" w:fill="FFFFFF"/>
        <w:adjustRightInd w:val="0"/>
        <w:snapToGrid w:val="0"/>
        <w:spacing w:line="480" w:lineRule="exact"/>
        <w:ind w:firstLine="422" w:firstLineChars="200"/>
        <w:rPr>
          <w:rFonts w:ascii="宋体" w:hAnsi="宋体"/>
          <w:b/>
          <w:bCs/>
          <w:sz w:val="21"/>
          <w:szCs w:val="21"/>
        </w:rPr>
      </w:pPr>
      <w:r>
        <w:rPr>
          <w:rFonts w:hint="eastAsia" w:ascii="宋体" w:hAnsi="宋体"/>
          <w:b/>
          <w:bCs/>
          <w:sz w:val="21"/>
          <w:szCs w:val="21"/>
        </w:rPr>
        <w:t>5、现场勘察</w:t>
      </w:r>
    </w:p>
    <w:p w14:paraId="4F4BF4CE">
      <w:pPr>
        <w:pStyle w:val="19"/>
        <w:spacing w:line="480" w:lineRule="exact"/>
        <w:ind w:firstLine="420" w:firstLineChars="200"/>
        <w:rPr>
          <w:rFonts w:hAnsi="宋体"/>
        </w:rPr>
      </w:pPr>
      <w:r>
        <w:rPr>
          <w:rFonts w:hint="eastAsia" w:hAnsi="宋体" w:cs="宋体"/>
        </w:rPr>
        <w:t>投标前，投标人须自行到项目所在地予以勘察，</w:t>
      </w:r>
      <w:bookmarkStart w:id="34" w:name="_Hlk111409126"/>
      <w:r>
        <w:rPr>
          <w:rFonts w:hint="eastAsia" w:hAnsi="宋体" w:cs="宋体"/>
        </w:rPr>
        <w:t>对项目实施现场及周边环境等进行勘察，</w:t>
      </w:r>
      <w:bookmarkEnd w:id="34"/>
      <w:r>
        <w:rPr>
          <w:rFonts w:hint="eastAsia" w:hAnsi="宋体" w:cs="宋体"/>
        </w:rPr>
        <w:t>以获取编制投标文件和签署合同所需的所有资料，否则，由此所造成的一切后果由投标人自行承担。</w:t>
      </w:r>
    </w:p>
    <w:p w14:paraId="56E0CB4E">
      <w:pPr>
        <w:pStyle w:val="4"/>
        <w:spacing w:before="120" w:after="120" w:line="360" w:lineRule="auto"/>
        <w:rPr>
          <w:rFonts w:ascii="宋体" w:hAnsi="宋体" w:eastAsia="宋体" w:cs="宋体"/>
          <w:sz w:val="21"/>
          <w:szCs w:val="21"/>
        </w:rPr>
      </w:pPr>
      <w:bookmarkStart w:id="35" w:name="_Toc111827035"/>
      <w:r>
        <w:rPr>
          <w:rFonts w:hint="eastAsia" w:ascii="宋体" w:hAnsi="宋体" w:eastAsia="宋体" w:cs="宋体"/>
          <w:sz w:val="21"/>
          <w:szCs w:val="21"/>
        </w:rPr>
        <w:t>三、商务要求</w:t>
      </w:r>
      <w:bookmarkEnd w:id="35"/>
    </w:p>
    <w:p w14:paraId="3FEB1B2C">
      <w:pPr>
        <w:snapToGrid w:val="0"/>
        <w:spacing w:line="480" w:lineRule="exact"/>
        <w:rPr>
          <w:rFonts w:ascii="宋体" w:hAnsi="宋体" w:cs="宋体"/>
        </w:rPr>
      </w:pPr>
      <w:r>
        <w:rPr>
          <w:rFonts w:hint="eastAsia"/>
          <w:b/>
          <w:bCs/>
        </w:rPr>
        <w:t xml:space="preserve">    </w:t>
      </w:r>
      <w:r>
        <w:rPr>
          <w:rFonts w:hint="eastAsia" w:ascii="宋体" w:hAnsi="宋体" w:cs="宋体"/>
          <w:b/>
          <w:bCs/>
        </w:rPr>
        <w:t>3.1 项目报价要求</w:t>
      </w:r>
    </w:p>
    <w:p w14:paraId="31F4CCF8">
      <w:pPr>
        <w:pStyle w:val="19"/>
        <w:spacing w:line="480" w:lineRule="exact"/>
        <w:ind w:firstLine="420" w:firstLineChars="200"/>
        <w:rPr>
          <w:rFonts w:hAnsi="宋体"/>
        </w:rPr>
      </w:pPr>
      <w:r>
        <w:rPr>
          <w:rFonts w:hint="eastAsia"/>
        </w:rPr>
        <w:t>3.</w:t>
      </w:r>
      <w:r>
        <w:t>1.1</w:t>
      </w:r>
      <w:r>
        <w:rPr>
          <w:rFonts w:hint="eastAsia" w:hAnsi="宋体"/>
        </w:rPr>
        <w:t>投标报价包括：货物价款</w:t>
      </w:r>
      <w:r>
        <w:rPr>
          <w:rFonts w:ascii="Times New Roman" w:hAnsi="Times New Roman"/>
          <w:szCs w:val="18"/>
        </w:rPr>
        <w:t>、</w:t>
      </w:r>
      <w:r>
        <w:rPr>
          <w:rFonts w:hint="eastAsia" w:ascii="Times New Roman" w:hAnsi="Times New Roman"/>
          <w:szCs w:val="18"/>
        </w:rPr>
        <w:t>检测费、</w:t>
      </w:r>
      <w:r>
        <w:rPr>
          <w:rFonts w:ascii="Times New Roman" w:hAnsi="Times New Roman"/>
          <w:bCs/>
          <w:szCs w:val="18"/>
        </w:rPr>
        <w:t>运输</w:t>
      </w:r>
      <w:r>
        <w:rPr>
          <w:rFonts w:hint="eastAsia" w:ascii="Times New Roman" w:hAnsi="Times New Roman"/>
          <w:bCs/>
          <w:szCs w:val="18"/>
        </w:rPr>
        <w:t>费</w:t>
      </w:r>
      <w:r>
        <w:rPr>
          <w:rFonts w:ascii="Times New Roman" w:hAnsi="Times New Roman"/>
          <w:bCs/>
          <w:szCs w:val="18"/>
        </w:rPr>
        <w:t>、</w:t>
      </w:r>
      <w:r>
        <w:rPr>
          <w:rFonts w:ascii="Times New Roman" w:hAnsi="Times New Roman"/>
          <w:szCs w:val="18"/>
        </w:rPr>
        <w:t>装卸</w:t>
      </w:r>
      <w:r>
        <w:rPr>
          <w:rFonts w:hint="eastAsia" w:ascii="Times New Roman" w:hAnsi="Times New Roman"/>
          <w:szCs w:val="18"/>
        </w:rPr>
        <w:t>费</w:t>
      </w:r>
      <w:r>
        <w:rPr>
          <w:rFonts w:ascii="Times New Roman" w:hAnsi="Times New Roman"/>
          <w:szCs w:val="18"/>
        </w:rPr>
        <w:t>、保险</w:t>
      </w:r>
      <w:r>
        <w:rPr>
          <w:rFonts w:hint="eastAsia" w:ascii="Times New Roman" w:hAnsi="Times New Roman"/>
          <w:szCs w:val="18"/>
        </w:rPr>
        <w:t>费</w:t>
      </w:r>
      <w:r>
        <w:rPr>
          <w:rFonts w:ascii="Times New Roman" w:hAnsi="Times New Roman"/>
          <w:szCs w:val="18"/>
        </w:rPr>
        <w:t>、</w:t>
      </w:r>
      <w:r>
        <w:rPr>
          <w:rFonts w:hint="eastAsia" w:ascii="Times New Roman" w:hAnsi="Times New Roman"/>
          <w:szCs w:val="18"/>
        </w:rPr>
        <w:t>税费</w:t>
      </w:r>
      <w:r>
        <w:rPr>
          <w:rFonts w:hint="eastAsia" w:hAnsi="宋体"/>
        </w:rPr>
        <w:t>等</w:t>
      </w:r>
      <w:r>
        <w:t>完成本项目的其它费用和政策性文件规定及</w:t>
      </w:r>
      <w:r>
        <w:rPr>
          <w:szCs w:val="16"/>
        </w:rPr>
        <w:t>合同包含的所有风险、责任等各项应有费用、管理费、利润、</w:t>
      </w:r>
      <w:r>
        <w:rPr>
          <w:bCs/>
        </w:rPr>
        <w:t>税费等一切费用</w:t>
      </w:r>
      <w:r>
        <w:rPr>
          <w:rFonts w:hint="eastAsia" w:hAnsi="宋体"/>
        </w:rPr>
        <w:t>。投标报价为投标人所能承受的最低、最终一次性报价。投标人的投标报价为整个采购项目的总报价，如有漏项，视同已包含在其总项目中，合同总价不做调整。</w:t>
      </w:r>
    </w:p>
    <w:p w14:paraId="64ABDEA8">
      <w:pPr>
        <w:tabs>
          <w:tab w:val="left" w:pos="0"/>
        </w:tabs>
        <w:autoSpaceDE w:val="0"/>
        <w:autoSpaceDN w:val="0"/>
        <w:spacing w:line="480" w:lineRule="exact"/>
        <w:ind w:firstLine="378" w:firstLineChars="180"/>
        <w:textAlignment w:val="bottom"/>
        <w:rPr>
          <w:rFonts w:ascii="宋体" w:hAnsi="宋体" w:cs="宋体"/>
        </w:rPr>
      </w:pPr>
      <w:r>
        <w:rPr>
          <w:rFonts w:hint="eastAsia" w:ascii="宋体" w:hAnsi="宋体" w:cs="宋体"/>
        </w:rPr>
        <w:t>3.1.2 按国家规定由投标人缴纳的各种税收已包含在投标总报价内，由投标人向税务机关缴纳。</w:t>
      </w:r>
    </w:p>
    <w:p w14:paraId="51606DFB">
      <w:pPr>
        <w:spacing w:line="480" w:lineRule="exact"/>
        <w:rPr>
          <w:rFonts w:ascii="宋体" w:hAnsi="宋体" w:cs="宋体"/>
          <w:b/>
          <w:bCs/>
        </w:rPr>
      </w:pPr>
      <w:r>
        <w:rPr>
          <w:rFonts w:hint="eastAsia" w:ascii="宋体" w:hAnsi="宋体" w:cs="宋体"/>
          <w:b/>
          <w:bCs/>
        </w:rPr>
        <w:t xml:space="preserve">    3.2供货要求</w:t>
      </w:r>
    </w:p>
    <w:p w14:paraId="46BA5583">
      <w:pPr>
        <w:spacing w:line="480" w:lineRule="exact"/>
        <w:rPr>
          <w:rFonts w:ascii="宋体" w:hAnsi="宋体" w:cs="宋体"/>
        </w:rPr>
      </w:pPr>
      <w:r>
        <w:rPr>
          <w:rFonts w:hint="eastAsia" w:ascii="宋体" w:hAnsi="宋体" w:cs="宋体"/>
        </w:rPr>
        <w:t xml:space="preserve">    3.2.1</w:t>
      </w:r>
      <w:bookmarkStart w:id="36" w:name="OLE_LINK23"/>
      <w:r>
        <w:rPr>
          <w:rFonts w:hint="eastAsia" w:ascii="宋体" w:hAnsi="宋体" w:cs="宋体"/>
          <w:kern w:val="0"/>
        </w:rPr>
        <w:t>交货期：</w:t>
      </w:r>
      <w:bookmarkEnd w:id="36"/>
      <w:r>
        <w:rPr>
          <w:rFonts w:hint="eastAsia" w:ascii="宋体" w:hAnsi="宋体" w:cs="宋体"/>
        </w:rPr>
        <w:t>按需交货，中标人在接到招标人通知后严格执行48小时内交货。中标人交货时间逾期，采购方有权启动应急采购，应急采购单价超过中标价的，中标人应承担费用=（应急采购单价-中标单价）</w:t>
      </w:r>
      <w:r>
        <w:t>×</w:t>
      </w:r>
      <w:r>
        <w:rPr>
          <w:rFonts w:hint="eastAsia" w:ascii="宋体" w:hAnsi="宋体" w:cs="宋体"/>
        </w:rPr>
        <w:t>应急采购数量，并予以扣罚5万元/次，逾期交货累计3次，采购人有权单方面解除合同，并将中标人的履约评价为D。因政策原因，中标人无法正常履行合同，采购人有权启动应急采购，应急采购单价超过中标单价的，中标人应承担费用=（应急采购单价-中标单价）</w:t>
      </w:r>
      <w:r>
        <w:t>×</w:t>
      </w:r>
      <w:r>
        <w:rPr>
          <w:rFonts w:hint="eastAsia" w:ascii="宋体" w:hAnsi="宋体" w:cs="宋体"/>
        </w:rPr>
        <w:t>应急采购数量。</w:t>
      </w:r>
    </w:p>
    <w:p w14:paraId="337DC1F4">
      <w:pPr>
        <w:adjustRightInd w:val="0"/>
        <w:snapToGrid w:val="0"/>
        <w:spacing w:line="480" w:lineRule="exact"/>
        <w:ind w:firstLine="420" w:firstLineChars="200"/>
        <w:rPr>
          <w:rFonts w:ascii="宋体" w:hAnsi="宋体" w:cs="宋体"/>
          <w:szCs w:val="22"/>
        </w:rPr>
      </w:pPr>
      <w:r>
        <w:rPr>
          <w:rFonts w:hint="eastAsia" w:ascii="宋体" w:hAnsi="宋体" w:cs="宋体"/>
          <w:szCs w:val="22"/>
        </w:rPr>
        <w:t>3.2.2交货量：按需供货，数量以水处理公司指定过磅点得出的净重值为准。</w:t>
      </w:r>
    </w:p>
    <w:p w14:paraId="7A635236">
      <w:pPr>
        <w:pStyle w:val="19"/>
        <w:spacing w:line="360" w:lineRule="auto"/>
        <w:ind w:firstLine="420" w:firstLineChars="200"/>
        <w:rPr>
          <w:rFonts w:hAnsi="宋体" w:cs="Times New Roman"/>
        </w:rPr>
      </w:pPr>
      <w:r>
        <w:rPr>
          <w:rFonts w:hint="eastAsia" w:hAnsi="宋体" w:cs="宋体"/>
          <w:szCs w:val="22"/>
        </w:rPr>
        <w:t>3.2.3交货地点：</w:t>
      </w:r>
      <w:r>
        <w:rPr>
          <w:rFonts w:hint="eastAsia" w:hAnsi="宋体" w:cs="宋体"/>
          <w:bCs/>
          <w:kern w:val="0"/>
        </w:rPr>
        <w:t>以需方指定地点为准，</w:t>
      </w:r>
      <w:r>
        <w:rPr>
          <w:rFonts w:hint="eastAsia" w:hAnsi="宋体" w:cs="Times New Roman"/>
        </w:rPr>
        <w:t>中标人随货物附带该批次提货照片、质检书并交与招标人。</w:t>
      </w:r>
    </w:p>
    <w:p w14:paraId="5C95C165">
      <w:pPr>
        <w:pStyle w:val="19"/>
        <w:spacing w:line="360" w:lineRule="auto"/>
        <w:ind w:firstLine="420" w:firstLineChars="200"/>
        <w:rPr>
          <w:rFonts w:hAnsi="宋体" w:cs="宋体"/>
          <w:szCs w:val="22"/>
        </w:rPr>
      </w:pPr>
      <w:r>
        <w:rPr>
          <w:rFonts w:hint="eastAsia" w:hAnsi="宋体" w:cs="宋体"/>
          <w:szCs w:val="22"/>
        </w:rPr>
        <w:t>3.2.4特殊情况：在政策管控等特殊情况下，投标人应制定相应供货应急预案，确保供应正常，未制定可行方案或未实施相应方案影响招标人正常生产的，招标人有权视情况解除合同。</w:t>
      </w:r>
    </w:p>
    <w:p w14:paraId="1062FC60">
      <w:pPr>
        <w:spacing w:line="440" w:lineRule="exact"/>
        <w:ind w:firstLine="422" w:firstLineChars="200"/>
        <w:rPr>
          <w:rFonts w:hint="eastAsia" w:ascii="宋体" w:hAnsi="宋体" w:cs="宋体"/>
          <w:b/>
          <w:bCs/>
        </w:rPr>
      </w:pPr>
      <w:r>
        <w:rPr>
          <w:rFonts w:hint="eastAsia" w:ascii="宋体" w:hAnsi="宋体" w:cs="宋体"/>
          <w:b/>
          <w:bCs/>
        </w:rPr>
        <w:t>3.3付款方式：</w:t>
      </w:r>
      <w:r>
        <w:rPr>
          <w:rFonts w:hint="eastAsia" w:ascii="宋体" w:hAnsi="宋体" w:cs="宋体"/>
          <w:b w:val="0"/>
          <w:bCs w:val="0"/>
        </w:rPr>
        <w:t>按月付款，即需方收到供方所供的货物及上一批次产品货款增值税专用发票后次月结算上一批次货款。供方开具货物货款增值税专用发票之前必须与需方核对货款。供方应向需方提供合法有效的增值税发票，若供方未提供的，需方可拒绝付款，并不承担违约责任。</w:t>
      </w:r>
    </w:p>
    <w:p w14:paraId="21346943">
      <w:pPr>
        <w:spacing w:line="440" w:lineRule="exact"/>
        <w:ind w:firstLine="422" w:firstLineChars="200"/>
        <w:rPr>
          <w:rFonts w:ascii="宋体" w:hAnsi="宋体" w:cs="宋体"/>
          <w:b/>
          <w:bCs/>
          <w:szCs w:val="21"/>
        </w:rPr>
      </w:pPr>
      <w:r>
        <w:rPr>
          <w:rFonts w:hint="eastAsia" w:ascii="宋体" w:hAnsi="宋体" w:cs="宋体"/>
          <w:b/>
          <w:bCs/>
          <w:szCs w:val="21"/>
        </w:rPr>
        <w:t>3.4验收标准</w:t>
      </w:r>
    </w:p>
    <w:p w14:paraId="1191B8A5">
      <w:pPr>
        <w:spacing w:line="480" w:lineRule="exact"/>
        <w:ind w:firstLine="420" w:firstLineChars="200"/>
        <w:rPr>
          <w:rFonts w:hint="default"/>
          <w:color w:val="auto"/>
          <w:sz w:val="21"/>
          <w:szCs w:val="21"/>
          <w:highlight w:val="none"/>
          <w:lang w:val="en-US" w:eastAsia="zh-CN"/>
        </w:rPr>
      </w:pPr>
      <w:r>
        <w:rPr>
          <w:rFonts w:hint="eastAsia" w:ascii="宋体" w:hAnsi="宋体" w:cs="宋体"/>
          <w:bCs/>
          <w:color w:val="auto"/>
          <w:szCs w:val="21"/>
          <w:highlight w:val="none"/>
        </w:rPr>
        <w:t>根据中华人民共和国现行技术标准，按招标文件以及合同规定的验收评定标准等规范，由采购人组织验收</w:t>
      </w:r>
      <w:r>
        <w:rPr>
          <w:rFonts w:hint="default" w:ascii="宋体" w:cs="宋体"/>
          <w:bCs/>
          <w:color w:val="auto"/>
          <w:szCs w:val="21"/>
          <w:highlight w:val="none"/>
        </w:rPr>
        <w:t>。</w:t>
      </w:r>
      <w:r>
        <w:rPr>
          <w:rFonts w:hint="eastAsia" w:ascii="宋体" w:hAnsi="宋体" w:eastAsia="宋体" w:cs="宋体"/>
          <w:color w:val="auto"/>
          <w:kern w:val="2"/>
          <w:sz w:val="21"/>
          <w:szCs w:val="21"/>
          <w:highlight w:val="none"/>
          <w:lang w:val="en-US" w:eastAsia="zh-CN" w:bidi="ar"/>
        </w:rPr>
        <w:t>验收产生的费用由中标方承担。</w:t>
      </w:r>
      <w:r>
        <w:rPr>
          <w:rFonts w:hint="eastAsia" w:ascii="宋体" w:hAnsi="宋体" w:cs="宋体"/>
          <w:bCs/>
          <w:color w:val="auto"/>
          <w:szCs w:val="21"/>
          <w:highlight w:val="none"/>
        </w:rPr>
        <w:t>如果发现与合同中要求不符，</w:t>
      </w:r>
      <w:r>
        <w:rPr>
          <w:rFonts w:hint="eastAsia" w:ascii="宋体" w:hAnsi="宋体" w:cs="宋体"/>
          <w:bCs/>
          <w:color w:val="auto"/>
          <w:szCs w:val="21"/>
          <w:highlight w:val="none"/>
          <w:lang w:val="en-US" w:eastAsia="zh-CN"/>
        </w:rPr>
        <w:t>中标人</w:t>
      </w:r>
      <w:r>
        <w:rPr>
          <w:rFonts w:hint="eastAsia" w:ascii="宋体" w:hAnsi="宋体" w:cs="宋体"/>
          <w:bCs/>
          <w:color w:val="auto"/>
          <w:szCs w:val="21"/>
          <w:highlight w:val="none"/>
        </w:rPr>
        <w:t>须承担由此发生的一切损失和费用，并承担相应的法律责任。</w:t>
      </w:r>
    </w:p>
    <w:p w14:paraId="32399827">
      <w:pPr>
        <w:pStyle w:val="19"/>
        <w:numPr>
          <w:ilvl w:val="0"/>
          <w:numId w:val="5"/>
        </w:numPr>
        <w:spacing w:line="440" w:lineRule="exact"/>
        <w:rPr>
          <w:rFonts w:hAnsi="宋体" w:cs="宋体"/>
          <w:b/>
          <w:bCs/>
        </w:rPr>
      </w:pPr>
      <w:r>
        <w:rPr>
          <w:rFonts w:hint="eastAsia" w:hAnsi="宋体" w:cs="宋体"/>
          <w:b/>
          <w:bCs/>
        </w:rPr>
        <w:t>其他</w:t>
      </w:r>
    </w:p>
    <w:p w14:paraId="15A56775">
      <w:pPr>
        <w:pStyle w:val="19"/>
        <w:spacing w:line="440" w:lineRule="exact"/>
        <w:ind w:firstLine="422" w:firstLineChars="200"/>
        <w:rPr>
          <w:rFonts w:hAnsi="宋体" w:cs="宋体"/>
          <w:b/>
          <w:bCs/>
        </w:rPr>
      </w:pPr>
      <w:r>
        <w:rPr>
          <w:rFonts w:hint="eastAsia" w:hAnsi="宋体" w:cs="宋体"/>
          <w:b/>
          <w:bCs/>
        </w:rPr>
        <w:t>4.1产品应满足招标方的要求，如中标单位的投标文件与招标文件要求不一致的，履约时应以有利于采购人的条款执行。</w:t>
      </w:r>
    </w:p>
    <w:p w14:paraId="514BFEE9">
      <w:pPr>
        <w:pStyle w:val="19"/>
        <w:spacing w:line="440" w:lineRule="exact"/>
        <w:ind w:firstLine="422" w:firstLineChars="200"/>
        <w:rPr>
          <w:rFonts w:hint="eastAsia" w:hAnsi="宋体" w:cs="宋体"/>
          <w:b/>
          <w:bCs/>
        </w:rPr>
      </w:pPr>
      <w:r>
        <w:rPr>
          <w:rFonts w:hint="eastAsia" w:hAnsi="宋体" w:cs="宋体"/>
          <w:b/>
          <w:bCs/>
        </w:rPr>
        <w:t>4.2中标单位在签订合同时，若坚持提出附加条件或不合理要求，中标资格将被取消。</w:t>
      </w:r>
    </w:p>
    <w:p w14:paraId="367874E8">
      <w:pPr>
        <w:pStyle w:val="19"/>
        <w:spacing w:line="440" w:lineRule="exact"/>
        <w:ind w:firstLine="422" w:firstLineChars="200"/>
        <w:rPr>
          <w:rFonts w:hint="default" w:hAnsi="宋体" w:cs="宋体"/>
          <w:b/>
          <w:bCs/>
          <w:lang w:val="en-US" w:eastAsia="zh-CN"/>
        </w:rPr>
      </w:pPr>
      <w:r>
        <w:rPr>
          <w:rFonts w:hint="eastAsia" w:hAnsi="宋体" w:cs="宋体"/>
          <w:b/>
          <w:bCs/>
          <w:lang w:val="en-US" w:eastAsia="zh-CN"/>
        </w:rPr>
        <w:t>4.3中标单位弃标的，将纳入义乌市水务建设集团有限公司施工或货物服务承包企业黑名单，并支付中标总额30%的罚金。</w:t>
      </w:r>
    </w:p>
    <w:p w14:paraId="59BD3582">
      <w:pPr>
        <w:pStyle w:val="3"/>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p>
    <w:p w14:paraId="55D3AAAC">
      <w:pPr>
        <w:rPr>
          <w:rFonts w:hint="eastAsia" w:ascii="Times New Roman" w:hAnsi="Times New Roman" w:eastAsia="宋体" w:cs="Times New Roman"/>
          <w:b/>
          <w:bCs/>
          <w:color w:val="auto"/>
          <w:kern w:val="44"/>
          <w:sz w:val="36"/>
          <w:szCs w:val="44"/>
          <w:highlight w:val="none"/>
          <w:lang w:val="en-US" w:eastAsia="zh-CN" w:bidi="ar-SA"/>
        </w:rPr>
      </w:pPr>
      <w:bookmarkStart w:id="37" w:name="_Toc7717"/>
      <w:bookmarkStart w:id="38" w:name="_Toc27172"/>
      <w:r>
        <w:rPr>
          <w:rFonts w:hint="eastAsia" w:ascii="Times New Roman" w:hAnsi="Times New Roman" w:eastAsia="宋体" w:cs="Times New Roman"/>
          <w:b/>
          <w:bCs/>
          <w:color w:val="auto"/>
          <w:kern w:val="44"/>
          <w:sz w:val="36"/>
          <w:szCs w:val="44"/>
          <w:highlight w:val="none"/>
          <w:lang w:val="en-US" w:eastAsia="zh-CN" w:bidi="ar-SA"/>
        </w:rPr>
        <w:br w:type="page"/>
      </w:r>
    </w:p>
    <w:p w14:paraId="5CE6991C">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7"/>
      <w:bookmarkEnd w:id="38"/>
    </w:p>
    <w:p w14:paraId="42FC800B">
      <w:pPr>
        <w:pStyle w:val="4"/>
        <w:spacing w:before="0" w:after="0" w:line="460" w:lineRule="exact"/>
        <w:rPr>
          <w:rFonts w:ascii="宋体" w:hAnsi="宋体" w:eastAsia="宋体"/>
          <w:color w:val="auto"/>
          <w:sz w:val="21"/>
          <w:szCs w:val="21"/>
          <w:highlight w:val="none"/>
        </w:rPr>
      </w:pPr>
      <w:bookmarkStart w:id="39" w:name="_Toc1807"/>
      <w:bookmarkStart w:id="40" w:name="_Toc406413937"/>
      <w:bookmarkStart w:id="41" w:name="_Toc22509"/>
      <w:bookmarkStart w:id="42" w:name="_Toc362250705"/>
      <w:bookmarkStart w:id="43" w:name="_Toc226973002"/>
      <w:bookmarkStart w:id="44" w:name="_Toc263090375"/>
      <w:bookmarkStart w:id="45" w:name="_Toc27000"/>
      <w:bookmarkStart w:id="46" w:name="_Toc274303253"/>
      <w:bookmarkStart w:id="47" w:name="_Toc261519847"/>
      <w:bookmarkStart w:id="48" w:name="_Toc20175"/>
      <w:r>
        <w:rPr>
          <w:rFonts w:hint="eastAsia" w:ascii="宋体" w:hAnsi="宋体" w:eastAsia="宋体"/>
          <w:color w:val="auto"/>
          <w:sz w:val="21"/>
          <w:szCs w:val="21"/>
          <w:highlight w:val="none"/>
        </w:rPr>
        <w:t>一、开标</w:t>
      </w:r>
      <w:bookmarkEnd w:id="39"/>
      <w:bookmarkEnd w:id="40"/>
      <w:bookmarkEnd w:id="41"/>
    </w:p>
    <w:p w14:paraId="69A7A40B">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6C9957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13A06A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3E626C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D74AB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86D39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58AFC5A2">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6887DC32">
      <w:pPr>
        <w:pStyle w:val="4"/>
        <w:spacing w:before="120" w:after="120" w:line="460" w:lineRule="exact"/>
        <w:rPr>
          <w:rFonts w:ascii="宋体" w:hAnsi="宋体" w:eastAsia="宋体" w:cs="宋体"/>
          <w:color w:val="auto"/>
          <w:sz w:val="21"/>
          <w:szCs w:val="21"/>
          <w:highlight w:val="none"/>
        </w:rPr>
      </w:pPr>
      <w:bookmarkStart w:id="49" w:name="_Toc20520"/>
      <w:r>
        <w:rPr>
          <w:rFonts w:hint="eastAsia" w:ascii="宋体" w:hAnsi="宋体" w:eastAsia="宋体" w:cs="宋体"/>
          <w:color w:val="auto"/>
          <w:sz w:val="21"/>
          <w:szCs w:val="21"/>
          <w:highlight w:val="none"/>
        </w:rPr>
        <w:t>二、评标</w:t>
      </w:r>
      <w:bookmarkEnd w:id="42"/>
      <w:bookmarkEnd w:id="43"/>
      <w:bookmarkEnd w:id="44"/>
      <w:bookmarkEnd w:id="45"/>
      <w:bookmarkEnd w:id="46"/>
      <w:bookmarkEnd w:id="47"/>
      <w:bookmarkEnd w:id="48"/>
      <w:bookmarkEnd w:id="49"/>
    </w:p>
    <w:p w14:paraId="14DE1B4D">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1B43205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567711B7">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w:t>
      </w:r>
      <w:r>
        <w:rPr>
          <w:rFonts w:hint="eastAsia" w:hAnsi="宋体"/>
          <w:color w:val="auto"/>
          <w:highlight w:val="none"/>
          <w:lang w:eastAsia="zh-CN"/>
        </w:rPr>
        <w:t>投标人</w:t>
      </w:r>
      <w:r>
        <w:rPr>
          <w:rFonts w:hint="eastAsia" w:hAnsi="宋体"/>
          <w:color w:val="auto"/>
          <w:highlight w:val="none"/>
        </w:rPr>
        <w:t>应在30分钟内予以回应，否则后果自负。</w:t>
      </w:r>
    </w:p>
    <w:p w14:paraId="06AD2321">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4E957A07">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10DD58AC">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6B9775A">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079B59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6D37A33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F4BB07E">
      <w:pPr>
        <w:pStyle w:val="19"/>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9B7BB2D">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083A00AE">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6CEFA111">
      <w:pPr>
        <w:pStyle w:val="19"/>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729BAD56">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497E0A87">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4E9C75D5">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E564988">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63887390">
      <w:pPr>
        <w:spacing w:line="4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不同供应商之间所投核心产品为同一品牌产品的，应当按一个投标人认定，评审时取其中有效技术标的评标价最低的一家为有效投标人，评标价相同的，采取随机抽取方式确定，其他同品牌投标人投标无效</w:t>
      </w:r>
      <w:r>
        <w:rPr>
          <w:rFonts w:hint="eastAsia" w:ascii="宋体" w:hAnsi="宋体" w:cs="宋体"/>
          <w:bCs/>
          <w:color w:val="auto"/>
          <w:szCs w:val="21"/>
          <w:highlight w:val="none"/>
          <w:lang w:eastAsia="zh-CN"/>
        </w:rPr>
        <w:t>。</w:t>
      </w:r>
    </w:p>
    <w:p w14:paraId="3BF7FB25">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65A4E275">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6539A184">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w:t>
      </w:r>
      <w:r>
        <w:rPr>
          <w:rFonts w:hint="eastAsia" w:ascii="宋体" w:hAnsi="宋体"/>
          <w:color w:val="auto"/>
          <w:szCs w:val="21"/>
          <w:highlight w:val="none"/>
          <w:lang w:eastAsia="zh-CN"/>
        </w:rPr>
        <w:t>需加</w:t>
      </w:r>
      <w:r>
        <w:rPr>
          <w:rFonts w:hint="eastAsia" w:ascii="宋体" w:hAnsi="宋体"/>
          <w:color w:val="auto"/>
          <w:szCs w:val="21"/>
          <w:highlight w:val="none"/>
        </w:rPr>
        <w:t>盖电子签章或实体公章），但不得超出投标文件的范围或改变投标文件的实质性内容。根据本须知第10条规定，凡属于评标小组在评标中发现的计算错误并进行核实的修改不在此列。</w:t>
      </w:r>
    </w:p>
    <w:p w14:paraId="50CF09EC">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7D0024DB">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2C7ED1A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6BD6E01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0C3D5F65">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26D76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2191920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1DCB6D6E">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0730FB3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744D2D7A">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5625E241">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5AF55FD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651DF743">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720B2A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6CF468E8">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311885A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129467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40381A9A">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189003A1">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7ABAB2C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w:t>
      </w:r>
      <w:r>
        <w:rPr>
          <w:rFonts w:hint="eastAsia" w:ascii="宋体" w:hAnsi="宋体" w:cs="宋体"/>
          <w:b/>
          <w:color w:val="auto"/>
          <w:szCs w:val="21"/>
          <w:highlight w:val="none"/>
          <w:lang w:eastAsia="zh-CN"/>
        </w:rPr>
        <w:t>做</w:t>
      </w:r>
      <w:r>
        <w:rPr>
          <w:rFonts w:hint="eastAsia" w:ascii="宋体" w:hAnsi="宋体" w:cs="宋体"/>
          <w:b/>
          <w:color w:val="auto"/>
          <w:szCs w:val="21"/>
          <w:highlight w:val="none"/>
        </w:rPr>
        <w:t>相应的答辩；</w:t>
      </w:r>
    </w:p>
    <w:p w14:paraId="2624DF41">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67963540">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1994E84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522D480C">
      <w:pPr>
        <w:pStyle w:val="19"/>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00A81144">
      <w:pPr>
        <w:pStyle w:val="19"/>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1C4CB12C">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最低评标价法</w:t>
      </w:r>
      <w:r>
        <w:rPr>
          <w:rFonts w:hint="eastAsia" w:ascii="宋体" w:hAnsi="宋体" w:cs="宋体"/>
          <w:b/>
          <w:color w:val="auto"/>
          <w:szCs w:val="21"/>
          <w:highlight w:val="none"/>
        </w:rPr>
        <w:t>（具体评标办法见后）。</w:t>
      </w:r>
    </w:p>
    <w:p w14:paraId="6FAFFBF9">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56EA74E0">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0" w:name="_Toc4305"/>
      <w:bookmarkStart w:id="51" w:name="_Toc362250706"/>
      <w:bookmarkStart w:id="52" w:name="_Toc10636"/>
      <w:bookmarkStart w:id="53" w:name="_Toc274303254"/>
      <w:bookmarkStart w:id="54" w:name="_Toc261519848"/>
      <w:bookmarkStart w:id="55" w:name="_Toc263090376"/>
      <w:bookmarkStart w:id="56" w:name="_Toc226973003"/>
      <w:r>
        <w:rPr>
          <w:rFonts w:hint="eastAsia" w:ascii="宋体" w:hAnsi="宋体" w:cs="宋体"/>
          <w:color w:val="auto"/>
          <w:szCs w:val="21"/>
          <w:highlight w:val="none"/>
          <w:lang w:val="en-US" w:eastAsia="zh-CN"/>
        </w:rPr>
        <w:t>采购人授权评标小组直接确定中标人。</w:t>
      </w:r>
    </w:p>
    <w:p w14:paraId="593BCDEF">
      <w:pPr>
        <w:pStyle w:val="4"/>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7" w:name="_Toc9344"/>
      <w:r>
        <w:rPr>
          <w:rFonts w:hint="eastAsia" w:ascii="宋体" w:hAnsi="宋体" w:eastAsia="宋体" w:cs="宋体"/>
          <w:color w:val="auto"/>
          <w:sz w:val="21"/>
          <w:szCs w:val="21"/>
          <w:highlight w:val="none"/>
        </w:rPr>
        <w:t>三、定标</w:t>
      </w:r>
      <w:bookmarkEnd w:id="50"/>
      <w:bookmarkEnd w:id="51"/>
      <w:bookmarkEnd w:id="52"/>
      <w:bookmarkEnd w:id="53"/>
      <w:bookmarkEnd w:id="54"/>
      <w:bookmarkEnd w:id="55"/>
      <w:bookmarkEnd w:id="56"/>
      <w:bookmarkEnd w:id="57"/>
    </w:p>
    <w:p w14:paraId="5380B28A">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31B525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6DB9170B">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共同签发《中标通知书》，中标人凭有效证明到</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领取《中标通知书》。《中标通知书》一经发出即发生法律效力。</w:t>
      </w:r>
    </w:p>
    <w:p w14:paraId="08669FA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7835642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4AA23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4D7C6F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320A0F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3CC8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283A40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0C001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5346775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6FEAAF87">
      <w:pPr>
        <w:pStyle w:val="19"/>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7BF1F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27E73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657E4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2BEFD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55A958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391E9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051F1B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0182C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64CD0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0E248545">
      <w:pPr>
        <w:spacing w:line="420" w:lineRule="exact"/>
        <w:ind w:firstLine="480" w:firstLineChars="200"/>
        <w:rPr>
          <w:color w:val="auto"/>
          <w:sz w:val="24"/>
          <w:highlight w:val="none"/>
        </w:rPr>
      </w:pPr>
    </w:p>
    <w:p w14:paraId="60FFD5EC">
      <w:pPr>
        <w:spacing w:line="420" w:lineRule="exact"/>
        <w:ind w:firstLine="480" w:firstLineChars="200"/>
        <w:rPr>
          <w:rFonts w:hint="eastAsia"/>
          <w:color w:val="auto"/>
          <w:sz w:val="24"/>
          <w:highlight w:val="none"/>
        </w:rPr>
      </w:pPr>
    </w:p>
    <w:p w14:paraId="66DAFDEB">
      <w:pPr>
        <w:spacing w:line="420" w:lineRule="exact"/>
        <w:ind w:firstLine="480" w:firstLineChars="200"/>
        <w:rPr>
          <w:rFonts w:hint="eastAsia"/>
          <w:color w:val="auto"/>
          <w:sz w:val="24"/>
          <w:highlight w:val="none"/>
        </w:rPr>
      </w:pPr>
    </w:p>
    <w:p w14:paraId="1CEEA2D2">
      <w:pPr>
        <w:spacing w:line="420" w:lineRule="exact"/>
        <w:ind w:firstLine="480" w:firstLineChars="200"/>
        <w:rPr>
          <w:rFonts w:hint="eastAsia"/>
          <w:color w:val="auto"/>
          <w:sz w:val="24"/>
          <w:highlight w:val="none"/>
        </w:rPr>
      </w:pPr>
    </w:p>
    <w:p w14:paraId="62D3CA20">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58" w:name="_Toc23756"/>
      <w:r>
        <w:rPr>
          <w:rFonts w:hint="eastAsia" w:hAnsi="宋体"/>
          <w:color w:val="auto"/>
          <w:sz w:val="36"/>
          <w:highlight w:val="none"/>
        </w:rPr>
        <w:br w:type="page"/>
      </w:r>
      <w:bookmarkStart w:id="59" w:name="_Toc11009"/>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58"/>
      <w:bookmarkEnd w:id="59"/>
    </w:p>
    <w:p w14:paraId="7067FA7C">
      <w:pPr>
        <w:pStyle w:val="19"/>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4B599B8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65DB2B59">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039C14F5">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AFDC40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72E23E1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9D097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AE5457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EFB03A4">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0C4033B1">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042969FD">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88304A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kern w:val="0"/>
          <w:szCs w:val="21"/>
          <w:highlight w:val="none"/>
          <w:lang w:val="en-US" w:eastAsia="zh-CN"/>
        </w:rPr>
        <w:t>他</w:t>
      </w:r>
      <w:r>
        <w:rPr>
          <w:rFonts w:hint="eastAsia" w:ascii="新宋体" w:hAnsi="新宋体" w:eastAsia="新宋体"/>
          <w:color w:val="auto"/>
          <w:szCs w:val="21"/>
          <w:highlight w:val="none"/>
        </w:rPr>
        <w:t>对本招标文件中打★号的条款未完全响应的。</w:t>
      </w:r>
    </w:p>
    <w:p w14:paraId="62CB55E6">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370E958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6DAD112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CA6283A">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286E46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8EC3096">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05358A0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4AE963D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7D8962B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391CAD6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7996D7F">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54CC0E0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465D53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DF8ABD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64081CC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24972F2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F274BA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3C867A1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1DB0295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07209A4A">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04CF7B6D">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484B428">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37B6040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3385AE6C">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615C4BD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48AC6E49">
      <w:pPr>
        <w:spacing w:line="420" w:lineRule="exact"/>
        <w:ind w:firstLine="422" w:firstLineChars="200"/>
        <w:rPr>
          <w:rFonts w:hint="eastAsia"/>
          <w:b/>
          <w:bCs/>
          <w:color w:val="auto"/>
          <w:szCs w:val="21"/>
          <w:highlight w:val="none"/>
        </w:rPr>
      </w:pPr>
    </w:p>
    <w:p w14:paraId="5091970D">
      <w:pPr>
        <w:spacing w:line="420" w:lineRule="exact"/>
        <w:ind w:firstLine="480" w:firstLineChars="200"/>
        <w:rPr>
          <w:rFonts w:hint="eastAsia"/>
          <w:color w:val="auto"/>
          <w:sz w:val="24"/>
          <w:highlight w:val="none"/>
        </w:rPr>
      </w:pPr>
    </w:p>
    <w:p w14:paraId="040EE3C2">
      <w:pPr>
        <w:spacing w:line="420" w:lineRule="exact"/>
        <w:rPr>
          <w:rFonts w:hint="eastAsia"/>
          <w:color w:val="auto"/>
          <w:sz w:val="24"/>
          <w:highlight w:val="none"/>
        </w:rPr>
      </w:pPr>
    </w:p>
    <w:p w14:paraId="1F138F63">
      <w:pPr>
        <w:spacing w:line="420" w:lineRule="exact"/>
        <w:rPr>
          <w:rFonts w:hint="eastAsia"/>
          <w:color w:val="auto"/>
          <w:sz w:val="24"/>
          <w:highlight w:val="none"/>
        </w:rPr>
      </w:pPr>
    </w:p>
    <w:p w14:paraId="1120542A">
      <w:pPr>
        <w:spacing w:line="420" w:lineRule="exact"/>
        <w:rPr>
          <w:rFonts w:hint="eastAsia"/>
          <w:color w:val="auto"/>
          <w:sz w:val="24"/>
          <w:highlight w:val="none"/>
        </w:rPr>
      </w:pPr>
    </w:p>
    <w:p w14:paraId="77FBEE00">
      <w:pPr>
        <w:spacing w:line="420" w:lineRule="exact"/>
        <w:rPr>
          <w:rFonts w:hint="eastAsia"/>
          <w:color w:val="auto"/>
          <w:sz w:val="24"/>
          <w:highlight w:val="none"/>
        </w:rPr>
      </w:pPr>
    </w:p>
    <w:p w14:paraId="4A3667B4">
      <w:pPr>
        <w:spacing w:line="420" w:lineRule="exact"/>
        <w:rPr>
          <w:rFonts w:hint="eastAsia"/>
          <w:color w:val="auto"/>
          <w:sz w:val="24"/>
          <w:highlight w:val="none"/>
        </w:rPr>
      </w:pPr>
    </w:p>
    <w:p w14:paraId="1B94A14E">
      <w:pPr>
        <w:spacing w:line="420" w:lineRule="exact"/>
        <w:rPr>
          <w:rFonts w:hint="eastAsia"/>
          <w:color w:val="auto"/>
          <w:sz w:val="24"/>
          <w:highlight w:val="none"/>
        </w:rPr>
      </w:pPr>
    </w:p>
    <w:p w14:paraId="37D5841F">
      <w:pPr>
        <w:spacing w:line="420" w:lineRule="exact"/>
        <w:rPr>
          <w:rFonts w:hint="eastAsia"/>
          <w:color w:val="auto"/>
          <w:sz w:val="24"/>
          <w:highlight w:val="none"/>
        </w:rPr>
      </w:pPr>
    </w:p>
    <w:p w14:paraId="59B5038F">
      <w:pPr>
        <w:spacing w:line="420" w:lineRule="exact"/>
        <w:rPr>
          <w:rFonts w:hint="eastAsia"/>
          <w:color w:val="auto"/>
          <w:sz w:val="24"/>
          <w:highlight w:val="none"/>
        </w:rPr>
      </w:pPr>
    </w:p>
    <w:p w14:paraId="41E45C13">
      <w:pPr>
        <w:pStyle w:val="66"/>
        <w:ind w:firstLine="420" w:firstLineChars="200"/>
        <w:rPr>
          <w:rFonts w:hint="eastAsia" w:ascii="宋体" w:hAnsi="宋体" w:cs="宋体"/>
          <w:color w:val="auto"/>
          <w:sz w:val="21"/>
          <w:szCs w:val="21"/>
          <w:highlight w:val="none"/>
        </w:rPr>
      </w:pPr>
      <w:bookmarkStart w:id="60" w:name="_Toc274303257"/>
    </w:p>
    <w:p w14:paraId="64FC093F">
      <w:pPr>
        <w:pStyle w:val="3"/>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1" w:name="_Toc226973004"/>
      <w:bookmarkStart w:id="62" w:name="_Toc19786"/>
      <w:bookmarkStart w:id="63" w:name="_Toc274303255"/>
      <w:bookmarkStart w:id="64" w:name="_Toc362250708"/>
      <w:bookmarkStart w:id="65" w:name="_Toc145992551"/>
      <w:r>
        <w:rPr>
          <w:rFonts w:hint="eastAsia"/>
          <w:color w:val="auto"/>
          <w:sz w:val="36"/>
          <w:highlight w:val="none"/>
        </w:rPr>
        <w:br w:type="page"/>
      </w:r>
      <w:bookmarkStart w:id="66" w:name="_Toc5520"/>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1"/>
      <w:bookmarkEnd w:id="62"/>
      <w:bookmarkEnd w:id="63"/>
      <w:bookmarkEnd w:id="64"/>
      <w:bookmarkEnd w:id="65"/>
      <w:bookmarkEnd w:id="66"/>
    </w:p>
    <w:bookmarkEnd w:id="60"/>
    <w:p w14:paraId="2FC2A8CD">
      <w:pPr>
        <w:pStyle w:val="66"/>
        <w:spacing w:line="400" w:lineRule="exact"/>
        <w:ind w:firstLine="420" w:firstLineChars="200"/>
        <w:rPr>
          <w:rFonts w:hint="eastAsia" w:ascii="宋体" w:hAnsi="宋体" w:cs="宋体"/>
          <w:sz w:val="21"/>
          <w:szCs w:val="21"/>
        </w:rPr>
      </w:pPr>
      <w:bookmarkStart w:id="67" w:name="_Toc269969080"/>
      <w:bookmarkStart w:id="68" w:name="_Toc330474791"/>
      <w:bookmarkStart w:id="69" w:name="_Toc358884475"/>
      <w:bookmarkStart w:id="70" w:name="_Toc362250710"/>
      <w:bookmarkStart w:id="71" w:name="_Toc323024194"/>
      <w:bookmarkStart w:id="72" w:name="_Toc295815145"/>
      <w:r>
        <w:rPr>
          <w:rFonts w:hint="eastAsia" w:ascii="宋体" w:hAnsi="宋体" w:cs="宋体"/>
          <w:sz w:val="21"/>
          <w:szCs w:val="21"/>
        </w:rPr>
        <w:t>根据《中华人民共和国招标投标法》的有关规定，遵循“公开、公平、公正”的原则，结合本次招标的特点，特制定本评标细则。</w:t>
      </w:r>
    </w:p>
    <w:p w14:paraId="59D29E95">
      <w:pPr>
        <w:pStyle w:val="66"/>
        <w:spacing w:line="400" w:lineRule="exact"/>
        <w:ind w:firstLine="422" w:firstLineChars="200"/>
        <w:rPr>
          <w:rFonts w:hint="eastAsia" w:ascii="宋体" w:hAnsi="宋体" w:cs="宋体"/>
          <w:b/>
          <w:bCs/>
          <w:szCs w:val="21"/>
        </w:rPr>
      </w:pPr>
      <w:r>
        <w:rPr>
          <w:rFonts w:hint="eastAsia" w:ascii="宋体" w:hAnsi="宋体" w:cs="宋体"/>
          <w:b/>
          <w:bCs/>
          <w:sz w:val="21"/>
          <w:szCs w:val="21"/>
        </w:rPr>
        <w:t>一、评审程序</w:t>
      </w:r>
    </w:p>
    <w:p w14:paraId="001A995E">
      <w:pPr>
        <w:pStyle w:val="19"/>
        <w:spacing w:line="400" w:lineRule="exact"/>
        <w:ind w:firstLine="420" w:firstLineChars="200"/>
        <w:rPr>
          <w:rFonts w:hint="eastAsia" w:hAnsi="宋体" w:cs="宋体"/>
        </w:rPr>
      </w:pPr>
      <w:r>
        <w:rPr>
          <w:rFonts w:hint="eastAsia" w:hAnsi="宋体" w:cs="宋体"/>
        </w:rPr>
        <w:t xml:space="preserve">评标委员会以开标、评标、询标情况为基本依据，按照招标文件的规定，对各投标人的投标文件分资格、商务技术、投标报价三个部分按以下程序进行分析、评议： </w:t>
      </w:r>
    </w:p>
    <w:p w14:paraId="177A5975">
      <w:pPr>
        <w:pStyle w:val="19"/>
        <w:spacing w:line="400" w:lineRule="exact"/>
        <w:ind w:firstLine="420" w:firstLineChars="200"/>
        <w:rPr>
          <w:rFonts w:hint="eastAsia" w:hAnsi="宋体" w:cs="宋体"/>
        </w:rPr>
      </w:pPr>
      <w:r>
        <w:rPr>
          <w:rFonts w:hint="eastAsia" w:hAnsi="宋体" w:cs="宋体"/>
        </w:rPr>
        <w:t>（一）对所有投标人的资格响应文件进行审查，并以开标当日为准，对投标人“信用中国”网站（www.creditchina.gov.cn）信用记录情况进行查询；</w:t>
      </w:r>
    </w:p>
    <w:p w14:paraId="4BC69AB9">
      <w:pPr>
        <w:pStyle w:val="19"/>
        <w:spacing w:line="400" w:lineRule="exact"/>
        <w:ind w:firstLine="420" w:firstLineChars="200"/>
        <w:rPr>
          <w:rFonts w:hint="eastAsia" w:hAnsi="宋体" w:cs="宋体"/>
        </w:rPr>
      </w:pPr>
      <w:r>
        <w:rPr>
          <w:rFonts w:hint="eastAsia" w:hAnsi="宋体" w:cs="宋体"/>
        </w:rPr>
        <w:t>（二）对通过资格性审查合格的投标人的商务技术响应文件进行符合性审查；</w:t>
      </w:r>
    </w:p>
    <w:p w14:paraId="1D2A7C6A">
      <w:pPr>
        <w:pStyle w:val="19"/>
        <w:spacing w:line="400" w:lineRule="exact"/>
        <w:ind w:firstLine="420" w:firstLineChars="200"/>
        <w:rPr>
          <w:rFonts w:hint="eastAsia" w:hAnsi="宋体" w:cs="宋体"/>
        </w:rPr>
      </w:pPr>
      <w:r>
        <w:rPr>
          <w:rFonts w:hint="eastAsia" w:hAnsi="宋体" w:cs="宋体"/>
        </w:rPr>
        <w:t>（三）对通过符合性审查有效的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1F3A5F5">
      <w:pPr>
        <w:pStyle w:val="19"/>
        <w:spacing w:line="400" w:lineRule="exact"/>
        <w:ind w:firstLine="420" w:firstLineChars="200"/>
        <w:rPr>
          <w:rFonts w:hint="eastAsia" w:hAnsi="宋体" w:cs="宋体"/>
        </w:rPr>
      </w:pPr>
      <w:r>
        <w:rPr>
          <w:rFonts w:hint="eastAsia" w:hAnsi="宋体" w:cs="宋体"/>
        </w:rPr>
        <w:t>（四）确定中标人</w:t>
      </w:r>
    </w:p>
    <w:p w14:paraId="7B326B5C">
      <w:pPr>
        <w:spacing w:line="40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rPr>
        <w:t>采购人授权评标委员会直接确定经评审后的供应商中评标价最低者为成交供应商。评标价相同的，按供应商报价由低到高顺序排列。如出现两家或两家以上最低评标价及供应商报价均相同的情况，则由采购人代表采用随机抽取程序随机确定</w:t>
      </w:r>
      <w:r>
        <w:rPr>
          <w:rFonts w:hint="eastAsia" w:ascii="宋体" w:hAnsi="宋体" w:cs="宋体"/>
          <w:szCs w:val="21"/>
        </w:rPr>
        <w:t>。</w:t>
      </w:r>
    </w:p>
    <w:p w14:paraId="584DB3F1">
      <w:pPr>
        <w:spacing w:line="400" w:lineRule="exact"/>
        <w:ind w:firstLine="420" w:firstLineChars="200"/>
        <w:rPr>
          <w:rFonts w:hint="eastAsia" w:ascii="宋体" w:hAnsi="宋体" w:cs="宋体"/>
          <w:szCs w:val="21"/>
        </w:rPr>
      </w:pPr>
      <w:r>
        <w:rPr>
          <w:rFonts w:hint="eastAsia" w:ascii="宋体" w:hAnsi="宋体" w:cs="宋体"/>
          <w:szCs w:val="21"/>
        </w:rPr>
        <w:t>2.其次，评标委员会直接确定排名第一的投标人为中标单位。</w:t>
      </w:r>
    </w:p>
    <w:p w14:paraId="37FCF759">
      <w:pPr>
        <w:spacing w:line="400" w:lineRule="exact"/>
        <w:ind w:firstLine="420" w:firstLineChars="200"/>
        <w:rPr>
          <w:rFonts w:hint="eastAsia" w:ascii="宋体" w:hAnsi="宋体" w:cs="宋体"/>
          <w:szCs w:val="21"/>
        </w:rPr>
      </w:pPr>
      <w:r>
        <w:rPr>
          <w:rFonts w:hint="eastAsia" w:ascii="宋体" w:hAnsi="宋体" w:cs="宋体"/>
          <w:szCs w:val="21"/>
        </w:rPr>
        <w:t>（五）完成评标报告</w:t>
      </w:r>
    </w:p>
    <w:p w14:paraId="7EA9E027">
      <w:pPr>
        <w:pStyle w:val="19"/>
        <w:spacing w:line="400" w:lineRule="exact"/>
        <w:ind w:firstLine="420" w:firstLineChars="200"/>
        <w:jc w:val="left"/>
        <w:rPr>
          <w:rFonts w:hint="eastAsia" w:hAnsi="宋体" w:cs="宋体"/>
        </w:rPr>
      </w:pPr>
      <w:r>
        <w:rPr>
          <w:rFonts w:hint="eastAsia" w:hAnsi="宋体" w:cs="宋体"/>
        </w:rPr>
        <w:t xml:space="preserve">评标委员会根据评审相关情况作出评标报告。 </w:t>
      </w:r>
    </w:p>
    <w:p w14:paraId="56093BAB">
      <w:pPr>
        <w:pStyle w:val="19"/>
        <w:spacing w:line="400" w:lineRule="exact"/>
        <w:ind w:firstLine="422" w:firstLineChars="200"/>
        <w:jc w:val="left"/>
        <w:rPr>
          <w:rFonts w:hint="eastAsia" w:hAnsi="宋体" w:cs="宋体"/>
          <w:b/>
          <w:bCs/>
        </w:rPr>
      </w:pPr>
      <w:r>
        <w:rPr>
          <w:rFonts w:hint="eastAsia" w:hAnsi="宋体" w:cs="宋体"/>
          <w:b/>
          <w:bCs/>
        </w:rPr>
        <w:t>二、确定的中标人放弃中标等情况的处理</w:t>
      </w:r>
    </w:p>
    <w:p w14:paraId="3B42E092">
      <w:pPr>
        <w:pStyle w:val="19"/>
        <w:spacing w:line="400" w:lineRule="exact"/>
        <w:ind w:firstLine="420" w:firstLineChars="200"/>
        <w:jc w:val="left"/>
        <w:rPr>
          <w:rFonts w:hint="eastAsia" w:hAnsi="宋体" w:cs="宋体"/>
        </w:rPr>
      </w:pPr>
      <w:r>
        <w:rPr>
          <w:rFonts w:hint="eastAsia" w:hAnsi="宋体" w:cs="宋体"/>
        </w:rPr>
        <w:t>1.当确定的中标人放弃中标，因不可抗力提出不能履行合同或者质疑投诉成立取消中标人资格的，均不再确定其余投标人作为中标人。</w:t>
      </w:r>
    </w:p>
    <w:p w14:paraId="0FAE0587">
      <w:pPr>
        <w:pStyle w:val="19"/>
        <w:spacing w:line="400" w:lineRule="exact"/>
        <w:ind w:firstLine="420" w:firstLineChars="200"/>
        <w:jc w:val="left"/>
        <w:rPr>
          <w:rFonts w:hint="eastAsia" w:hAnsi="宋体" w:cs="宋体"/>
        </w:rPr>
      </w:pPr>
      <w:r>
        <w:rPr>
          <w:rFonts w:hint="eastAsia" w:hAnsi="宋体" w:cs="宋体"/>
        </w:rPr>
        <w:t>2.因中标人原因导致定标后无法签订合同的，中标人应按本文件服务费规定支付招标服务费。</w:t>
      </w:r>
    </w:p>
    <w:p w14:paraId="2216C045">
      <w:pPr>
        <w:pStyle w:val="19"/>
        <w:spacing w:line="400" w:lineRule="exact"/>
        <w:ind w:firstLine="422" w:firstLineChars="200"/>
        <w:rPr>
          <w:rFonts w:hint="eastAsia" w:hAnsi="宋体" w:cs="宋体"/>
          <w:b/>
          <w:bCs/>
        </w:rPr>
      </w:pPr>
      <w:r>
        <w:rPr>
          <w:rFonts w:hint="eastAsia" w:hAnsi="宋体" w:cs="宋体"/>
          <w:b/>
          <w:bCs/>
        </w:rPr>
        <w:t>三、评审办法</w:t>
      </w:r>
    </w:p>
    <w:p w14:paraId="5DDAE1B2">
      <w:pPr>
        <w:pStyle w:val="19"/>
        <w:spacing w:line="400" w:lineRule="exact"/>
        <w:ind w:firstLine="422" w:firstLineChars="200"/>
        <w:rPr>
          <w:rFonts w:hint="eastAsia" w:hAnsi="宋体" w:cs="宋体"/>
          <w:b/>
          <w:bCs/>
        </w:rPr>
      </w:pPr>
      <w:r>
        <w:rPr>
          <w:rFonts w:hint="eastAsia" w:hAnsi="宋体" w:cs="宋体"/>
          <w:b/>
          <w:bCs/>
        </w:rPr>
        <w:t>1.技术标符合性评审</w:t>
      </w:r>
    </w:p>
    <w:p w14:paraId="31114035">
      <w:pPr>
        <w:pStyle w:val="19"/>
        <w:spacing w:line="400" w:lineRule="exact"/>
        <w:ind w:firstLine="420" w:firstLineChars="200"/>
        <w:rPr>
          <w:rFonts w:hint="eastAsia" w:hAnsi="宋体" w:cs="宋体"/>
        </w:rPr>
      </w:pPr>
      <w:r>
        <w:rPr>
          <w:rFonts w:hint="eastAsia" w:hAnsi="宋体" w:cs="宋体"/>
        </w:rPr>
        <w:t xml:space="preserve">1.1 </w:t>
      </w:r>
      <w:r>
        <w:rPr>
          <w:rFonts w:hint="eastAsia" w:hAnsi="宋体" w:cs="宋体"/>
          <w:bCs/>
        </w:rPr>
        <w:t>根据招标文件第五章投标文件的有效性的规定，是否属于无效标或废标；</w:t>
      </w:r>
    </w:p>
    <w:p w14:paraId="7DD90339">
      <w:pPr>
        <w:pStyle w:val="19"/>
        <w:spacing w:line="400" w:lineRule="exact"/>
        <w:ind w:firstLine="420" w:firstLineChars="200"/>
        <w:rPr>
          <w:rFonts w:hint="eastAsia" w:hAnsi="宋体" w:cs="宋体"/>
        </w:rPr>
      </w:pPr>
      <w:r>
        <w:rPr>
          <w:rFonts w:hint="eastAsia" w:hAnsi="宋体" w:cs="宋体"/>
        </w:rPr>
        <w:t>1.2 检查投标文件的完整性，如营业执照，法定代表人授权书等资信情况、履约能力；</w:t>
      </w:r>
    </w:p>
    <w:p w14:paraId="095D96F9">
      <w:pPr>
        <w:pStyle w:val="19"/>
        <w:spacing w:line="400" w:lineRule="exact"/>
        <w:ind w:firstLine="420" w:firstLineChars="200"/>
        <w:rPr>
          <w:rFonts w:hint="eastAsia" w:hAnsi="宋体" w:cs="宋体"/>
        </w:rPr>
      </w:pPr>
      <w:r>
        <w:rPr>
          <w:rFonts w:hint="eastAsia" w:hAnsi="宋体" w:cs="宋体"/>
        </w:rPr>
        <w:t>1.3 投标人提供的技术参数是否满足本招标项目要求；</w:t>
      </w:r>
    </w:p>
    <w:p w14:paraId="66758C45">
      <w:pPr>
        <w:pStyle w:val="19"/>
        <w:spacing w:line="400" w:lineRule="exact"/>
        <w:ind w:firstLine="420" w:firstLineChars="200"/>
        <w:rPr>
          <w:rFonts w:hint="eastAsia" w:hAnsi="宋体" w:cs="宋体"/>
        </w:rPr>
      </w:pPr>
      <w:r>
        <w:rPr>
          <w:rFonts w:hint="eastAsia" w:hAnsi="宋体" w:cs="宋体"/>
        </w:rPr>
        <w:t>1.4 售后服务及有关承诺是否承诺。</w:t>
      </w:r>
    </w:p>
    <w:p w14:paraId="46932DA6">
      <w:pPr>
        <w:pStyle w:val="19"/>
        <w:spacing w:line="400" w:lineRule="exact"/>
        <w:ind w:firstLine="420" w:firstLineChars="200"/>
        <w:rPr>
          <w:rFonts w:hint="eastAsia" w:hAnsi="宋体" w:cs="宋体"/>
        </w:rPr>
      </w:pPr>
      <w:r>
        <w:rPr>
          <w:rFonts w:hint="eastAsia" w:hAnsi="宋体" w:cs="宋体"/>
        </w:rPr>
        <w:t>符合以上要求为技术标入围单位，技术标入围单位进入商务标评审。</w:t>
      </w:r>
    </w:p>
    <w:p w14:paraId="174B1971">
      <w:pPr>
        <w:spacing w:line="400" w:lineRule="exact"/>
        <w:ind w:firstLine="422" w:firstLineChars="200"/>
        <w:rPr>
          <w:rFonts w:hint="eastAsia" w:ascii="宋体" w:hAnsi="宋体" w:cs="宋体"/>
          <w:b/>
          <w:bCs/>
          <w:szCs w:val="21"/>
        </w:rPr>
      </w:pPr>
      <w:r>
        <w:rPr>
          <w:rFonts w:hint="eastAsia" w:ascii="宋体" w:hAnsi="宋体" w:cs="宋体"/>
          <w:b/>
          <w:bCs/>
          <w:szCs w:val="21"/>
        </w:rPr>
        <w:t>2.商务标评审</w:t>
      </w:r>
    </w:p>
    <w:p w14:paraId="371BB940">
      <w:pPr>
        <w:adjustRightInd w:val="0"/>
        <w:snapToGrid w:val="0"/>
        <w:spacing w:line="400" w:lineRule="exact"/>
        <w:ind w:firstLine="422" w:firstLineChars="200"/>
        <w:jc w:val="left"/>
        <w:rPr>
          <w:rFonts w:hint="eastAsia" w:ascii="宋体" w:hAnsi="宋体" w:cs="宋体"/>
          <w:szCs w:val="21"/>
        </w:rPr>
      </w:pPr>
      <w:r>
        <w:rPr>
          <w:rFonts w:hint="eastAsia" w:ascii="宋体" w:hAnsi="宋体" w:cs="宋体"/>
          <w:b/>
          <w:bCs/>
          <w:szCs w:val="21"/>
        </w:rPr>
        <w:t>2.1甄别异常报价：</w:t>
      </w:r>
      <w:r>
        <w:rPr>
          <w:rFonts w:hint="eastAsia" w:ascii="宋体" w:hAnsi="宋体" w:cs="宋体"/>
          <w:szCs w:val="21"/>
        </w:rPr>
        <w:t>有下列情况之一的投标报价不进入评标价计算环节：</w:t>
      </w:r>
    </w:p>
    <w:p w14:paraId="3D9EA4BE">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\o\ac(○,1)</w:instrText>
      </w:r>
      <w:r>
        <w:rPr>
          <w:rFonts w:hint="eastAsia" w:ascii="宋体" w:hAnsi="宋体" w:cs="宋体"/>
          <w:szCs w:val="21"/>
        </w:rPr>
        <w:fldChar w:fldCharType="end"/>
      </w:r>
      <w:r>
        <w:rPr>
          <w:rFonts w:hint="eastAsia" w:ascii="宋体" w:hAnsi="宋体" w:cs="宋体"/>
          <w:szCs w:val="21"/>
        </w:rPr>
        <w:t>技术标未入围单位的投标报价；</w:t>
      </w:r>
    </w:p>
    <w:p w14:paraId="0A22D45C">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\o\ac(○,2)</w:instrText>
      </w:r>
      <w:r>
        <w:rPr>
          <w:rFonts w:hint="eastAsia" w:ascii="宋体" w:hAnsi="宋体" w:cs="宋体"/>
          <w:szCs w:val="21"/>
        </w:rPr>
        <w:fldChar w:fldCharType="end"/>
      </w:r>
      <w:r>
        <w:rPr>
          <w:rFonts w:hint="eastAsia" w:ascii="宋体" w:hAnsi="宋体" w:cs="宋体"/>
          <w:szCs w:val="21"/>
        </w:rPr>
        <w:t>投标报价高于采购预算；</w:t>
      </w:r>
    </w:p>
    <w:p w14:paraId="75397DE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\o\ac(○,3)</w:instrText>
      </w:r>
      <w:r>
        <w:rPr>
          <w:rFonts w:hint="eastAsia" w:ascii="宋体" w:hAnsi="宋体" w:cs="宋体"/>
          <w:szCs w:val="21"/>
        </w:rPr>
        <w:fldChar w:fldCharType="end"/>
      </w:r>
      <w:r>
        <w:rPr>
          <w:rFonts w:hint="eastAsia" w:ascii="宋体" w:hAnsi="宋体" w:cs="宋体"/>
          <w:szCs w:val="21"/>
        </w:rPr>
        <w:t>投标报价高于最高限价；</w:t>
      </w:r>
    </w:p>
    <w:p w14:paraId="399FCE66">
      <w:pPr>
        <w:spacing w:line="4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eq \o\ac(○,4)</w:instrText>
      </w:r>
      <w:r>
        <w:rPr>
          <w:rFonts w:hint="eastAsia" w:ascii="宋体" w:hAnsi="宋体" w:cs="宋体"/>
          <w:szCs w:val="21"/>
        </w:rPr>
        <w:fldChar w:fldCharType="end"/>
      </w:r>
      <w:r>
        <w:rPr>
          <w:rFonts w:hint="eastAsia" w:ascii="宋体" w:hAnsi="宋体" w:cs="宋体"/>
          <w:szCs w:val="21"/>
        </w:rPr>
        <w:t>如评标委员会一致认为最低投标报价或某些分项明显不合理，有降低质量、不能诚信履约的可能时，评标委员会有权通知投标人限期进行解释。如投标人未在规定期限内</w:t>
      </w:r>
      <w:r>
        <w:rPr>
          <w:rFonts w:hint="eastAsia" w:ascii="宋体" w:hAnsi="宋体" w:cs="宋体"/>
          <w:szCs w:val="21"/>
          <w:lang w:eastAsia="zh-CN"/>
        </w:rPr>
        <w:t>作出</w:t>
      </w:r>
      <w:r>
        <w:rPr>
          <w:rFonts w:hint="eastAsia" w:ascii="宋体" w:hAnsi="宋体" w:cs="宋体"/>
          <w:szCs w:val="21"/>
        </w:rPr>
        <w:t>解释，或所作解释不合理，经评标委员会取得一致意见后，可列为异常报价，确定该投标为无效标。</w:t>
      </w:r>
    </w:p>
    <w:p w14:paraId="42BE03FC">
      <w:pPr>
        <w:spacing w:line="400" w:lineRule="exact"/>
        <w:ind w:firstLine="422" w:firstLineChars="200"/>
        <w:rPr>
          <w:rFonts w:hint="eastAsia" w:ascii="宋体" w:hAnsi="宋体" w:cs="宋体"/>
          <w:b/>
          <w:bCs/>
          <w:szCs w:val="21"/>
        </w:rPr>
      </w:pPr>
      <w:r>
        <w:rPr>
          <w:rFonts w:hint="eastAsia" w:hAnsi="宋体" w:cs="宋体"/>
          <w:b/>
          <w:bCs/>
        </w:rPr>
        <w:t>2.2评</w:t>
      </w:r>
      <w:r>
        <w:rPr>
          <w:rFonts w:hint="eastAsia" w:hAnsi="宋体" w:cs="宋体"/>
          <w:b/>
        </w:rPr>
        <w:t>标价计算</w:t>
      </w:r>
      <w:r>
        <w:rPr>
          <w:rFonts w:hint="eastAsia" w:hAnsi="宋体" w:cs="宋体"/>
          <w:b/>
          <w:bCs/>
        </w:rPr>
        <w:t>：</w:t>
      </w:r>
      <w:r>
        <w:rPr>
          <w:rFonts w:hint="eastAsia" w:ascii="宋体" w:hAnsi="宋体" w:cs="Courier New"/>
          <w:b/>
          <w:szCs w:val="21"/>
        </w:rPr>
        <w:t>评标价即投标报价</w:t>
      </w:r>
      <w:r>
        <w:rPr>
          <w:rFonts w:hint="eastAsia" w:ascii="宋体" w:hAnsi="宋体" w:cs="宋体"/>
          <w:szCs w:val="21"/>
        </w:rPr>
        <w:t>。</w:t>
      </w:r>
    </w:p>
    <w:p w14:paraId="0EABA7BA">
      <w:pPr>
        <w:spacing w:line="400" w:lineRule="exact"/>
        <w:ind w:firstLine="422" w:firstLineChars="200"/>
      </w:pPr>
      <w:r>
        <w:rPr>
          <w:rFonts w:hint="eastAsia" w:ascii="宋体" w:hAnsi="宋体" w:cs="宋体"/>
          <w:b/>
          <w:bCs/>
        </w:rPr>
        <w:t>3.推荐中标候选人，完成评标报告。</w:t>
      </w:r>
    </w:p>
    <w:p w14:paraId="6A4E417E">
      <w:pPr>
        <w:pStyle w:val="2"/>
        <w:spacing w:line="400" w:lineRule="exact"/>
        <w:rPr>
          <w:rFonts w:hint="eastAsia" w:ascii="宋体" w:hAnsi="宋体" w:cs="宋体"/>
          <w:b/>
          <w:bCs/>
        </w:rPr>
      </w:pPr>
    </w:p>
    <w:p w14:paraId="57335E15">
      <w:pPr>
        <w:pStyle w:val="2"/>
        <w:spacing w:line="400" w:lineRule="exact"/>
      </w:pPr>
      <w:r>
        <w:rPr>
          <w:rFonts w:hint="eastAsia" w:ascii="宋体" w:hAnsi="宋体" w:cs="宋体"/>
          <w:b/>
          <w:bCs/>
        </w:rPr>
        <w:t>四、评标小组不向落标方解释落标原因</w:t>
      </w:r>
      <w:r>
        <w:rPr>
          <w:rFonts w:hint="eastAsia" w:hAnsi="宋体"/>
          <w:b/>
          <w:bCs/>
        </w:rPr>
        <w:t>。</w:t>
      </w:r>
    </w:p>
    <w:p w14:paraId="6C84B691">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6BC7ECE5">
      <w:pPr>
        <w:rPr>
          <w:rFonts w:hint="eastAsia" w:hAnsi="宋体"/>
          <w:b/>
          <w:bCs/>
          <w:color w:val="auto"/>
          <w:highlight w:val="none"/>
        </w:rPr>
      </w:pPr>
      <w:r>
        <w:rPr>
          <w:rFonts w:hint="eastAsia" w:hAnsi="宋体"/>
          <w:b/>
          <w:bCs/>
          <w:color w:val="auto"/>
          <w:highlight w:val="none"/>
        </w:rPr>
        <w:br w:type="page"/>
      </w:r>
    </w:p>
    <w:p w14:paraId="3CC4A9AC">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03C5D224">
      <w:pPr>
        <w:widowControl/>
        <w:numPr>
          <w:ilvl w:val="0"/>
          <w:numId w:val="6"/>
        </w:numPr>
        <w:spacing w:line="360" w:lineRule="auto"/>
        <w:ind w:firstLine="480"/>
        <w:jc w:val="center"/>
        <w:rPr>
          <w:rFonts w:hint="eastAsia"/>
          <w:color w:val="auto"/>
          <w:sz w:val="36"/>
          <w:highlight w:val="none"/>
        </w:rPr>
      </w:pPr>
      <w:bookmarkStart w:id="73" w:name="_Toc416"/>
      <w:r>
        <w:rPr>
          <w:rFonts w:hint="eastAsia"/>
          <w:color w:val="auto"/>
          <w:sz w:val="36"/>
          <w:highlight w:val="none"/>
        </w:rPr>
        <w:t>合同</w:t>
      </w:r>
      <w:bookmarkEnd w:id="73"/>
    </w:p>
    <w:p w14:paraId="02B0F01F">
      <w:pPr>
        <w:widowControl/>
        <w:numPr>
          <w:ilvl w:val="0"/>
          <w:numId w:val="6"/>
        </w:numPr>
        <w:spacing w:line="360" w:lineRule="auto"/>
        <w:ind w:firstLine="480"/>
        <w:jc w:val="left"/>
        <w:rPr>
          <w:rFonts w:ascii="Verdana" w:hAnsi="Verdana" w:cs="Arial"/>
          <w:kern w:val="0"/>
          <w:szCs w:val="21"/>
        </w:rPr>
      </w:pPr>
      <w:r>
        <w:rPr>
          <w:rFonts w:hint="eastAsia" w:ascii="Verdana" w:hAnsi="Verdana" w:cs="Arial"/>
          <w:kern w:val="0"/>
          <w:szCs w:val="21"/>
        </w:rPr>
        <w:t>供方：</w:t>
      </w:r>
      <w:r>
        <w:rPr>
          <w:rFonts w:ascii="Verdana" w:hAnsi="Verdana" w:cs="Arial"/>
          <w:kern w:val="0"/>
          <w:szCs w:val="21"/>
        </w:rPr>
        <w:t>________________________________</w:t>
      </w:r>
    </w:p>
    <w:p w14:paraId="289FF8C5">
      <w:pPr>
        <w:widowControl/>
        <w:spacing w:line="360" w:lineRule="auto"/>
        <w:ind w:firstLine="480"/>
        <w:jc w:val="left"/>
        <w:rPr>
          <w:rFonts w:ascii="Verdana" w:hAnsi="Verdana"/>
          <w:kern w:val="0"/>
          <w:szCs w:val="21"/>
        </w:rPr>
      </w:pPr>
      <w:r>
        <w:rPr>
          <w:rFonts w:hint="eastAsia" w:ascii="Verdana" w:hAnsi="Verdana" w:cs="Arial"/>
          <w:kern w:val="0"/>
          <w:szCs w:val="21"/>
        </w:rPr>
        <w:t>需方：</w:t>
      </w:r>
      <w:r>
        <w:rPr>
          <w:rFonts w:ascii="Verdana" w:hAnsi="Verdana" w:cs="Arial"/>
          <w:kern w:val="0"/>
          <w:szCs w:val="21"/>
        </w:rPr>
        <w:t>________________________________</w:t>
      </w:r>
    </w:p>
    <w:p w14:paraId="123DC6C7">
      <w:pPr>
        <w:widowControl/>
        <w:spacing w:line="360" w:lineRule="auto"/>
        <w:ind w:firstLine="420" w:firstLineChars="200"/>
        <w:jc w:val="left"/>
        <w:rPr>
          <w:rFonts w:ascii="Verdana" w:hAnsi="Verdana"/>
          <w:kern w:val="0"/>
          <w:szCs w:val="21"/>
        </w:rPr>
      </w:pPr>
      <w:r>
        <w:rPr>
          <w:rFonts w:hint="eastAsia" w:ascii="Verdana" w:hAnsi="Verdana" w:cs="Arial"/>
          <w:kern w:val="0"/>
          <w:szCs w:val="21"/>
        </w:rPr>
        <w:t>供、需双方根据</w:t>
      </w:r>
      <w:r>
        <w:rPr>
          <w:rFonts w:ascii="Verdana" w:hAnsi="Verdana" w:cs="Arial"/>
          <w:kern w:val="0"/>
          <w:szCs w:val="21"/>
          <w:u w:val="single"/>
        </w:rPr>
        <w:t xml:space="preserve">      </w:t>
      </w:r>
      <w:r>
        <w:rPr>
          <w:rFonts w:hint="eastAsia" w:ascii="Verdana" w:hAnsi="Verdana" w:cs="Arial"/>
          <w:kern w:val="0"/>
          <w:szCs w:val="21"/>
        </w:rPr>
        <w:t>年</w:t>
      </w:r>
      <w:r>
        <w:rPr>
          <w:rFonts w:ascii="Verdana" w:hAnsi="Verdana" w:cs="Arial"/>
          <w:kern w:val="0"/>
          <w:szCs w:val="21"/>
        </w:rPr>
        <w:t>____</w:t>
      </w:r>
      <w:r>
        <w:rPr>
          <w:rFonts w:hint="eastAsia" w:ascii="Verdana" w:hAnsi="Verdana" w:cs="Arial"/>
          <w:kern w:val="0"/>
          <w:szCs w:val="21"/>
        </w:rPr>
        <w:t>月</w:t>
      </w:r>
      <w:r>
        <w:rPr>
          <w:rFonts w:ascii="Verdana" w:hAnsi="Verdana" w:cs="Arial"/>
          <w:kern w:val="0"/>
          <w:szCs w:val="21"/>
        </w:rPr>
        <w:t>____</w:t>
      </w:r>
      <w:r>
        <w:rPr>
          <w:rFonts w:hint="eastAsia" w:ascii="Verdana" w:hAnsi="Verdana" w:cs="Arial"/>
          <w:kern w:val="0"/>
          <w:szCs w:val="21"/>
        </w:rPr>
        <w:t>日浙江省义乌市政府采购</w:t>
      </w:r>
      <w:r>
        <w:rPr>
          <w:rFonts w:ascii="Verdana" w:hAnsi="Verdana" w:cs="Arial"/>
          <w:kern w:val="0"/>
          <w:szCs w:val="21"/>
          <w:u w:val="single"/>
        </w:rPr>
        <w:t xml:space="preserve">                  </w:t>
      </w:r>
      <w:r>
        <w:rPr>
          <w:rFonts w:hint="eastAsia" w:ascii="Verdana" w:hAnsi="Verdana" w:cs="Arial"/>
          <w:kern w:val="0"/>
          <w:szCs w:val="21"/>
        </w:rPr>
        <w:t>项目成交结果和采购文件的要求，</w:t>
      </w:r>
      <w:r>
        <w:rPr>
          <w:rFonts w:hint="eastAsia" w:ascii="Verdana" w:hAnsi="宋体" w:cs="Arial"/>
          <w:kern w:val="0"/>
          <w:szCs w:val="21"/>
        </w:rPr>
        <w:t>依据《中华人民共和国民法典》</w:t>
      </w:r>
      <w:r>
        <w:rPr>
          <w:rFonts w:hint="eastAsia" w:ascii="Verdana" w:hAnsi="Verdana" w:cs="Arial"/>
          <w:kern w:val="0"/>
          <w:szCs w:val="21"/>
        </w:rPr>
        <w:t>并经双方协调一致，订立本采购合同。</w:t>
      </w:r>
    </w:p>
    <w:p w14:paraId="077E1368">
      <w:pPr>
        <w:widowControl/>
        <w:spacing w:line="360" w:lineRule="auto"/>
        <w:ind w:firstLine="480"/>
        <w:jc w:val="left"/>
        <w:rPr>
          <w:rFonts w:ascii="Verdana" w:hAnsi="Verdana"/>
          <w:kern w:val="0"/>
          <w:szCs w:val="21"/>
          <w:lang w:eastAsia="zh-TW"/>
        </w:rPr>
      </w:pPr>
      <w:r>
        <w:rPr>
          <w:rFonts w:hint="eastAsia" w:ascii="Verdana" w:hAnsi="Verdana" w:cs="Arial"/>
          <w:b/>
          <w:kern w:val="0"/>
          <w:szCs w:val="21"/>
        </w:rPr>
        <w:t>一、合同文件组成：</w:t>
      </w:r>
      <w:r>
        <w:rPr>
          <w:rFonts w:hint="eastAsia" w:ascii="Verdana" w:hAnsi="Verdana" w:cs="Arial"/>
          <w:kern w:val="0"/>
          <w:szCs w:val="21"/>
        </w:rPr>
        <w:t>采购文件及其补充文件、询标承诺、询疑答复、报价文件、双方来函。合同文件组成的所有内容是构成合同不可分割的部分，与合同具有同等法律效力。</w:t>
      </w:r>
    </w:p>
    <w:p w14:paraId="3621E619">
      <w:pPr>
        <w:widowControl/>
        <w:spacing w:after="120" w:line="360" w:lineRule="auto"/>
        <w:ind w:firstLine="480"/>
        <w:jc w:val="left"/>
        <w:rPr>
          <w:rFonts w:ascii="Verdana" w:hAnsi="Verdana" w:cs="Arial"/>
          <w:b/>
          <w:kern w:val="0"/>
          <w:szCs w:val="21"/>
          <w:lang w:eastAsia="zh-TW"/>
        </w:rPr>
      </w:pPr>
      <w:r>
        <w:rPr>
          <w:rFonts w:hint="eastAsia" w:cs="宋体"/>
          <w:b/>
          <w:kern w:val="0"/>
          <w:szCs w:val="21"/>
        </w:rPr>
        <w:t>二、合同金</w:t>
      </w:r>
      <w:r>
        <w:rPr>
          <w:rFonts w:hint="cs" w:cs="宋体"/>
          <w:bCs/>
          <w:kern w:val="0"/>
          <w:szCs w:val="21"/>
          <w:cs/>
        </w:rPr>
        <w:t>额</w:t>
      </w:r>
    </w:p>
    <w:p w14:paraId="34C09EEE">
      <w:pPr>
        <w:widowControl/>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合同总价中须包括</w:t>
      </w:r>
      <w:r>
        <w:rPr>
          <w:rFonts w:hint="eastAsia" w:ascii="宋体" w:hAnsi="宋体" w:cs="宋体"/>
          <w:szCs w:val="21"/>
          <w:u w:val="single"/>
        </w:rPr>
        <w:t>货物价款、</w:t>
      </w:r>
      <w:r>
        <w:rPr>
          <w:rFonts w:hint="eastAsia" w:ascii="宋体" w:hAnsi="宋体" w:cs="宋体"/>
          <w:bCs/>
          <w:szCs w:val="21"/>
          <w:u w:val="single"/>
        </w:rPr>
        <w:t>运输费、</w:t>
      </w:r>
      <w:r>
        <w:rPr>
          <w:rFonts w:hint="eastAsia" w:ascii="宋体" w:hAnsi="宋体" w:cs="宋体"/>
          <w:szCs w:val="21"/>
          <w:u w:val="single"/>
        </w:rPr>
        <w:t>装卸费、保险费、税费</w:t>
      </w:r>
      <w:r>
        <w:rPr>
          <w:rFonts w:hint="eastAsia" w:ascii="宋体" w:hAnsi="宋体" w:cs="宋体"/>
          <w:kern w:val="0"/>
          <w:szCs w:val="21"/>
        </w:rPr>
        <w:t>及合同中明示或暗示的所有一般风险、责任和义务等一切应由采购人支付的费用。</w:t>
      </w:r>
    </w:p>
    <w:p w14:paraId="5B1A526D">
      <w:pPr>
        <w:widowControl/>
        <w:adjustRightInd w:val="0"/>
        <w:snapToGrid w:val="0"/>
        <w:spacing w:line="360" w:lineRule="auto"/>
        <w:ind w:firstLine="480"/>
        <w:jc w:val="right"/>
        <w:rPr>
          <w:rFonts w:ascii="宋体" w:hAnsi="宋体" w:cs="宋体"/>
          <w:kern w:val="0"/>
          <w:szCs w:val="21"/>
        </w:rPr>
      </w:pPr>
      <w:r>
        <w:rPr>
          <w:rFonts w:hint="eastAsia" w:ascii="宋体" w:hAnsi="宋体" w:cs="宋体"/>
          <w:kern w:val="0"/>
          <w:szCs w:val="21"/>
        </w:rPr>
        <w:t>单位：人民币元</w:t>
      </w:r>
    </w:p>
    <w:tbl>
      <w:tblPr>
        <w:tblStyle w:val="38"/>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428"/>
        <w:gridCol w:w="1714"/>
        <w:gridCol w:w="2203"/>
        <w:gridCol w:w="2274"/>
        <w:gridCol w:w="865"/>
      </w:tblGrid>
      <w:tr w14:paraId="564E8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60" w:type="dxa"/>
            <w:tcBorders>
              <w:top w:val="single" w:color="auto" w:sz="4" w:space="0"/>
              <w:bottom w:val="single" w:color="auto" w:sz="4" w:space="0"/>
              <w:right w:val="single" w:color="auto" w:sz="4" w:space="0"/>
            </w:tcBorders>
            <w:vAlign w:val="center"/>
          </w:tcPr>
          <w:p w14:paraId="03E39D9A">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428" w:type="dxa"/>
            <w:tcBorders>
              <w:top w:val="single" w:color="auto" w:sz="4" w:space="0"/>
              <w:left w:val="single" w:color="auto" w:sz="4" w:space="0"/>
              <w:bottom w:val="single" w:color="auto" w:sz="4" w:space="0"/>
              <w:right w:val="single" w:color="auto" w:sz="4" w:space="0"/>
            </w:tcBorders>
            <w:vAlign w:val="center"/>
          </w:tcPr>
          <w:p w14:paraId="686F746F">
            <w:pPr>
              <w:widowControl/>
              <w:adjustRightInd w:val="0"/>
              <w:snapToGrid w:val="0"/>
              <w:spacing w:line="360" w:lineRule="auto"/>
              <w:ind w:hanging="108"/>
              <w:jc w:val="center"/>
              <w:rPr>
                <w:rFonts w:ascii="宋体" w:hAnsi="宋体" w:cs="宋体"/>
                <w:b/>
                <w:bCs/>
                <w:kern w:val="0"/>
                <w:szCs w:val="21"/>
              </w:rPr>
            </w:pPr>
            <w:r>
              <w:rPr>
                <w:rFonts w:hint="eastAsia" w:ascii="宋体" w:hAnsi="宋体" w:cs="宋体"/>
                <w:b/>
                <w:bCs/>
                <w:kern w:val="0"/>
                <w:szCs w:val="21"/>
              </w:rPr>
              <w:t>货物名称</w:t>
            </w:r>
          </w:p>
        </w:tc>
        <w:tc>
          <w:tcPr>
            <w:tcW w:w="1714" w:type="dxa"/>
            <w:tcBorders>
              <w:top w:val="single" w:color="auto" w:sz="4" w:space="0"/>
              <w:left w:val="single" w:color="auto" w:sz="4" w:space="0"/>
              <w:bottom w:val="single" w:color="auto" w:sz="4" w:space="0"/>
              <w:right w:val="single" w:color="auto" w:sz="4" w:space="0"/>
            </w:tcBorders>
            <w:vAlign w:val="center"/>
          </w:tcPr>
          <w:p w14:paraId="6805BEA5">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盐酸含量</w:t>
            </w:r>
          </w:p>
        </w:tc>
        <w:tc>
          <w:tcPr>
            <w:tcW w:w="2203" w:type="dxa"/>
            <w:tcBorders>
              <w:top w:val="single" w:color="auto" w:sz="4" w:space="0"/>
              <w:left w:val="single" w:color="auto" w:sz="4" w:space="0"/>
              <w:bottom w:val="single" w:color="auto" w:sz="4" w:space="0"/>
              <w:right w:val="single" w:color="auto" w:sz="4" w:space="0"/>
            </w:tcBorders>
            <w:vAlign w:val="center"/>
          </w:tcPr>
          <w:p w14:paraId="149637BF">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单价</w:t>
            </w:r>
          </w:p>
        </w:tc>
        <w:tc>
          <w:tcPr>
            <w:tcW w:w="2274" w:type="dxa"/>
            <w:tcBorders>
              <w:top w:val="single" w:color="auto" w:sz="4" w:space="0"/>
              <w:left w:val="single" w:color="auto" w:sz="4" w:space="0"/>
              <w:bottom w:val="single" w:color="auto" w:sz="4" w:space="0"/>
            </w:tcBorders>
            <w:vAlign w:val="center"/>
          </w:tcPr>
          <w:p w14:paraId="2C6715E1">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标准</w:t>
            </w:r>
          </w:p>
        </w:tc>
        <w:tc>
          <w:tcPr>
            <w:tcW w:w="865" w:type="dxa"/>
            <w:tcBorders>
              <w:top w:val="single" w:color="auto" w:sz="4" w:space="0"/>
              <w:left w:val="single" w:color="auto" w:sz="4" w:space="0"/>
              <w:bottom w:val="single" w:color="auto" w:sz="4" w:space="0"/>
            </w:tcBorders>
            <w:vAlign w:val="center"/>
          </w:tcPr>
          <w:p w14:paraId="30D6BD3D">
            <w:pPr>
              <w:widowControl/>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备注</w:t>
            </w:r>
          </w:p>
        </w:tc>
      </w:tr>
      <w:tr w14:paraId="0F2EE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60" w:type="dxa"/>
            <w:tcBorders>
              <w:top w:val="single" w:color="auto" w:sz="4" w:space="0"/>
              <w:bottom w:val="single" w:color="auto" w:sz="4" w:space="0"/>
              <w:right w:val="single" w:color="auto" w:sz="4" w:space="0"/>
            </w:tcBorders>
            <w:vAlign w:val="center"/>
          </w:tcPr>
          <w:p w14:paraId="5E80060F">
            <w:pPr>
              <w:widowControl/>
              <w:adjustRightInd w:val="0"/>
              <w:snapToGrid w:val="0"/>
              <w:spacing w:line="360" w:lineRule="auto"/>
              <w:ind w:firstLine="480"/>
              <w:jc w:val="center"/>
              <w:rPr>
                <w:rFonts w:ascii="宋体" w:hAnsi="宋体" w:cs="宋体"/>
                <w:kern w:val="0"/>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1FF887FA">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工业用合成盐酸</w:t>
            </w:r>
          </w:p>
        </w:tc>
        <w:tc>
          <w:tcPr>
            <w:tcW w:w="1714" w:type="dxa"/>
            <w:tcBorders>
              <w:top w:val="single" w:color="auto" w:sz="4" w:space="0"/>
              <w:left w:val="single" w:color="auto" w:sz="4" w:space="0"/>
              <w:bottom w:val="single" w:color="auto" w:sz="4" w:space="0"/>
              <w:right w:val="single" w:color="auto" w:sz="4" w:space="0"/>
            </w:tcBorders>
            <w:vAlign w:val="center"/>
          </w:tcPr>
          <w:p w14:paraId="0283641C">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≧31%</w:t>
            </w:r>
          </w:p>
        </w:tc>
        <w:tc>
          <w:tcPr>
            <w:tcW w:w="2203" w:type="dxa"/>
            <w:tcBorders>
              <w:top w:val="single" w:color="auto" w:sz="4" w:space="0"/>
              <w:left w:val="single" w:color="auto" w:sz="4" w:space="0"/>
              <w:bottom w:val="single" w:color="auto" w:sz="4" w:space="0"/>
              <w:right w:val="single" w:color="auto" w:sz="4" w:space="0"/>
            </w:tcBorders>
            <w:vAlign w:val="center"/>
          </w:tcPr>
          <w:p w14:paraId="6FEE969D">
            <w:pPr>
              <w:widowControl/>
              <w:adjustRightInd w:val="0"/>
              <w:snapToGrid w:val="0"/>
              <w:spacing w:before="150" w:after="150" w:line="360" w:lineRule="auto"/>
              <w:ind w:right="150"/>
              <w:jc w:val="center"/>
              <w:rPr>
                <w:rFonts w:ascii="宋体" w:hAnsi="宋体" w:cs="宋体"/>
                <w:kern w:val="0"/>
                <w:szCs w:val="21"/>
              </w:rPr>
            </w:pPr>
          </w:p>
        </w:tc>
        <w:tc>
          <w:tcPr>
            <w:tcW w:w="2274" w:type="dxa"/>
            <w:tcBorders>
              <w:top w:val="single" w:color="auto" w:sz="4" w:space="0"/>
              <w:left w:val="single" w:color="auto" w:sz="4" w:space="0"/>
              <w:bottom w:val="single" w:color="auto" w:sz="4" w:space="0"/>
            </w:tcBorders>
            <w:vAlign w:val="center"/>
          </w:tcPr>
          <w:p w14:paraId="651CC819">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工业用合成盐酸GB/T 320-2006中一等品</w:t>
            </w:r>
          </w:p>
        </w:tc>
        <w:tc>
          <w:tcPr>
            <w:tcW w:w="865" w:type="dxa"/>
            <w:tcBorders>
              <w:top w:val="single" w:color="auto" w:sz="4" w:space="0"/>
              <w:left w:val="single" w:color="auto" w:sz="4" w:space="0"/>
              <w:bottom w:val="single" w:color="auto" w:sz="4" w:space="0"/>
            </w:tcBorders>
            <w:vAlign w:val="center"/>
          </w:tcPr>
          <w:p w14:paraId="72E764BB">
            <w:pPr>
              <w:widowControl/>
              <w:adjustRightInd w:val="0"/>
              <w:snapToGrid w:val="0"/>
              <w:spacing w:line="360" w:lineRule="auto"/>
              <w:jc w:val="center"/>
              <w:rPr>
                <w:rFonts w:ascii="宋体" w:hAnsi="宋体" w:cs="宋体"/>
                <w:kern w:val="0"/>
                <w:szCs w:val="21"/>
              </w:rPr>
            </w:pPr>
          </w:p>
        </w:tc>
      </w:tr>
      <w:tr w14:paraId="030B0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2288" w:type="dxa"/>
            <w:gridSpan w:val="2"/>
            <w:tcBorders>
              <w:top w:val="single" w:color="auto" w:sz="4" w:space="0"/>
              <w:bottom w:val="single" w:color="auto" w:sz="4" w:space="0"/>
              <w:right w:val="single" w:color="auto" w:sz="4" w:space="0"/>
            </w:tcBorders>
            <w:vAlign w:val="center"/>
          </w:tcPr>
          <w:p w14:paraId="18730C8F">
            <w:pPr>
              <w:widowControl/>
              <w:adjustRightInd w:val="0"/>
              <w:snapToGrid w:val="0"/>
              <w:spacing w:line="360" w:lineRule="auto"/>
              <w:ind w:firstLine="480"/>
              <w:jc w:val="center"/>
              <w:rPr>
                <w:rFonts w:ascii="宋体" w:hAnsi="宋体" w:cs="宋体"/>
                <w:b/>
                <w:bCs/>
                <w:kern w:val="0"/>
                <w:szCs w:val="21"/>
              </w:rPr>
            </w:pPr>
            <w:r>
              <w:rPr>
                <w:rFonts w:hint="eastAsia" w:ascii="宋体" w:hAnsi="宋体" w:cs="宋体"/>
                <w:b/>
                <w:bCs/>
                <w:kern w:val="0"/>
                <w:szCs w:val="21"/>
              </w:rPr>
              <w:t>单价</w:t>
            </w:r>
          </w:p>
        </w:tc>
        <w:tc>
          <w:tcPr>
            <w:tcW w:w="7056" w:type="dxa"/>
            <w:gridSpan w:val="4"/>
            <w:tcBorders>
              <w:top w:val="single" w:color="auto" w:sz="4" w:space="0"/>
              <w:left w:val="single" w:color="auto" w:sz="4" w:space="0"/>
              <w:bottom w:val="single" w:color="auto" w:sz="4" w:space="0"/>
            </w:tcBorders>
            <w:vAlign w:val="center"/>
          </w:tcPr>
          <w:p w14:paraId="4528DD21">
            <w:pPr>
              <w:widowControl/>
              <w:adjustRightInd w:val="0"/>
              <w:snapToGrid w:val="0"/>
              <w:spacing w:line="360" w:lineRule="auto"/>
              <w:jc w:val="center"/>
              <w:rPr>
                <w:rFonts w:ascii="宋体" w:hAnsi="宋体" w:cs="宋体"/>
                <w:kern w:val="0"/>
                <w:szCs w:val="21"/>
              </w:rPr>
            </w:pPr>
            <w:r>
              <w:rPr>
                <w:rFonts w:hint="eastAsia" w:ascii="宋体" w:hAnsi="宋体" w:cs="宋体"/>
                <w:szCs w:val="21"/>
              </w:rPr>
              <w:t>单价：</w:t>
            </w:r>
            <w:r>
              <w:rPr>
                <w:rFonts w:hint="eastAsia" w:ascii="宋体" w:hAnsi="宋体" w:cs="宋体"/>
                <w:kern w:val="0"/>
                <w:szCs w:val="21"/>
                <w:u w:val="single"/>
              </w:rPr>
              <w:t xml:space="preserve">     </w:t>
            </w:r>
            <w:r>
              <w:rPr>
                <w:rFonts w:hint="eastAsia" w:ascii="宋体" w:hAnsi="宋体" w:cs="宋体"/>
                <w:kern w:val="0"/>
                <w:szCs w:val="21"/>
              </w:rPr>
              <w:t>元/吨</w:t>
            </w:r>
            <w:r>
              <w:rPr>
                <w:rFonts w:hint="eastAsia" w:ascii="宋体" w:hAnsi="宋体" w:cs="宋体"/>
                <w:szCs w:val="21"/>
              </w:rPr>
              <w:t>（小写）</w:t>
            </w:r>
            <w:r>
              <w:rPr>
                <w:rFonts w:hint="eastAsia" w:ascii="宋体" w:hAnsi="宋体" w:cs="宋体"/>
                <w:kern w:val="0"/>
                <w:szCs w:val="21"/>
                <w:u w:val="single"/>
              </w:rPr>
              <w:t xml:space="preserve">        </w:t>
            </w:r>
            <w:r>
              <w:rPr>
                <w:rFonts w:hint="eastAsia" w:ascii="宋体" w:hAnsi="宋体" w:cs="宋体"/>
                <w:kern w:val="0"/>
                <w:szCs w:val="21"/>
              </w:rPr>
              <w:t>元/吨</w:t>
            </w:r>
            <w:r>
              <w:rPr>
                <w:rFonts w:hint="eastAsia" w:ascii="宋体" w:hAnsi="宋体" w:cs="宋体"/>
                <w:szCs w:val="21"/>
              </w:rPr>
              <w:t>（大写）</w:t>
            </w:r>
          </w:p>
        </w:tc>
      </w:tr>
    </w:tbl>
    <w:p w14:paraId="16714F42">
      <w:pPr>
        <w:spacing w:line="400" w:lineRule="exact"/>
        <w:ind w:firstLine="426" w:firstLineChars="202"/>
        <w:rPr>
          <w:rFonts w:ascii="宋体" w:hAnsi="宋体"/>
          <w:szCs w:val="21"/>
        </w:rPr>
      </w:pPr>
      <w:r>
        <w:rPr>
          <w:rFonts w:hint="eastAsia" w:ascii="宋体" w:hAnsi="宋体"/>
          <w:b/>
          <w:szCs w:val="21"/>
        </w:rPr>
        <w:t>中标单价为固定价，合同签订之日起不做调整。</w:t>
      </w:r>
    </w:p>
    <w:p w14:paraId="5736C1A9">
      <w:pPr>
        <w:spacing w:line="400" w:lineRule="exact"/>
        <w:ind w:firstLine="424" w:firstLineChars="202"/>
        <w:rPr>
          <w:rFonts w:ascii="宋体" w:hAnsi="宋体" w:cs="Courier New"/>
          <w:szCs w:val="21"/>
        </w:rPr>
      </w:pPr>
      <w:r>
        <w:rPr>
          <w:rFonts w:hint="eastAsia" w:ascii="宋体" w:hAnsi="宋体" w:cs="Courier New"/>
          <w:szCs w:val="21"/>
        </w:rPr>
        <w:t>采购数量和进货日期以买方的实际使用量为准，卖方须确保一定数量的库存量。</w:t>
      </w:r>
    </w:p>
    <w:p w14:paraId="34D5A978">
      <w:pPr>
        <w:widowControl/>
        <w:snapToGrid w:val="0"/>
        <w:spacing w:before="120" w:after="120" w:line="360" w:lineRule="auto"/>
        <w:ind w:firstLine="422" w:firstLineChars="200"/>
        <w:jc w:val="left"/>
        <w:rPr>
          <w:rFonts w:ascii="宋体" w:hAnsi="宋体" w:cs="宋体"/>
          <w:b/>
          <w:kern w:val="0"/>
          <w:szCs w:val="21"/>
        </w:rPr>
      </w:pPr>
      <w:r>
        <w:rPr>
          <w:rFonts w:hint="eastAsia" w:ascii="宋体" w:hAnsi="宋体" w:cs="宋体"/>
          <w:b/>
          <w:kern w:val="0"/>
          <w:szCs w:val="21"/>
        </w:rPr>
        <w:t>三、技术数据</w:t>
      </w:r>
    </w:p>
    <w:p w14:paraId="6DB67837">
      <w:pPr>
        <w:widowControl/>
        <w:snapToGrid w:val="0"/>
        <w:spacing w:before="120" w:after="120" w:line="360" w:lineRule="auto"/>
        <w:ind w:left="407" w:leftChars="194" w:firstLine="105" w:firstLineChars="50"/>
        <w:jc w:val="left"/>
        <w:rPr>
          <w:rFonts w:ascii="宋体" w:hAnsi="宋体" w:cs="宋体"/>
          <w:kern w:val="0"/>
          <w:szCs w:val="21"/>
        </w:rPr>
      </w:pPr>
      <w:r>
        <w:rPr>
          <w:rFonts w:hint="eastAsia" w:ascii="宋体" w:hAnsi="宋体" w:cs="宋体"/>
          <w:kern w:val="0"/>
          <w:szCs w:val="21"/>
        </w:rPr>
        <w:t>1、供方应按采购文件规定的时间向需方提供使用货物的有关技术数据。</w:t>
      </w:r>
    </w:p>
    <w:p w14:paraId="5D891F0D">
      <w:pPr>
        <w:widowControl/>
        <w:snapToGrid w:val="0"/>
        <w:spacing w:before="120" w:after="120" w:line="360" w:lineRule="auto"/>
        <w:ind w:left="78" w:leftChars="37" w:firstLine="420" w:firstLineChars="200"/>
        <w:jc w:val="left"/>
        <w:rPr>
          <w:rFonts w:ascii="宋体" w:hAnsi="宋体" w:cs="宋体"/>
          <w:kern w:val="0"/>
          <w:szCs w:val="21"/>
          <w:lang w:eastAsia="zh-TW"/>
        </w:rPr>
      </w:pPr>
      <w:r>
        <w:rPr>
          <w:rFonts w:hint="eastAsia" w:ascii="宋体" w:hAnsi="宋体" w:cs="宋体"/>
          <w:kern w:val="0"/>
          <w:szCs w:val="21"/>
        </w:rPr>
        <w:t>2、没有需方事先书面同意，供方不得将由需方提供的有关合同或任何合同条文、规格、计划、图纸、样品或数据提供给与履行本合同无关的任何其它人。即使向履行本合同有关的人员提供，也应注意保密并限于履行合同的必需范围。</w:t>
      </w:r>
    </w:p>
    <w:p w14:paraId="229C8998">
      <w:pPr>
        <w:widowControl/>
        <w:snapToGrid w:val="0"/>
        <w:spacing w:before="120" w:after="120" w:line="360" w:lineRule="auto"/>
        <w:ind w:left="409" w:leftChars="195" w:firstLine="103" w:firstLineChars="49"/>
        <w:jc w:val="left"/>
        <w:rPr>
          <w:rFonts w:ascii="Verdana" w:hAnsi="宋体" w:cs="Arial"/>
          <w:b/>
          <w:kern w:val="0"/>
          <w:szCs w:val="21"/>
          <w:lang w:eastAsia="zh-TW"/>
        </w:rPr>
      </w:pPr>
      <w:r>
        <w:rPr>
          <w:rFonts w:ascii="Verdana" w:hAnsi="宋体" w:cs="Arial"/>
          <w:b/>
          <w:kern w:val="0"/>
          <w:szCs w:val="21"/>
        </w:rPr>
        <w:t>四、知识产权</w:t>
      </w:r>
    </w:p>
    <w:p w14:paraId="4F48E751">
      <w:pPr>
        <w:widowControl/>
        <w:snapToGrid w:val="0"/>
        <w:spacing w:before="120" w:after="120" w:line="360" w:lineRule="auto"/>
        <w:ind w:firstLine="420" w:firstLineChars="200"/>
        <w:jc w:val="left"/>
        <w:rPr>
          <w:rFonts w:ascii="Verdana" w:hAnsi="宋体" w:cs="Arial"/>
          <w:bCs/>
          <w:kern w:val="0"/>
          <w:szCs w:val="21"/>
          <w:lang w:eastAsia="zh-TW"/>
        </w:rPr>
      </w:pPr>
      <w:r>
        <w:rPr>
          <w:rFonts w:ascii="Verdana" w:hAnsi="宋体" w:cs="Arial"/>
          <w:kern w:val="0"/>
          <w:szCs w:val="21"/>
        </w:rPr>
        <w:t>供方应保证所提供的货物或其任何一部分均不会侵犯任何第三方的知识产权</w:t>
      </w:r>
      <w:r>
        <w:rPr>
          <w:rFonts w:hint="eastAsia" w:ascii="Verdana" w:hAnsi="宋体" w:cs="Arial"/>
          <w:bCs/>
          <w:kern w:val="0"/>
          <w:szCs w:val="21"/>
        </w:rPr>
        <w:t>。</w:t>
      </w:r>
    </w:p>
    <w:p w14:paraId="77712CD0">
      <w:pPr>
        <w:widowControl/>
        <w:snapToGrid w:val="0"/>
        <w:spacing w:before="120" w:after="120" w:line="360" w:lineRule="auto"/>
        <w:ind w:firstLine="413" w:firstLineChars="196"/>
        <w:jc w:val="left"/>
        <w:rPr>
          <w:rFonts w:ascii="Verdana" w:hAnsi="宋体" w:cs="Arial"/>
          <w:kern w:val="0"/>
          <w:szCs w:val="21"/>
          <w:u w:val="single"/>
          <w:lang w:eastAsia="zh-TW"/>
        </w:rPr>
      </w:pPr>
      <w:r>
        <w:rPr>
          <w:rFonts w:ascii="Verdana" w:hAnsi="宋体" w:cs="Arial"/>
          <w:b/>
          <w:kern w:val="0"/>
          <w:szCs w:val="21"/>
        </w:rPr>
        <w:t>五、产权担保</w:t>
      </w:r>
    </w:p>
    <w:p w14:paraId="54C9143C">
      <w:pPr>
        <w:widowControl/>
        <w:snapToGrid w:val="0"/>
        <w:spacing w:before="120" w:after="120" w:line="360" w:lineRule="auto"/>
        <w:ind w:firstLine="420" w:firstLineChars="200"/>
        <w:jc w:val="left"/>
        <w:rPr>
          <w:rFonts w:ascii="Verdana" w:hAnsi="宋体" w:cs="Arial"/>
          <w:kern w:val="0"/>
          <w:szCs w:val="21"/>
          <w:u w:val="single"/>
        </w:rPr>
      </w:pPr>
      <w:r>
        <w:rPr>
          <w:rFonts w:ascii="Verdana" w:hAnsi="宋体" w:cs="Arial"/>
          <w:kern w:val="0"/>
          <w:szCs w:val="21"/>
        </w:rPr>
        <w:t>供方保证所交付的货物的所有权完全属于供方且无任何抵押、查封等产权瑕疵。</w:t>
      </w:r>
    </w:p>
    <w:p w14:paraId="09A21E63">
      <w:pPr>
        <w:widowControl/>
        <w:snapToGrid w:val="0"/>
        <w:spacing w:before="120" w:after="120" w:line="360" w:lineRule="auto"/>
        <w:ind w:firstLine="480"/>
        <w:jc w:val="left"/>
        <w:rPr>
          <w:rFonts w:ascii="Verdana" w:hAnsi="宋体" w:eastAsia="仿宋_GB2312" w:cs="Arial"/>
          <w:b/>
          <w:kern w:val="0"/>
          <w:szCs w:val="21"/>
        </w:rPr>
      </w:pPr>
      <w:r>
        <w:rPr>
          <w:rFonts w:hint="eastAsia" w:ascii="Verdana" w:hAnsi="宋体" w:cs="Arial"/>
          <w:b/>
          <w:kern w:val="0"/>
          <w:szCs w:val="21"/>
        </w:rPr>
        <w:t>六</w:t>
      </w:r>
      <w:r>
        <w:rPr>
          <w:rFonts w:ascii="Verdana" w:hAnsi="宋体" w:cs="Arial"/>
          <w:b/>
          <w:kern w:val="0"/>
          <w:szCs w:val="21"/>
        </w:rPr>
        <w:t>、转包或分包</w:t>
      </w:r>
    </w:p>
    <w:p w14:paraId="1EC1A391">
      <w:pPr>
        <w:widowControl/>
        <w:spacing w:line="360" w:lineRule="auto"/>
        <w:ind w:firstLine="480"/>
        <w:jc w:val="left"/>
        <w:rPr>
          <w:rFonts w:ascii="宋体" w:hAnsi="宋体" w:cs="宋体"/>
          <w:kern w:val="0"/>
          <w:szCs w:val="21"/>
        </w:rPr>
      </w:pPr>
      <w:r>
        <w:rPr>
          <w:rFonts w:hint="eastAsia" w:ascii="宋体" w:hAnsi="宋体" w:cs="宋体"/>
          <w:kern w:val="0"/>
          <w:szCs w:val="21"/>
        </w:rPr>
        <w:t>1、本合同范围的货物，应由供方直接供应，不得转让他人供应；</w:t>
      </w:r>
    </w:p>
    <w:p w14:paraId="6BD63A4F">
      <w:pPr>
        <w:widowControl/>
        <w:spacing w:line="360" w:lineRule="auto"/>
        <w:ind w:firstLine="480"/>
        <w:jc w:val="left"/>
        <w:rPr>
          <w:rFonts w:ascii="宋体" w:hAnsi="宋体" w:cs="宋体"/>
          <w:kern w:val="0"/>
          <w:szCs w:val="21"/>
        </w:rPr>
      </w:pPr>
      <w:r>
        <w:rPr>
          <w:rFonts w:hint="eastAsia" w:ascii="宋体" w:hAnsi="宋体" w:cs="宋体"/>
          <w:kern w:val="0"/>
          <w:szCs w:val="21"/>
        </w:rPr>
        <w:t>2、供方不得将本合同范围的货物全部或部分分包给他人供应；</w:t>
      </w:r>
    </w:p>
    <w:p w14:paraId="1C7945B5">
      <w:pPr>
        <w:widowControl/>
        <w:spacing w:line="360" w:lineRule="auto"/>
        <w:ind w:firstLine="480"/>
        <w:jc w:val="left"/>
        <w:rPr>
          <w:rFonts w:ascii="宋体" w:hAnsi="宋体" w:cs="宋体"/>
          <w:kern w:val="0"/>
          <w:szCs w:val="21"/>
        </w:rPr>
      </w:pPr>
      <w:r>
        <w:rPr>
          <w:rFonts w:hint="eastAsia" w:ascii="宋体" w:hAnsi="宋体" w:cs="宋体"/>
          <w:kern w:val="0"/>
          <w:szCs w:val="21"/>
        </w:rPr>
        <w:t>3、如有转让和分包行为，需方将解除合同并追究供方的违约责任。</w:t>
      </w:r>
    </w:p>
    <w:p w14:paraId="64BBB00D">
      <w:pPr>
        <w:widowControl/>
        <w:adjustRightInd w:val="0"/>
        <w:snapToGrid w:val="0"/>
        <w:spacing w:before="120" w:after="120" w:line="360" w:lineRule="auto"/>
        <w:ind w:firstLine="422" w:firstLineChars="200"/>
        <w:jc w:val="left"/>
        <w:rPr>
          <w:rFonts w:ascii="宋体" w:hAnsi="宋体" w:cs="宋体"/>
          <w:b/>
          <w:bCs/>
          <w:kern w:val="0"/>
          <w:szCs w:val="21"/>
        </w:rPr>
      </w:pPr>
      <w:r>
        <w:rPr>
          <w:rFonts w:hint="eastAsia" w:ascii="宋体" w:hAnsi="宋体" w:cs="宋体"/>
          <w:b/>
          <w:bCs/>
          <w:kern w:val="0"/>
          <w:szCs w:val="21"/>
        </w:rPr>
        <w:t>七、交货期及交货地点</w:t>
      </w:r>
    </w:p>
    <w:p w14:paraId="5155103B">
      <w:pPr>
        <w:widowControl/>
        <w:adjustRightInd w:val="0"/>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1、交货期：按需交货，供方接到需方通知之日起</w:t>
      </w:r>
      <w:r>
        <w:rPr>
          <w:rFonts w:hint="eastAsia" w:ascii="宋体" w:hAnsi="宋体" w:cs="宋体"/>
          <w:kern w:val="0"/>
          <w:szCs w:val="21"/>
          <w:lang w:val="en-US" w:eastAsia="zh-CN"/>
        </w:rPr>
        <w:t>48小时</w:t>
      </w:r>
      <w:r>
        <w:rPr>
          <w:rFonts w:hint="eastAsia" w:ascii="宋体" w:hAnsi="宋体" w:cs="宋体"/>
          <w:kern w:val="0"/>
          <w:szCs w:val="21"/>
        </w:rPr>
        <w:t>内。</w:t>
      </w:r>
    </w:p>
    <w:p w14:paraId="5E8C13D0">
      <w:pPr>
        <w:widowControl/>
        <w:adjustRightInd w:val="0"/>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 xml:space="preserve">2、交货地点：以需方指定地点为准。            </w:t>
      </w:r>
    </w:p>
    <w:p w14:paraId="422250BF">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八、货款支付</w:t>
      </w:r>
    </w:p>
    <w:p w14:paraId="284AEEF6">
      <w:pPr>
        <w:widowControl/>
        <w:tabs>
          <w:tab w:val="left" w:pos="325"/>
        </w:tabs>
        <w:adjustRightInd w:val="0"/>
        <w:snapToGrid w:val="0"/>
        <w:spacing w:before="120" w:after="120" w:line="360" w:lineRule="auto"/>
        <w:ind w:firstLine="420" w:firstLineChars="200"/>
        <w:jc w:val="left"/>
        <w:rPr>
          <w:rFonts w:ascii="宋体" w:hAnsi="宋体" w:cs="宋体"/>
          <w:kern w:val="0"/>
          <w:szCs w:val="21"/>
        </w:rPr>
      </w:pPr>
      <w:r>
        <w:rPr>
          <w:rFonts w:hint="eastAsia" w:ascii="宋体" w:hAnsi="宋体" w:cs="宋体"/>
          <w:kern w:val="0"/>
          <w:szCs w:val="21"/>
        </w:rPr>
        <w:t>1、合同期限：合同起止日期为202</w:t>
      </w:r>
      <w:r>
        <w:rPr>
          <w:rFonts w:hint="eastAsia" w:ascii="宋体" w:hAnsi="宋体" w:cs="宋体"/>
          <w:kern w:val="0"/>
          <w:szCs w:val="21"/>
          <w:lang w:val="en-US" w:eastAsia="zh-CN"/>
        </w:rPr>
        <w:t>6</w:t>
      </w:r>
      <w:r>
        <w:rPr>
          <w:rFonts w:hint="eastAsia" w:ascii="宋体" w:hAnsi="宋体" w:cs="宋体"/>
          <w:kern w:val="0"/>
          <w:szCs w:val="21"/>
        </w:rPr>
        <w:t>年</w:t>
      </w:r>
      <w:r>
        <w:rPr>
          <w:rFonts w:hint="eastAsia" w:ascii="宋体" w:hAnsi="宋体" w:cs="宋体"/>
          <w:kern w:val="0"/>
          <w:szCs w:val="21"/>
          <w:u w:val="single"/>
        </w:rPr>
        <w:t xml:space="preserve"> * </w:t>
      </w:r>
      <w:r>
        <w:rPr>
          <w:rFonts w:hint="eastAsia" w:ascii="宋体" w:hAnsi="宋体" w:cs="宋体"/>
          <w:kern w:val="0"/>
          <w:szCs w:val="21"/>
        </w:rPr>
        <w:t>月</w:t>
      </w:r>
      <w:r>
        <w:rPr>
          <w:rFonts w:hint="eastAsia" w:ascii="宋体" w:hAnsi="宋体" w:cs="宋体"/>
          <w:kern w:val="0"/>
          <w:szCs w:val="21"/>
          <w:u w:val="single"/>
        </w:rPr>
        <w:t xml:space="preserve"> * </w:t>
      </w:r>
      <w:r>
        <w:rPr>
          <w:rFonts w:hint="eastAsia" w:ascii="宋体" w:hAnsi="宋体" w:cs="宋体"/>
          <w:kern w:val="0"/>
          <w:szCs w:val="21"/>
        </w:rPr>
        <w:t>日至202</w:t>
      </w:r>
      <w:r>
        <w:rPr>
          <w:rFonts w:hint="eastAsia" w:ascii="宋体" w:hAnsi="宋体" w:cs="宋体"/>
          <w:kern w:val="0"/>
          <w:szCs w:val="21"/>
          <w:lang w:val="en-US" w:eastAsia="zh-CN"/>
        </w:rPr>
        <w:t>7</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0C13143">
      <w:pPr>
        <w:widowControl/>
        <w:tabs>
          <w:tab w:val="left" w:pos="325"/>
          <w:tab w:val="left" w:pos="355"/>
        </w:tabs>
        <w:adjustRightInd w:val="0"/>
        <w:snapToGrid w:val="0"/>
        <w:spacing w:before="120" w:after="120" w:line="360" w:lineRule="auto"/>
        <w:ind w:firstLine="420" w:firstLineChars="200"/>
        <w:jc w:val="left"/>
        <w:rPr>
          <w:rFonts w:ascii="宋体" w:hAnsi="宋体" w:cs="宋体"/>
          <w:szCs w:val="21"/>
        </w:rPr>
      </w:pPr>
      <w:r>
        <w:rPr>
          <w:rFonts w:hint="eastAsia" w:ascii="宋体" w:hAnsi="宋体" w:cs="宋体"/>
          <w:szCs w:val="21"/>
        </w:rPr>
        <w:t>2、采购方式： 按需采购。</w:t>
      </w:r>
    </w:p>
    <w:p w14:paraId="0805861C">
      <w:pPr>
        <w:widowControl/>
        <w:adjustRightInd w:val="0"/>
        <w:snapToGrid w:val="0"/>
        <w:spacing w:before="156" w:beforeLines="50" w:after="156" w:afterLines="50" w:line="360" w:lineRule="auto"/>
        <w:ind w:firstLine="420" w:firstLineChars="200"/>
        <w:jc w:val="left"/>
        <w:rPr>
          <w:rFonts w:hint="eastAsia" w:ascii="宋体" w:hAnsi="宋体" w:cs="宋体"/>
          <w:szCs w:val="21"/>
        </w:rPr>
      </w:pPr>
      <w:r>
        <w:rPr>
          <w:rFonts w:hint="eastAsia" w:ascii="宋体" w:hAnsi="宋体" w:cs="宋体"/>
          <w:szCs w:val="21"/>
        </w:rPr>
        <w:t>3、结算方式：按月付款，即需方收到供方所供的货物及上一批次产品货款增值税专用发票后次月结算上一批次货款。供方开具货物货款增值税专用发票之前必须与需方核对货款。供方应向需方提供合法有效的增值税发票，若供方未提供的，需方可拒绝付款，并不承担违约责任。</w:t>
      </w:r>
    </w:p>
    <w:p w14:paraId="6F0BC33C">
      <w:pPr>
        <w:widowControl/>
        <w:adjustRightInd w:val="0"/>
        <w:snapToGrid w:val="0"/>
        <w:spacing w:before="156" w:beforeLines="50" w:after="156" w:afterLines="50" w:line="360" w:lineRule="auto"/>
        <w:ind w:firstLine="422" w:firstLineChars="200"/>
        <w:jc w:val="left"/>
        <w:rPr>
          <w:rFonts w:ascii="宋体" w:hAnsi="宋体" w:cs="宋体"/>
          <w:b/>
          <w:bCs/>
          <w:kern w:val="0"/>
          <w:szCs w:val="21"/>
        </w:rPr>
      </w:pPr>
      <w:r>
        <w:rPr>
          <w:rFonts w:hint="eastAsia" w:ascii="宋体" w:hAnsi="宋体" w:cs="宋体"/>
          <w:b/>
          <w:bCs/>
          <w:kern w:val="0"/>
          <w:szCs w:val="21"/>
        </w:rPr>
        <w:t>九、税费</w:t>
      </w:r>
    </w:p>
    <w:p w14:paraId="3E838F15">
      <w:pPr>
        <w:widowControl/>
        <w:adjustRightInd w:val="0"/>
        <w:snapToGrid w:val="0"/>
        <w:spacing w:before="156" w:beforeLines="50" w:after="156" w:afterLines="50" w:line="360" w:lineRule="auto"/>
        <w:ind w:firstLine="420" w:firstLineChars="200"/>
        <w:jc w:val="left"/>
        <w:rPr>
          <w:rFonts w:ascii="宋体" w:hAnsi="宋体" w:cs="宋体"/>
          <w:kern w:val="0"/>
          <w:szCs w:val="21"/>
        </w:rPr>
      </w:pPr>
      <w:r>
        <w:rPr>
          <w:rFonts w:hint="eastAsia" w:ascii="宋体" w:hAnsi="宋体" w:cs="宋体"/>
          <w:kern w:val="0"/>
          <w:szCs w:val="21"/>
        </w:rPr>
        <w:t>本合同执行中相关的一切税费均由供方负担。</w:t>
      </w:r>
    </w:p>
    <w:p w14:paraId="61DBCE44">
      <w:pPr>
        <w:widowControl/>
        <w:adjustRightInd w:val="0"/>
        <w:snapToGrid w:val="0"/>
        <w:spacing w:before="120" w:after="120" w:line="360" w:lineRule="auto"/>
        <w:ind w:firstLine="422" w:firstLineChars="200"/>
        <w:jc w:val="left"/>
        <w:rPr>
          <w:rFonts w:ascii="宋体" w:hAnsi="宋体" w:cs="宋体"/>
          <w:b/>
          <w:bCs/>
          <w:kern w:val="0"/>
          <w:szCs w:val="21"/>
        </w:rPr>
      </w:pPr>
      <w:r>
        <w:rPr>
          <w:rFonts w:hint="eastAsia" w:ascii="宋体" w:hAnsi="宋体" w:cs="宋体"/>
          <w:b/>
          <w:bCs/>
          <w:kern w:val="0"/>
          <w:szCs w:val="21"/>
        </w:rPr>
        <w:t>十、质量保证及售后服务</w:t>
      </w:r>
    </w:p>
    <w:p w14:paraId="38436ED0">
      <w:pPr>
        <w:widowControl/>
        <w:adjustRightInd w:val="0"/>
        <w:snapToGrid w:val="0"/>
        <w:spacing w:before="120" w:after="120" w:line="360" w:lineRule="auto"/>
        <w:ind w:firstLine="420" w:firstLineChars="200"/>
        <w:jc w:val="left"/>
        <w:rPr>
          <w:rFonts w:ascii="宋体" w:hAnsi="宋体" w:cs="宋体"/>
          <w:kern w:val="0"/>
          <w:szCs w:val="21"/>
        </w:rPr>
      </w:pPr>
      <w:r>
        <w:rPr>
          <w:rFonts w:hint="eastAsia" w:ascii="宋体" w:hAnsi="宋体" w:cs="宋体"/>
          <w:kern w:val="0"/>
          <w:szCs w:val="21"/>
        </w:rPr>
        <w:t>1、供方应按报价文件规定的货物性能、技术要求、质量标准向需方提供未经使用的全新产品。</w:t>
      </w:r>
    </w:p>
    <w:p w14:paraId="02F29B42">
      <w:pPr>
        <w:widowControl/>
        <w:adjustRightInd w:val="0"/>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2、供方提供的货物在合同期内因货物本身的质量问题发生故障，供方应负责免费更换。对达不到技术要求者，根据实际情况，经双方协商，可按以下办法处理：</w:t>
      </w:r>
    </w:p>
    <w:p w14:paraId="063430EA">
      <w:pPr>
        <w:widowControl/>
        <w:adjustRightInd w:val="0"/>
        <w:snapToGrid w:val="0"/>
        <w:spacing w:before="120" w:after="120" w:line="360" w:lineRule="auto"/>
        <w:ind w:firstLine="420"/>
        <w:jc w:val="left"/>
        <w:rPr>
          <w:rFonts w:ascii="宋体" w:hAnsi="宋体" w:cs="宋体"/>
          <w:kern w:val="0"/>
          <w:szCs w:val="21"/>
        </w:rPr>
      </w:pPr>
      <w:r>
        <w:rPr>
          <w:rFonts w:hint="eastAsia" w:ascii="宋体" w:hAnsi="宋体" w:cs="宋体"/>
          <w:kern w:val="0"/>
          <w:szCs w:val="21"/>
        </w:rPr>
        <w:t>①更换：由供方承担所发生的全部费用。</w:t>
      </w:r>
    </w:p>
    <w:p w14:paraId="5ACCFCE9">
      <w:pPr>
        <w:widowControl/>
        <w:adjustRightInd w:val="0"/>
        <w:snapToGrid w:val="0"/>
        <w:spacing w:before="120" w:after="120" w:line="360" w:lineRule="auto"/>
        <w:ind w:firstLine="420"/>
        <w:jc w:val="left"/>
        <w:rPr>
          <w:rFonts w:ascii="宋体" w:hAnsi="宋体" w:cs="宋体"/>
          <w:kern w:val="0"/>
          <w:szCs w:val="21"/>
        </w:rPr>
      </w:pPr>
      <w:r>
        <w:rPr>
          <w:rFonts w:hint="eastAsia" w:ascii="宋体" w:hAnsi="宋体" w:cs="宋体"/>
          <w:kern w:val="0"/>
          <w:szCs w:val="21"/>
        </w:rPr>
        <w:t>②贬值处理：由供需双方合议定价。</w:t>
      </w:r>
    </w:p>
    <w:p w14:paraId="3666B26B">
      <w:pPr>
        <w:widowControl/>
        <w:adjustRightInd w:val="0"/>
        <w:snapToGrid w:val="0"/>
        <w:spacing w:before="120" w:after="120" w:line="360" w:lineRule="auto"/>
        <w:ind w:firstLine="420"/>
        <w:jc w:val="left"/>
        <w:rPr>
          <w:rFonts w:ascii="宋体" w:hAnsi="宋体" w:cs="宋体"/>
          <w:kern w:val="0"/>
          <w:szCs w:val="21"/>
        </w:rPr>
      </w:pPr>
      <w:r>
        <w:rPr>
          <w:rFonts w:hint="eastAsia" w:ascii="宋体" w:hAnsi="宋体" w:cs="宋体"/>
          <w:kern w:val="0"/>
          <w:szCs w:val="21"/>
        </w:rPr>
        <w:t>③退货处理：供方应退还需方支付的合同款，同时应承担该货物的直接费用（运输、保险、检验、货款利息及银行手续费等）。</w:t>
      </w:r>
    </w:p>
    <w:p w14:paraId="30F21B63">
      <w:pPr>
        <w:widowControl/>
        <w:adjustRightInd w:val="0"/>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3、如在使用过程中发生质量问题，供方在接到需方通知后在</w:t>
      </w:r>
      <w:r>
        <w:rPr>
          <w:rFonts w:hint="eastAsia" w:ascii="宋体" w:hAnsi="宋体" w:cs="宋体"/>
          <w:kern w:val="0"/>
          <w:szCs w:val="21"/>
          <w:u w:val="single"/>
        </w:rPr>
        <w:t>24</w:t>
      </w:r>
      <w:r>
        <w:rPr>
          <w:rFonts w:hint="eastAsia" w:ascii="宋体" w:hAnsi="宋体" w:cs="宋体"/>
          <w:kern w:val="0"/>
          <w:szCs w:val="21"/>
        </w:rPr>
        <w:t>小时内到达需方现场。</w:t>
      </w:r>
    </w:p>
    <w:p w14:paraId="217D36D2">
      <w:pPr>
        <w:widowControl/>
        <w:adjustRightInd w:val="0"/>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4、在合同期内，供方应对货物出现的质量及安全问题负责处理解决并承担一切费用。</w:t>
      </w:r>
    </w:p>
    <w:p w14:paraId="020134B7">
      <w:pPr>
        <w:widowControl/>
        <w:adjustRightInd w:val="0"/>
        <w:snapToGrid w:val="0"/>
        <w:spacing w:before="60" w:after="60" w:line="360" w:lineRule="auto"/>
        <w:ind w:firstLine="480"/>
        <w:jc w:val="left"/>
        <w:rPr>
          <w:rFonts w:ascii="宋体" w:hAnsi="宋体" w:cs="宋体"/>
          <w:b/>
          <w:bCs/>
          <w:kern w:val="0"/>
          <w:szCs w:val="21"/>
        </w:rPr>
      </w:pPr>
      <w:r>
        <w:rPr>
          <w:rFonts w:hint="eastAsia" w:ascii="宋体" w:hAnsi="宋体" w:cs="宋体"/>
          <w:b/>
          <w:bCs/>
          <w:kern w:val="0"/>
          <w:szCs w:val="21"/>
        </w:rPr>
        <w:t>十一、违约责任</w:t>
      </w:r>
    </w:p>
    <w:p w14:paraId="2DF92558">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1、供方交货时间逾期，需方有权启动应急采购，应急采购单价超过中标价的，供方应承担费用=（应急采购单价-中标单价）*应急采购数量，并予以扣罚5万元/次，逾期交货累计3次，需方有权单方面解除合同，并将供方的履约评价为D。因政策原因，供方无法正常履行合同，需方有权启动应急采购，应急采购单价超过中标单价的，供方应承担费用=（应急采购单价-中标单价）*应急采购数量。</w:t>
      </w:r>
    </w:p>
    <w:p w14:paraId="2A102E77">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2、供方所交的货物品种、型号、规格、技术参数、质量不符合合同规定及相关规定标准的，需方有权拒收该货物，供方愿意更换货物但逾期交货的，按供方逾期交货处理。供方拒绝更换货物的，需方可单方面解除合同。</w:t>
      </w:r>
    </w:p>
    <w:p w14:paraId="25029A9F">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3、需方无正当理由拒收货物的，需方向供方偿付拒收货款总值的百分之五违约金。</w:t>
      </w:r>
    </w:p>
    <w:p w14:paraId="364B96E8">
      <w:pPr>
        <w:pStyle w:val="33"/>
        <w:shd w:val="clear" w:color="auto" w:fill="FFFFFF"/>
        <w:adjustRightInd w:val="0"/>
        <w:snapToGrid w:val="0"/>
        <w:spacing w:line="480" w:lineRule="exact"/>
        <w:ind w:firstLine="420" w:firstLineChars="200"/>
        <w:rPr>
          <w:rFonts w:ascii="宋体" w:hAnsi="宋体"/>
          <w:sz w:val="21"/>
          <w:szCs w:val="21"/>
        </w:rPr>
      </w:pPr>
      <w:r>
        <w:rPr>
          <w:rFonts w:hint="eastAsia" w:ascii="宋体" w:hAnsi="宋体"/>
          <w:sz w:val="21"/>
          <w:szCs w:val="21"/>
        </w:rPr>
        <w:t>4、产品质量检验</w:t>
      </w:r>
    </w:p>
    <w:p w14:paraId="690FC9F5">
      <w:pPr>
        <w:pStyle w:val="33"/>
        <w:shd w:val="clear" w:color="auto" w:fill="FFFFFF"/>
        <w:adjustRightInd w:val="0"/>
        <w:snapToGrid w:val="0"/>
        <w:spacing w:line="48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4.1日常抽检</w:t>
      </w:r>
    </w:p>
    <w:p w14:paraId="58E77F65">
      <w:pPr>
        <w:pStyle w:val="33"/>
        <w:shd w:val="clear" w:color="auto" w:fill="FFFFFF"/>
        <w:adjustRightInd w:val="0"/>
        <w:snapToGrid w:val="0"/>
        <w:spacing w:line="48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产品质量检验采用日常抽检的形式。需方有权对供方提供的盐酸（31%）进行抽检，日常抽检样品采购人进行主要成分检测；</w:t>
      </w:r>
    </w:p>
    <w:p w14:paraId="4F4A680B">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4.2检测结果运用</w:t>
      </w:r>
    </w:p>
    <w:p w14:paraId="11260247">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检测结果技术指标全部符合本项目招标文件技术规范要求的，该批次货款全额结算。检测结果技术指标不符合本项目招标文件技术规范要求的，其中29%≤工业用盐酸质量分数&lt;31%的，扣除该批次货款的15%不予结算；27%≤工业用盐酸质量分数&lt;29%，扣除该批次货款50%不予结算；工业用盐酸质量分数&lt;27%，扣除该批次全部货款不予结算；其他指标任一项不达标时，扣除该批次货款的20%；多项不达标时，该批次扣款为每个单项扣款金额相加，该批次货款扣完为止。</w:t>
      </w:r>
    </w:p>
    <w:p w14:paraId="22039D56">
      <w:pPr>
        <w:pStyle w:val="33"/>
        <w:shd w:val="clear" w:color="auto" w:fill="FFFFFF"/>
        <w:adjustRightInd w:val="0"/>
        <w:snapToGrid w:val="0"/>
        <w:spacing w:line="480" w:lineRule="exact"/>
        <w:ind w:firstLine="420" w:firstLineChars="200"/>
        <w:rPr>
          <w:rFonts w:hint="eastAsia" w:ascii="宋体" w:hAnsi="宋体" w:eastAsia="宋体"/>
          <w:b/>
          <w:bCs/>
          <w:color w:val="auto"/>
          <w:sz w:val="21"/>
          <w:szCs w:val="21"/>
          <w:highlight w:val="none"/>
          <w:lang w:eastAsia="zh-CN"/>
        </w:rPr>
      </w:pPr>
      <w:r>
        <w:rPr>
          <w:rFonts w:hint="eastAsia" w:ascii="宋体" w:hAnsi="宋体"/>
          <w:color w:val="auto"/>
          <w:sz w:val="21"/>
          <w:szCs w:val="21"/>
          <w:highlight w:val="none"/>
        </w:rPr>
        <w:t>4.3日常抽检样品检测费用由需方承担</w:t>
      </w:r>
      <w:r>
        <w:rPr>
          <w:rFonts w:hint="eastAsia" w:ascii="宋体" w:hAnsi="宋体"/>
          <w:color w:val="auto"/>
          <w:sz w:val="21"/>
          <w:szCs w:val="21"/>
          <w:highlight w:val="none"/>
          <w:lang w:eastAsia="zh-CN"/>
        </w:rPr>
        <w:t>；</w:t>
      </w:r>
    </w:p>
    <w:p w14:paraId="196A1796">
      <w:pPr>
        <w:pStyle w:val="33"/>
        <w:shd w:val="clear" w:color="auto" w:fill="FFFFFF"/>
        <w:adjustRightInd w:val="0"/>
        <w:snapToGrid w:val="0"/>
        <w:spacing w:line="48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4.4如供方对检测结果有疑义的，供需双方在场的情况下取样送第三方检测机构进行检测，检测结果技术指标若符合本项目招标文件技术规范要求的，则该批次货款全额结算，检测费用由需方承担；检测结果技术指标不符合招标项目要求中技术规范中指标要求的，则该批次按4.2的要求进行支付货款，检测费用由供方承担。</w:t>
      </w:r>
    </w:p>
    <w:p w14:paraId="69226525">
      <w:pPr>
        <w:widowControl/>
        <w:adjustRightInd w:val="0"/>
        <w:snapToGrid w:val="0"/>
        <w:spacing w:before="120" w:after="120"/>
        <w:ind w:firstLine="480"/>
        <w:jc w:val="left"/>
        <w:rPr>
          <w:rFonts w:ascii="宋体" w:hAnsi="宋体" w:cs="宋体"/>
          <w:b/>
          <w:bCs/>
          <w:kern w:val="0"/>
          <w:szCs w:val="21"/>
        </w:rPr>
      </w:pPr>
      <w:r>
        <w:rPr>
          <w:rFonts w:hint="eastAsia" w:ascii="宋体" w:hAnsi="宋体" w:cs="宋体"/>
          <w:b/>
          <w:bCs/>
          <w:kern w:val="0"/>
          <w:szCs w:val="21"/>
        </w:rPr>
        <w:t>十二、不可抗力事件处理</w:t>
      </w:r>
    </w:p>
    <w:p w14:paraId="02BD7A09">
      <w:pPr>
        <w:widowControl/>
        <w:adjustRightInd w:val="0"/>
        <w:snapToGrid w:val="0"/>
        <w:spacing w:before="120" w:after="120" w:line="360" w:lineRule="auto"/>
        <w:ind w:firstLine="420" w:firstLineChars="200"/>
        <w:jc w:val="left"/>
        <w:rPr>
          <w:rFonts w:ascii="宋体" w:hAnsi="宋体" w:cs="宋体"/>
          <w:kern w:val="0"/>
          <w:szCs w:val="21"/>
        </w:rPr>
      </w:pPr>
      <w:r>
        <w:rPr>
          <w:rFonts w:hint="eastAsia" w:ascii="宋体" w:hAnsi="宋体" w:cs="宋体"/>
          <w:kern w:val="0"/>
          <w:szCs w:val="21"/>
        </w:rPr>
        <w:t>1、在合同有效期内，任何一方因不可抗力事件导致不能履行合同，则合同履行期可延长，其延长期与不可抗力影响期相同。</w:t>
      </w:r>
    </w:p>
    <w:p w14:paraId="5D56AAE1">
      <w:pPr>
        <w:widowControl/>
        <w:adjustRightInd w:val="0"/>
        <w:snapToGrid w:val="0"/>
        <w:spacing w:before="120" w:after="120" w:line="360" w:lineRule="auto"/>
        <w:ind w:firstLine="420" w:firstLineChars="200"/>
        <w:jc w:val="left"/>
        <w:rPr>
          <w:rFonts w:ascii="宋体" w:hAnsi="宋体" w:cs="宋体"/>
          <w:kern w:val="0"/>
          <w:szCs w:val="21"/>
        </w:rPr>
      </w:pPr>
      <w:r>
        <w:rPr>
          <w:rFonts w:hint="eastAsia" w:ascii="宋体" w:hAnsi="宋体" w:cs="宋体"/>
          <w:kern w:val="0"/>
          <w:szCs w:val="21"/>
        </w:rPr>
        <w:t>2、不可抗力事件发生后，应立即通知对方，并寄送有关权威机构出具的证明。</w:t>
      </w:r>
    </w:p>
    <w:p w14:paraId="58D5C26E">
      <w:pPr>
        <w:widowControl/>
        <w:adjustRightInd w:val="0"/>
        <w:snapToGrid w:val="0"/>
        <w:spacing w:before="120" w:after="120" w:line="360" w:lineRule="auto"/>
        <w:ind w:firstLine="420" w:firstLineChars="200"/>
        <w:jc w:val="left"/>
        <w:rPr>
          <w:rFonts w:ascii="宋体" w:hAnsi="宋体" w:cs="宋体"/>
          <w:kern w:val="0"/>
          <w:szCs w:val="21"/>
        </w:rPr>
      </w:pPr>
      <w:r>
        <w:rPr>
          <w:rFonts w:hint="eastAsia" w:ascii="宋体" w:hAnsi="宋体" w:cs="宋体"/>
          <w:kern w:val="0"/>
          <w:szCs w:val="21"/>
        </w:rPr>
        <w:t>3、不可抗力事件延续</w:t>
      </w:r>
      <w:r>
        <w:rPr>
          <w:rFonts w:hint="eastAsia" w:ascii="宋体" w:hAnsi="宋体" w:cs="宋体"/>
          <w:szCs w:val="21"/>
          <w:u w:val="single"/>
        </w:rPr>
        <w:t xml:space="preserve"> 3 </w:t>
      </w:r>
      <w:r>
        <w:rPr>
          <w:rFonts w:hint="eastAsia" w:ascii="宋体" w:hAnsi="宋体" w:cs="宋体"/>
          <w:kern w:val="0"/>
          <w:szCs w:val="21"/>
        </w:rPr>
        <w:t>天以上，双方应通过友好协商，确定是否继续履行合同。</w:t>
      </w:r>
    </w:p>
    <w:p w14:paraId="5C51CE26">
      <w:pPr>
        <w:widowControl/>
        <w:adjustRightInd w:val="0"/>
        <w:snapToGrid w:val="0"/>
        <w:spacing w:before="120" w:after="120"/>
        <w:ind w:firstLine="480"/>
        <w:jc w:val="left"/>
        <w:rPr>
          <w:rFonts w:ascii="宋体" w:hAnsi="宋体" w:cs="宋体"/>
          <w:b/>
          <w:bCs/>
          <w:kern w:val="0"/>
          <w:szCs w:val="21"/>
        </w:rPr>
      </w:pPr>
      <w:r>
        <w:rPr>
          <w:rFonts w:hint="eastAsia" w:ascii="宋体" w:hAnsi="宋体" w:cs="宋体"/>
          <w:b/>
          <w:bCs/>
          <w:kern w:val="0"/>
          <w:szCs w:val="21"/>
        </w:rPr>
        <w:t>十三、诉讼</w:t>
      </w:r>
    </w:p>
    <w:p w14:paraId="08FB4F7B">
      <w:pPr>
        <w:widowControl/>
        <w:adjustRightInd w:val="0"/>
        <w:snapToGrid w:val="0"/>
        <w:spacing w:before="120" w:after="120" w:line="360" w:lineRule="auto"/>
        <w:ind w:firstLine="482"/>
        <w:jc w:val="left"/>
        <w:rPr>
          <w:rFonts w:ascii="宋体" w:hAnsi="宋体" w:cs="宋体"/>
          <w:kern w:val="0"/>
          <w:szCs w:val="21"/>
        </w:rPr>
      </w:pPr>
      <w:r>
        <w:rPr>
          <w:rFonts w:hint="eastAsia" w:ascii="宋体" w:hAnsi="宋体" w:cs="宋体"/>
          <w:kern w:val="0"/>
          <w:szCs w:val="21"/>
        </w:rPr>
        <w:t>本合同项目所在地为义乌市，本合同发生争议产生的诉讼，可向项目所在地有管辖权的法院提起诉讼。</w:t>
      </w:r>
    </w:p>
    <w:p w14:paraId="644D9C40">
      <w:pPr>
        <w:widowControl/>
        <w:adjustRightInd w:val="0"/>
        <w:snapToGrid w:val="0"/>
        <w:spacing w:before="120" w:after="120" w:line="360" w:lineRule="auto"/>
        <w:ind w:firstLine="482"/>
        <w:jc w:val="left"/>
        <w:rPr>
          <w:rFonts w:ascii="宋体" w:hAnsi="宋体" w:cs="宋体"/>
          <w:kern w:val="0"/>
          <w:szCs w:val="21"/>
        </w:rPr>
      </w:pPr>
      <w:r>
        <w:rPr>
          <w:rFonts w:hint="eastAsia" w:ascii="宋体" w:hAnsi="宋体" w:cs="宋体"/>
          <w:b/>
          <w:bCs/>
          <w:kern w:val="0"/>
          <w:szCs w:val="21"/>
        </w:rPr>
        <w:t>十四、合同双方确认，本合同及合同约定的其它文件组成部分中的各项约定都是通过采购过程形成的合法成果，如果供方与需方要求不一致的，履约时应以有利于需方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BE58878">
      <w:pPr>
        <w:widowControl/>
        <w:snapToGrid w:val="0"/>
        <w:spacing w:before="120" w:after="120" w:line="360" w:lineRule="auto"/>
        <w:ind w:firstLine="480"/>
        <w:jc w:val="left"/>
        <w:rPr>
          <w:rFonts w:ascii="宋体" w:hAnsi="宋体" w:cs="宋体"/>
          <w:b/>
          <w:kern w:val="0"/>
          <w:szCs w:val="21"/>
        </w:rPr>
      </w:pPr>
      <w:r>
        <w:rPr>
          <w:rFonts w:hint="eastAsia" w:ascii="宋体" w:hAnsi="宋体" w:cs="宋体"/>
          <w:b/>
          <w:kern w:val="0"/>
          <w:szCs w:val="21"/>
        </w:rPr>
        <w:t>十五、合同生效及其它</w:t>
      </w:r>
    </w:p>
    <w:p w14:paraId="46BCB79B">
      <w:pPr>
        <w:widowControl/>
        <w:snapToGrid w:val="0"/>
        <w:spacing w:before="120" w:after="120" w:line="360" w:lineRule="auto"/>
        <w:ind w:firstLine="480"/>
        <w:jc w:val="left"/>
        <w:rPr>
          <w:rFonts w:ascii="宋体" w:hAnsi="宋体" w:cs="宋体"/>
          <w:kern w:val="0"/>
          <w:szCs w:val="21"/>
        </w:rPr>
      </w:pPr>
      <w:r>
        <w:rPr>
          <w:rFonts w:hint="eastAsia" w:ascii="宋体" w:hAnsi="宋体" w:cs="宋体"/>
          <w:kern w:val="0"/>
          <w:szCs w:val="21"/>
        </w:rPr>
        <w:t>1、合同经双方法定代表人或授权代表签字并加盖单位公章后生效。</w:t>
      </w:r>
    </w:p>
    <w:p w14:paraId="0F355D54">
      <w:pPr>
        <w:widowControl/>
        <w:snapToGrid w:val="0"/>
        <w:spacing w:before="120" w:after="120" w:line="360" w:lineRule="auto"/>
        <w:ind w:left="479" w:leftChars="228"/>
        <w:jc w:val="left"/>
        <w:rPr>
          <w:rFonts w:ascii="宋体" w:hAnsi="宋体" w:cs="宋体"/>
          <w:kern w:val="0"/>
          <w:szCs w:val="21"/>
        </w:rPr>
      </w:pPr>
      <w:r>
        <w:rPr>
          <w:rFonts w:hint="eastAsia" w:ascii="宋体" w:hAnsi="宋体" w:cs="宋体"/>
          <w:kern w:val="0"/>
          <w:szCs w:val="21"/>
        </w:rPr>
        <w:t>2、本合同未尽事宜，遵照《民法典》有关条文执行。</w:t>
      </w:r>
    </w:p>
    <w:p w14:paraId="6D0AE525">
      <w:pPr>
        <w:widowControl/>
        <w:snapToGrid w:val="0"/>
        <w:spacing w:before="120" w:after="120" w:line="360" w:lineRule="auto"/>
        <w:ind w:firstLine="480"/>
        <w:jc w:val="left"/>
        <w:rPr>
          <w:rFonts w:ascii="宋体" w:hAnsi="宋体" w:cs="宋体"/>
          <w:szCs w:val="21"/>
        </w:rPr>
      </w:pPr>
      <w:r>
        <w:rPr>
          <w:rFonts w:hint="eastAsia" w:ascii="宋体" w:hAnsi="宋体" w:cs="宋体"/>
          <w:szCs w:val="21"/>
        </w:rPr>
        <w:t>3、合同执行过程中，供方提供的盐酸（31%）检测结果累计3批次技术参数未达到</w:t>
      </w:r>
      <w:r>
        <w:rPr>
          <w:rFonts w:hint="eastAsia" w:ascii="宋体" w:hAnsi="宋体"/>
          <w:szCs w:val="21"/>
        </w:rPr>
        <w:t>工业用合成盐酸</w:t>
      </w:r>
      <w:r>
        <w:rPr>
          <w:rFonts w:ascii="宋体" w:hAnsi="宋体"/>
          <w:szCs w:val="21"/>
        </w:rPr>
        <w:t>GB/T 320-2006</w:t>
      </w:r>
      <w:r>
        <w:rPr>
          <w:rFonts w:hint="eastAsia" w:ascii="宋体" w:hAnsi="宋体"/>
          <w:szCs w:val="21"/>
        </w:rPr>
        <w:t>中一等品要求</w:t>
      </w:r>
      <w:r>
        <w:rPr>
          <w:rFonts w:hint="eastAsia" w:ascii="宋体" w:hAnsi="宋体" w:cs="宋体"/>
          <w:szCs w:val="21"/>
        </w:rPr>
        <w:t>的，需方有权单方面解除合同；合同解除后，本合同期内需方再行采购本合同货物的，供方不得再次参与，需方有权拒绝供方的再次参与。</w:t>
      </w:r>
    </w:p>
    <w:p w14:paraId="379BAB8D">
      <w:pPr>
        <w:widowControl/>
        <w:spacing w:line="360" w:lineRule="auto"/>
        <w:ind w:firstLine="480"/>
        <w:jc w:val="left"/>
      </w:pPr>
      <w:r>
        <w:rPr>
          <w:rFonts w:hint="eastAsia" w:ascii="宋体" w:hAnsi="宋体" w:cs="宋体"/>
          <w:b/>
          <w:bCs/>
          <w:kern w:val="0"/>
          <w:szCs w:val="21"/>
        </w:rPr>
        <w:t>十七、本合同一式____份，供需双方各执____份。</w:t>
      </w:r>
      <w:r>
        <w:rPr>
          <w:rFonts w:hint="eastAsia" w:ascii="宋体" w:hAnsi="宋体" w:cs="宋体"/>
          <w:b/>
          <w:bCs/>
          <w:kern w:val="0"/>
          <w:szCs w:val="21"/>
          <w:lang w:val="en-US" w:eastAsia="zh-CN"/>
        </w:rPr>
        <w:t>金华义产拍卖有限公司执一份。</w:t>
      </w:r>
      <w:r>
        <w:rPr>
          <w:rFonts w:hint="eastAsia" w:ascii="宋体" w:hAnsi="宋体" w:cs="宋体"/>
          <w:b/>
          <w:bCs/>
          <w:kern w:val="0"/>
          <w:szCs w:val="21"/>
        </w:rPr>
        <w:t xml:space="preserve"> </w:t>
      </w:r>
    </w:p>
    <w:p w14:paraId="298005F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供    方：________________________  需    方：________________________</w:t>
      </w:r>
    </w:p>
    <w:p w14:paraId="3EA15B5B">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地    址：________________________  地    址：________________________</w:t>
      </w:r>
    </w:p>
    <w:p w14:paraId="17A14FA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法定代表人：______________________  法定代表人：______________________</w:t>
      </w:r>
    </w:p>
    <w:p w14:paraId="039F87C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授权代表：_____________________     授权代表：________________________</w:t>
      </w:r>
    </w:p>
    <w:p w14:paraId="33EE841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电    话：________________________  电    话：________________________</w:t>
      </w:r>
    </w:p>
    <w:p w14:paraId="47CDB91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账户名称：________________________  账户名称：________________________</w:t>
      </w:r>
    </w:p>
    <w:p w14:paraId="09A59C49">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开户银行：________________________  开户银行：________________________</w:t>
      </w:r>
    </w:p>
    <w:p w14:paraId="03A7B25B">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账    号：________________________  账    号：________________________</w:t>
      </w:r>
    </w:p>
    <w:p w14:paraId="1F94C6AF">
      <w:pPr>
        <w:pStyle w:val="3"/>
        <w:keepNext/>
        <w:keepLines/>
        <w:pageBreakBefore w:val="0"/>
        <w:widowControl w:val="0"/>
        <w:tabs>
          <w:tab w:val="left" w:pos="360"/>
        </w:tabs>
        <w:kinsoku/>
        <w:wordWrap/>
        <w:overflowPunct/>
        <w:topLinePunct w:val="0"/>
        <w:autoSpaceDE/>
        <w:autoSpaceDN/>
        <w:bidi w:val="0"/>
        <w:adjustRightInd/>
        <w:snapToGrid/>
        <w:spacing w:line="240" w:lineRule="exact"/>
        <w:ind w:firstLine="420" w:firstLineChars="200"/>
        <w:jc w:val="both"/>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 xml:space="preserve">签约时间：________________________  签约地点：________________________ </w:t>
      </w:r>
    </w:p>
    <w:p w14:paraId="6A1E4CA3">
      <w:pPr>
        <w:pStyle w:val="19"/>
        <w:numPr>
          <w:ilvl w:val="0"/>
          <w:numId w:val="0"/>
        </w:numPr>
        <w:spacing w:line="500" w:lineRule="exact"/>
        <w:ind w:right="-512" w:rightChars="-244"/>
        <w:jc w:val="both"/>
        <w:rPr>
          <w:rFonts w:hint="eastAsia" w:ascii="宋体" w:hAnsi="宋体" w:eastAsia="宋体" w:cs="宋体"/>
          <w:b w:val="0"/>
          <w:bCs w:val="0"/>
          <w:kern w:val="0"/>
          <w:sz w:val="21"/>
          <w:szCs w:val="21"/>
          <w:lang w:val="en-US" w:eastAsia="zh-CN" w:bidi="ar-SA"/>
        </w:rPr>
      </w:pPr>
    </w:p>
    <w:p w14:paraId="66816C47">
      <w:pPr>
        <w:pStyle w:val="3"/>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74" w:name="_Toc2151"/>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74"/>
    </w:p>
    <w:p w14:paraId="3E844352">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5" w:name="_Toc26781"/>
      <w:r>
        <w:rPr>
          <w:rFonts w:hint="eastAsia" w:ascii="宋体" w:hAnsi="宋体" w:eastAsia="宋体" w:cs="宋体"/>
          <w:color w:val="auto"/>
          <w:sz w:val="21"/>
          <w:szCs w:val="21"/>
          <w:highlight w:val="none"/>
        </w:rPr>
        <w:t>一、资格响应文件、商务技术响应文件部分格式</w:t>
      </w:r>
      <w:bookmarkEnd w:id="75"/>
    </w:p>
    <w:p w14:paraId="2A6FDE87">
      <w:pP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4D7DD62D">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618AC51E">
      <w:pPr>
        <w:tabs>
          <w:tab w:val="left" w:pos="1050"/>
        </w:tabs>
        <w:spacing w:line="520" w:lineRule="exact"/>
        <w:ind w:left="528"/>
        <w:rPr>
          <w:rFonts w:hint="eastAsia" w:ascii="宋体" w:hAnsi="宋体" w:eastAsia="宋体" w:cs="宋体"/>
          <w:color w:val="auto"/>
          <w:sz w:val="21"/>
          <w:szCs w:val="21"/>
          <w:highlight w:val="none"/>
          <w:lang w:eastAsia="zh-CN" w:bidi="ar-SA"/>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z w:val="21"/>
          <w:szCs w:val="21"/>
          <w:highlight w:val="none"/>
          <w:lang w:eastAsia="zh-CN" w:bidi="ar-SA"/>
        </w:rPr>
        <w:t>.</w:t>
      </w:r>
      <w:r>
        <w:rPr>
          <w:rFonts w:hint="eastAsia" w:ascii="宋体" w:hAnsi="宋体"/>
          <w:szCs w:val="21"/>
        </w:rPr>
        <w:t>货物简要说明一览表</w:t>
      </w:r>
    </w:p>
    <w:p w14:paraId="48FEF822">
      <w:pPr>
        <w:tabs>
          <w:tab w:val="left" w:pos="1050"/>
        </w:tabs>
        <w:spacing w:line="520" w:lineRule="exact"/>
        <w:ind w:left="528"/>
        <w:rPr>
          <w:rFonts w:hint="eastAsia" w:ascii="宋体" w:hAnsi="宋体"/>
          <w:szCs w:val="21"/>
        </w:rPr>
      </w:pPr>
      <w:r>
        <w:rPr>
          <w:rFonts w:hint="eastAsia" w:ascii="宋体" w:hAnsi="宋体" w:eastAsia="宋体" w:cs="宋体"/>
          <w:color w:val="auto"/>
          <w:sz w:val="21"/>
          <w:szCs w:val="21"/>
          <w:highlight w:val="none"/>
          <w:lang w:val="en-US" w:eastAsia="zh-CN" w:bidi="ar-SA"/>
        </w:rPr>
        <w:t>4.</w:t>
      </w:r>
      <w:r>
        <w:rPr>
          <w:rFonts w:hint="eastAsia" w:ascii="宋体" w:hAnsi="宋体"/>
          <w:szCs w:val="21"/>
        </w:rPr>
        <w:t>产品质量保证承诺书</w:t>
      </w:r>
    </w:p>
    <w:p w14:paraId="1BDB26BB">
      <w:pPr>
        <w:tabs>
          <w:tab w:val="left" w:pos="1050"/>
        </w:tabs>
        <w:spacing w:line="520" w:lineRule="exact"/>
        <w:ind w:left="528"/>
        <w:rPr>
          <w:rFonts w:hint="eastAsia" w:ascii="宋体" w:hAnsi="宋体"/>
          <w:szCs w:val="21"/>
        </w:rPr>
      </w:pPr>
      <w:r>
        <w:rPr>
          <w:rFonts w:hint="eastAsia" w:ascii="宋体" w:hAnsi="宋体"/>
          <w:szCs w:val="21"/>
          <w:lang w:val="en-US" w:eastAsia="zh-CN"/>
        </w:rPr>
        <w:t>5.</w:t>
      </w:r>
      <w:r>
        <w:rPr>
          <w:rFonts w:hint="eastAsia" w:ascii="宋体" w:hAnsi="宋体"/>
          <w:szCs w:val="21"/>
        </w:rPr>
        <w:t>规范偏离表</w:t>
      </w:r>
    </w:p>
    <w:p w14:paraId="7F18D85D">
      <w:pPr>
        <w:tabs>
          <w:tab w:val="left" w:pos="1050"/>
        </w:tabs>
        <w:spacing w:line="520" w:lineRule="exact"/>
        <w:ind w:left="528"/>
        <w:rPr>
          <w:rFonts w:hint="eastAsia" w:ascii="宋体" w:hAnsi="宋体" w:eastAsia="宋体" w:cs="宋体"/>
          <w:color w:val="auto"/>
          <w:sz w:val="21"/>
          <w:szCs w:val="21"/>
          <w:highlight w:val="none"/>
        </w:rPr>
      </w:pPr>
    </w:p>
    <w:p w14:paraId="1219D392">
      <w:pPr>
        <w:tabs>
          <w:tab w:val="left" w:pos="1050"/>
        </w:tabs>
        <w:spacing w:line="520" w:lineRule="exact"/>
        <w:ind w:left="528"/>
        <w:rPr>
          <w:rFonts w:hint="eastAsia" w:ascii="宋体" w:hAnsi="宋体" w:eastAsia="宋体" w:cs="宋体"/>
          <w:color w:val="auto"/>
          <w:sz w:val="21"/>
          <w:szCs w:val="21"/>
          <w:highlight w:val="none"/>
        </w:rPr>
      </w:pPr>
    </w:p>
    <w:p w14:paraId="48F112B4">
      <w:pPr>
        <w:tabs>
          <w:tab w:val="left" w:pos="1050"/>
        </w:tabs>
        <w:spacing w:line="520" w:lineRule="exact"/>
        <w:ind w:left="528"/>
        <w:rPr>
          <w:rFonts w:hint="eastAsia" w:ascii="宋体" w:hAnsi="宋体" w:eastAsia="宋体" w:cs="宋体"/>
          <w:color w:val="auto"/>
          <w:sz w:val="21"/>
          <w:szCs w:val="21"/>
          <w:highlight w:val="none"/>
        </w:rPr>
      </w:pPr>
    </w:p>
    <w:p w14:paraId="4B15C9DC">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6" w:name="_Toc10759"/>
      <w:r>
        <w:rPr>
          <w:rFonts w:hint="eastAsia" w:ascii="宋体" w:hAnsi="宋体" w:eastAsia="宋体" w:cs="宋体"/>
          <w:color w:val="auto"/>
          <w:sz w:val="21"/>
          <w:szCs w:val="21"/>
          <w:highlight w:val="none"/>
        </w:rPr>
        <w:t>二、报价响应文件部分格式</w:t>
      </w:r>
      <w:bookmarkEnd w:id="76"/>
    </w:p>
    <w:p w14:paraId="3B5C1B15">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5418149B">
      <w:pPr>
        <w:spacing w:line="340" w:lineRule="exact"/>
        <w:rPr>
          <w:rFonts w:hint="eastAsia" w:ascii="宋体" w:hAnsi="宋体" w:eastAsia="宋体" w:cs="宋体"/>
          <w:color w:val="auto"/>
          <w:sz w:val="21"/>
          <w:szCs w:val="21"/>
          <w:highlight w:val="none"/>
        </w:rPr>
      </w:pPr>
    </w:p>
    <w:p w14:paraId="39BBCBE1">
      <w:pPr>
        <w:spacing w:line="340" w:lineRule="exact"/>
        <w:rPr>
          <w:rFonts w:hint="eastAsia" w:ascii="宋体" w:hAnsi="宋体" w:eastAsia="宋体" w:cs="宋体"/>
          <w:color w:val="auto"/>
          <w:sz w:val="21"/>
          <w:szCs w:val="21"/>
          <w:highlight w:val="none"/>
        </w:rPr>
      </w:pPr>
    </w:p>
    <w:p w14:paraId="19384CDB">
      <w:pPr>
        <w:pStyle w:val="4"/>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77" w:name="_Toc16534"/>
      <w:r>
        <w:rPr>
          <w:rFonts w:hint="eastAsia" w:ascii="宋体" w:hAnsi="宋体" w:eastAsia="宋体" w:cs="宋体"/>
          <w:color w:val="auto"/>
          <w:sz w:val="21"/>
          <w:szCs w:val="21"/>
          <w:highlight w:val="none"/>
        </w:rPr>
        <w:t>三、质疑函范本</w:t>
      </w:r>
      <w:bookmarkEnd w:id="77"/>
    </w:p>
    <w:p w14:paraId="3A0486A5">
      <w:pPr>
        <w:spacing w:line="340" w:lineRule="exact"/>
        <w:rPr>
          <w:rFonts w:hint="eastAsia" w:ascii="宋体" w:hAnsi="宋体" w:eastAsia="宋体" w:cs="宋体"/>
          <w:color w:val="auto"/>
          <w:sz w:val="21"/>
          <w:szCs w:val="21"/>
          <w:highlight w:val="none"/>
        </w:rPr>
      </w:pPr>
    </w:p>
    <w:p w14:paraId="3AF52D4F">
      <w:pPr>
        <w:spacing w:line="340" w:lineRule="exact"/>
        <w:rPr>
          <w:rFonts w:hint="eastAsia" w:ascii="宋体" w:hAnsi="宋体" w:eastAsia="宋体" w:cs="宋体"/>
          <w:color w:val="auto"/>
          <w:sz w:val="21"/>
          <w:szCs w:val="21"/>
          <w:highlight w:val="none"/>
        </w:rPr>
      </w:pPr>
    </w:p>
    <w:p w14:paraId="57E44946">
      <w:pPr>
        <w:spacing w:line="340" w:lineRule="exact"/>
        <w:rPr>
          <w:rFonts w:ascii="宋体" w:cs="宋体"/>
          <w:color w:val="auto"/>
          <w:sz w:val="24"/>
          <w:highlight w:val="none"/>
        </w:rPr>
      </w:pPr>
    </w:p>
    <w:p w14:paraId="6D317895">
      <w:pPr>
        <w:spacing w:line="340" w:lineRule="exact"/>
        <w:rPr>
          <w:rFonts w:ascii="宋体" w:cs="宋体"/>
          <w:color w:val="auto"/>
          <w:sz w:val="24"/>
          <w:highlight w:val="none"/>
        </w:rPr>
      </w:pPr>
    </w:p>
    <w:p w14:paraId="20D0AE48">
      <w:pPr>
        <w:spacing w:line="340" w:lineRule="exact"/>
        <w:rPr>
          <w:rFonts w:ascii="宋体" w:cs="宋体"/>
          <w:color w:val="auto"/>
          <w:sz w:val="24"/>
          <w:highlight w:val="none"/>
        </w:rPr>
      </w:pPr>
    </w:p>
    <w:p w14:paraId="434C0570">
      <w:pPr>
        <w:spacing w:line="340" w:lineRule="exact"/>
        <w:rPr>
          <w:rFonts w:ascii="宋体" w:cs="宋体"/>
          <w:color w:val="auto"/>
          <w:sz w:val="24"/>
          <w:highlight w:val="none"/>
        </w:rPr>
      </w:pPr>
    </w:p>
    <w:p w14:paraId="7113BEF9">
      <w:pPr>
        <w:spacing w:line="340" w:lineRule="exact"/>
        <w:rPr>
          <w:rFonts w:ascii="宋体" w:cs="宋体"/>
          <w:color w:val="auto"/>
          <w:sz w:val="24"/>
          <w:highlight w:val="none"/>
        </w:rPr>
      </w:pPr>
    </w:p>
    <w:p w14:paraId="252F24BC">
      <w:pPr>
        <w:spacing w:line="340" w:lineRule="exact"/>
        <w:rPr>
          <w:rFonts w:ascii="宋体" w:cs="宋体"/>
          <w:color w:val="auto"/>
          <w:sz w:val="24"/>
          <w:highlight w:val="none"/>
        </w:rPr>
      </w:pPr>
    </w:p>
    <w:p w14:paraId="053BD801">
      <w:pPr>
        <w:spacing w:line="340" w:lineRule="exact"/>
        <w:rPr>
          <w:rFonts w:ascii="宋体" w:cs="宋体"/>
          <w:color w:val="auto"/>
          <w:sz w:val="24"/>
          <w:highlight w:val="none"/>
        </w:rPr>
      </w:pPr>
    </w:p>
    <w:p w14:paraId="7E04AF97">
      <w:pPr>
        <w:spacing w:line="340" w:lineRule="exact"/>
        <w:rPr>
          <w:rFonts w:ascii="宋体" w:cs="宋体"/>
          <w:color w:val="auto"/>
          <w:sz w:val="24"/>
          <w:highlight w:val="none"/>
        </w:rPr>
      </w:pPr>
    </w:p>
    <w:p w14:paraId="489FAF70">
      <w:pPr>
        <w:spacing w:line="340" w:lineRule="exact"/>
        <w:rPr>
          <w:rFonts w:ascii="宋体" w:cs="宋体"/>
          <w:color w:val="auto"/>
          <w:sz w:val="24"/>
          <w:highlight w:val="none"/>
        </w:rPr>
      </w:pPr>
    </w:p>
    <w:p w14:paraId="1BEBA08A">
      <w:pPr>
        <w:spacing w:line="340" w:lineRule="exact"/>
        <w:rPr>
          <w:rFonts w:ascii="宋体" w:cs="宋体"/>
          <w:color w:val="auto"/>
          <w:sz w:val="24"/>
          <w:highlight w:val="none"/>
        </w:rPr>
      </w:pPr>
    </w:p>
    <w:p w14:paraId="1CCC3045">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68A04B0F">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275E6656">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401AFF0F">
      <w:pPr>
        <w:jc w:val="center"/>
        <w:rPr>
          <w:rFonts w:hint="eastAsia" w:ascii="宋体" w:hAnsi="宋体"/>
          <w:color w:val="auto"/>
          <w:sz w:val="24"/>
          <w:highlight w:val="none"/>
          <w:u w:val="single"/>
        </w:rPr>
      </w:pPr>
    </w:p>
    <w:p w14:paraId="43294D03">
      <w:pPr>
        <w:jc w:val="center"/>
        <w:rPr>
          <w:rFonts w:hint="eastAsia" w:ascii="宋体" w:hAnsi="宋体"/>
          <w:color w:val="auto"/>
          <w:sz w:val="24"/>
          <w:highlight w:val="none"/>
          <w:u w:val="single"/>
        </w:rPr>
      </w:pPr>
    </w:p>
    <w:p w14:paraId="75B1C17A">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2A75A025">
      <w:pPr>
        <w:rPr>
          <w:rFonts w:hint="eastAsia" w:ascii="宋体" w:hAnsi="宋体"/>
          <w:color w:val="auto"/>
          <w:sz w:val="52"/>
          <w:highlight w:val="none"/>
        </w:rPr>
      </w:pPr>
    </w:p>
    <w:p w14:paraId="5D11EBBD">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5B1B5FD8">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68137C23">
      <w:pPr>
        <w:jc w:val="center"/>
        <w:rPr>
          <w:rFonts w:hint="eastAsia" w:ascii="宋体" w:hAnsi="宋体"/>
          <w:b/>
          <w:bCs/>
          <w:color w:val="auto"/>
          <w:sz w:val="28"/>
          <w:highlight w:val="none"/>
        </w:rPr>
      </w:pPr>
    </w:p>
    <w:p w14:paraId="7B928ECF">
      <w:pPr>
        <w:jc w:val="center"/>
        <w:rPr>
          <w:rFonts w:hint="eastAsia" w:ascii="宋体" w:hAnsi="宋体"/>
          <w:b/>
          <w:bCs/>
          <w:color w:val="auto"/>
          <w:sz w:val="28"/>
          <w:highlight w:val="none"/>
        </w:rPr>
      </w:pPr>
    </w:p>
    <w:p w14:paraId="71697543">
      <w:pPr>
        <w:jc w:val="center"/>
        <w:rPr>
          <w:rFonts w:hint="eastAsia" w:ascii="宋体" w:hAnsi="宋体"/>
          <w:b/>
          <w:bCs/>
          <w:color w:val="auto"/>
          <w:sz w:val="28"/>
          <w:highlight w:val="none"/>
        </w:rPr>
      </w:pPr>
    </w:p>
    <w:p w14:paraId="76E6897C">
      <w:pPr>
        <w:jc w:val="center"/>
        <w:rPr>
          <w:rFonts w:hint="eastAsia" w:ascii="宋体" w:hAnsi="宋体"/>
          <w:b/>
          <w:bCs/>
          <w:color w:val="auto"/>
          <w:sz w:val="28"/>
          <w:highlight w:val="none"/>
        </w:rPr>
      </w:pPr>
    </w:p>
    <w:p w14:paraId="56C5DB2F">
      <w:pPr>
        <w:rPr>
          <w:rFonts w:hint="eastAsia" w:ascii="宋体" w:hAnsi="宋体"/>
          <w:b/>
          <w:bCs/>
          <w:color w:val="auto"/>
          <w:sz w:val="28"/>
          <w:highlight w:val="none"/>
        </w:rPr>
      </w:pPr>
    </w:p>
    <w:p w14:paraId="6F038AA2">
      <w:pPr>
        <w:jc w:val="center"/>
        <w:rPr>
          <w:rFonts w:hint="eastAsia" w:ascii="宋体" w:hAnsi="宋体"/>
          <w:b/>
          <w:bCs/>
          <w:color w:val="auto"/>
          <w:sz w:val="28"/>
          <w:highlight w:val="none"/>
        </w:rPr>
      </w:pPr>
    </w:p>
    <w:p w14:paraId="6337DA4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3CD7C14D">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52CC132C">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2FA1C41F">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21458E9">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68CD96F8">
      <w:pPr>
        <w:spacing w:line="480" w:lineRule="auto"/>
        <w:jc w:val="center"/>
        <w:rPr>
          <w:rFonts w:hint="eastAsia" w:ascii="宋体" w:hAnsi="宋体" w:cs="宋体"/>
          <w:b/>
          <w:color w:val="auto"/>
          <w:sz w:val="48"/>
          <w:highlight w:val="none"/>
        </w:rPr>
      </w:pPr>
    </w:p>
    <w:p w14:paraId="01539799">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ACD5CF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EDC1CE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71E97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72B7093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555A611">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40383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0A40165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4D142D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D80E8FF">
      <w:pPr>
        <w:spacing w:line="360" w:lineRule="auto"/>
        <w:rPr>
          <w:rFonts w:hint="eastAsia" w:ascii="宋体" w:hAnsi="宋体" w:cs="宋体"/>
          <w:color w:val="auto"/>
          <w:sz w:val="24"/>
          <w:highlight w:val="none"/>
        </w:rPr>
      </w:pPr>
    </w:p>
    <w:p w14:paraId="44BD0163">
      <w:pPr>
        <w:spacing w:line="360" w:lineRule="auto"/>
        <w:rPr>
          <w:rFonts w:hint="eastAsia" w:ascii="宋体" w:hAnsi="宋体" w:cs="宋体"/>
          <w:color w:val="auto"/>
          <w:sz w:val="24"/>
          <w:highlight w:val="none"/>
        </w:rPr>
      </w:pPr>
    </w:p>
    <w:p w14:paraId="587D9095">
      <w:pPr>
        <w:spacing w:line="360" w:lineRule="auto"/>
        <w:rPr>
          <w:rFonts w:hint="eastAsia" w:ascii="宋体" w:hAnsi="宋体" w:cs="宋体"/>
          <w:color w:val="auto"/>
          <w:sz w:val="24"/>
          <w:highlight w:val="none"/>
        </w:rPr>
      </w:pPr>
    </w:p>
    <w:p w14:paraId="40DB9DF3">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259631F1">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FDFFF34">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482574">
      <w:pPr>
        <w:spacing w:line="360" w:lineRule="auto"/>
        <w:rPr>
          <w:rFonts w:hint="eastAsia" w:ascii="宋体" w:hAnsi="宋体" w:cs="宋体"/>
          <w:color w:val="auto"/>
          <w:sz w:val="24"/>
          <w:highlight w:val="none"/>
        </w:rPr>
      </w:pPr>
    </w:p>
    <w:p w14:paraId="0383E97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13F2C37A">
      <w:pPr>
        <w:jc w:val="center"/>
        <w:rPr>
          <w:rFonts w:hint="eastAsia" w:ascii="宋体" w:hAnsi="宋体" w:cs="宋体"/>
          <w:b/>
          <w:bCs/>
          <w:color w:val="auto"/>
          <w:sz w:val="36"/>
          <w:highlight w:val="none"/>
        </w:rPr>
      </w:pPr>
    </w:p>
    <w:p w14:paraId="14B26EC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D58B4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7F1D951">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63394AD8">
      <w:pPr>
        <w:pStyle w:val="19"/>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06C10C4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29CA762F">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641E49D3">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4E2B17FE">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27D68AE2">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w:t>
      </w:r>
      <w:r>
        <w:rPr>
          <w:rFonts w:hint="eastAsia" w:hAnsi="宋体" w:cs="宋体"/>
          <w:color w:val="auto"/>
          <w:sz w:val="24"/>
          <w:szCs w:val="24"/>
          <w:highlight w:val="none"/>
          <w:lang w:eastAsia="zh-CN"/>
        </w:rPr>
        <w:t>（</w:t>
      </w:r>
      <w:r>
        <w:rPr>
          <w:rFonts w:hint="eastAsia" w:hAnsi="宋体" w:cs="宋体"/>
          <w:color w:val="auto"/>
          <w:sz w:val="24"/>
          <w:szCs w:val="24"/>
          <w:highlight w:val="none"/>
        </w:rPr>
        <w:t>如果有的话</w:t>
      </w:r>
      <w:r>
        <w:rPr>
          <w:rFonts w:hint="eastAsia" w:hAnsi="宋体" w:cs="宋体"/>
          <w:color w:val="auto"/>
          <w:sz w:val="24"/>
          <w:szCs w:val="24"/>
          <w:highlight w:val="none"/>
          <w:lang w:eastAsia="zh-CN"/>
        </w:rPr>
        <w:t>）</w:t>
      </w:r>
      <w:r>
        <w:rPr>
          <w:rFonts w:hint="eastAsia" w:hAnsi="宋体" w:cs="宋体"/>
          <w:color w:val="auto"/>
          <w:sz w:val="24"/>
          <w:szCs w:val="24"/>
          <w:highlight w:val="none"/>
        </w:rPr>
        <w:t>，及有关附件，我方同意放弃提出含糊不清或误解的权力。 </w:t>
      </w:r>
    </w:p>
    <w:p w14:paraId="4959CDE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4930A586">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335E0B8C">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ED1275B">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A8AF1AD">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FF79D17">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6E84A9C5">
      <w:pPr>
        <w:pStyle w:val="19"/>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6ECB77">
      <w:pPr>
        <w:rPr>
          <w:rFonts w:hint="eastAsia"/>
          <w:color w:val="auto"/>
          <w:sz w:val="24"/>
          <w:szCs w:val="24"/>
          <w:highlight w:val="none"/>
        </w:rPr>
      </w:pPr>
    </w:p>
    <w:p w14:paraId="49812F3C">
      <w:pPr>
        <w:pStyle w:val="19"/>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763ECE7A">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069679B4">
      <w:pPr>
        <w:jc w:val="center"/>
        <w:rPr>
          <w:rFonts w:ascii="宋体" w:hAnsi="宋体" w:cs="宋体"/>
          <w:b/>
          <w:bCs/>
          <w:sz w:val="36"/>
        </w:rPr>
      </w:pPr>
      <w:r>
        <w:rPr>
          <w:rFonts w:hint="eastAsia" w:ascii="宋体" w:hAnsi="宋体" w:cs="宋体"/>
          <w:b/>
          <w:bCs/>
          <w:sz w:val="36"/>
        </w:rPr>
        <w:t>货物简要说明一览表</w:t>
      </w:r>
    </w:p>
    <w:p w14:paraId="435D369D">
      <w:pPr>
        <w:spacing w:before="156" w:beforeLines="50" w:after="156" w:afterLines="50"/>
        <w:rPr>
          <w:rFonts w:ascii="宋体" w:hAnsi="宋体" w:cs="宋体"/>
          <w:sz w:val="24"/>
        </w:rPr>
      </w:pPr>
      <w:r>
        <w:rPr>
          <w:rFonts w:hint="eastAsia" w:ascii="宋体" w:hAnsi="宋体" w:cs="宋体"/>
          <w:sz w:val="24"/>
        </w:rPr>
        <w:t xml:space="preserve">投标方名称（盖章）：___________________        </w:t>
      </w:r>
      <w:r>
        <w:rPr>
          <w:rFonts w:hint="eastAsia" w:ascii="宋体" w:hAnsi="宋体" w:cs="宋体"/>
          <w:bCs/>
          <w:sz w:val="24"/>
        </w:rPr>
        <w:t>采购</w:t>
      </w:r>
      <w:r>
        <w:rPr>
          <w:rFonts w:hint="eastAsia" w:ascii="宋体" w:hAnsi="宋体" w:cs="宋体"/>
          <w:sz w:val="24"/>
        </w:rPr>
        <w:t>编号：_____________</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6B70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712F4CAD">
            <w:pPr>
              <w:spacing w:line="360" w:lineRule="auto"/>
              <w:jc w:val="center"/>
              <w:rPr>
                <w:rFonts w:ascii="宋体" w:hAnsi="宋体" w:cs="宋体"/>
                <w:b/>
                <w:bCs/>
                <w:sz w:val="24"/>
              </w:rPr>
            </w:pPr>
            <w:r>
              <w:rPr>
                <w:rFonts w:hint="eastAsia" w:ascii="宋体" w:hAnsi="宋体" w:cs="宋体"/>
                <w:b/>
                <w:bCs/>
                <w:sz w:val="24"/>
              </w:rPr>
              <w:t>序号</w:t>
            </w:r>
          </w:p>
        </w:tc>
        <w:tc>
          <w:tcPr>
            <w:tcW w:w="1260" w:type="dxa"/>
          </w:tcPr>
          <w:p w14:paraId="13261646">
            <w:pPr>
              <w:spacing w:line="360" w:lineRule="auto"/>
              <w:jc w:val="center"/>
              <w:rPr>
                <w:rFonts w:ascii="宋体" w:hAnsi="宋体" w:cs="宋体"/>
                <w:b/>
                <w:bCs/>
                <w:sz w:val="24"/>
              </w:rPr>
            </w:pPr>
            <w:r>
              <w:rPr>
                <w:rFonts w:hint="eastAsia" w:ascii="宋体" w:hAnsi="宋体" w:cs="宋体"/>
                <w:b/>
                <w:bCs/>
                <w:sz w:val="24"/>
              </w:rPr>
              <w:t>产品名称</w:t>
            </w:r>
          </w:p>
        </w:tc>
        <w:tc>
          <w:tcPr>
            <w:tcW w:w="855" w:type="dxa"/>
            <w:vAlign w:val="center"/>
          </w:tcPr>
          <w:p w14:paraId="48A470B5">
            <w:pPr>
              <w:spacing w:line="360" w:lineRule="auto"/>
              <w:jc w:val="center"/>
              <w:rPr>
                <w:rFonts w:ascii="宋体" w:hAnsi="宋体" w:cs="宋体"/>
                <w:b/>
                <w:bCs/>
                <w:sz w:val="24"/>
              </w:rPr>
            </w:pPr>
            <w:r>
              <w:rPr>
                <w:rFonts w:hint="eastAsia" w:ascii="宋体" w:hAnsi="宋体" w:cs="宋体"/>
                <w:b/>
                <w:bCs/>
                <w:sz w:val="24"/>
              </w:rPr>
              <w:t>产地</w:t>
            </w:r>
          </w:p>
        </w:tc>
        <w:tc>
          <w:tcPr>
            <w:tcW w:w="2745" w:type="dxa"/>
            <w:vAlign w:val="center"/>
          </w:tcPr>
          <w:p w14:paraId="20E76B60">
            <w:pPr>
              <w:spacing w:line="360" w:lineRule="auto"/>
              <w:jc w:val="center"/>
              <w:rPr>
                <w:rFonts w:ascii="宋体" w:hAnsi="宋体" w:cs="宋体"/>
                <w:b/>
                <w:bCs/>
                <w:sz w:val="24"/>
              </w:rPr>
            </w:pPr>
            <w:r>
              <w:rPr>
                <w:rFonts w:hint="eastAsia" w:ascii="宋体" w:hAnsi="宋体" w:cs="宋体"/>
                <w:b/>
                <w:bCs/>
                <w:sz w:val="24"/>
              </w:rPr>
              <w:t>型号规格及技术参数</w:t>
            </w:r>
          </w:p>
        </w:tc>
        <w:tc>
          <w:tcPr>
            <w:tcW w:w="825" w:type="dxa"/>
            <w:vAlign w:val="center"/>
          </w:tcPr>
          <w:p w14:paraId="23EE94DD">
            <w:pPr>
              <w:spacing w:line="360" w:lineRule="auto"/>
              <w:jc w:val="center"/>
              <w:rPr>
                <w:rFonts w:ascii="宋体" w:hAnsi="宋体" w:cs="宋体"/>
                <w:b/>
                <w:bCs/>
                <w:sz w:val="24"/>
              </w:rPr>
            </w:pPr>
            <w:r>
              <w:rPr>
                <w:rFonts w:hint="eastAsia" w:ascii="宋体" w:hAnsi="宋体" w:cs="宋体"/>
                <w:b/>
                <w:bCs/>
                <w:sz w:val="24"/>
              </w:rPr>
              <w:t>数量</w:t>
            </w:r>
          </w:p>
        </w:tc>
        <w:tc>
          <w:tcPr>
            <w:tcW w:w="2955" w:type="dxa"/>
            <w:vAlign w:val="center"/>
          </w:tcPr>
          <w:p w14:paraId="01BD20B5">
            <w:pPr>
              <w:jc w:val="center"/>
              <w:rPr>
                <w:rFonts w:ascii="宋体" w:hAnsi="宋体" w:cs="宋体"/>
                <w:b/>
                <w:bCs/>
                <w:sz w:val="24"/>
              </w:rPr>
            </w:pPr>
            <w:r>
              <w:rPr>
                <w:rFonts w:hint="eastAsia" w:ascii="宋体" w:hAnsi="宋体" w:cs="宋体"/>
                <w:b/>
                <w:bCs/>
                <w:sz w:val="24"/>
              </w:rPr>
              <w:t>性能说明及其他</w:t>
            </w:r>
          </w:p>
        </w:tc>
      </w:tr>
      <w:tr w14:paraId="620A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4878FAD1">
            <w:pPr>
              <w:spacing w:line="360" w:lineRule="auto"/>
              <w:jc w:val="center"/>
              <w:rPr>
                <w:rFonts w:ascii="宋体" w:hAnsi="宋体" w:cs="宋体"/>
                <w:b/>
                <w:bCs/>
                <w:sz w:val="24"/>
              </w:rPr>
            </w:pPr>
          </w:p>
        </w:tc>
        <w:tc>
          <w:tcPr>
            <w:tcW w:w="1260" w:type="dxa"/>
          </w:tcPr>
          <w:p w14:paraId="6E34B22A">
            <w:pPr>
              <w:spacing w:line="360" w:lineRule="auto"/>
              <w:jc w:val="center"/>
              <w:rPr>
                <w:rFonts w:ascii="宋体" w:hAnsi="宋体" w:cs="宋体"/>
                <w:b/>
                <w:bCs/>
                <w:sz w:val="24"/>
              </w:rPr>
            </w:pPr>
          </w:p>
        </w:tc>
        <w:tc>
          <w:tcPr>
            <w:tcW w:w="855" w:type="dxa"/>
            <w:vAlign w:val="center"/>
          </w:tcPr>
          <w:p w14:paraId="1C4A397B">
            <w:pPr>
              <w:spacing w:line="360" w:lineRule="auto"/>
              <w:jc w:val="center"/>
              <w:rPr>
                <w:rFonts w:ascii="宋体" w:hAnsi="宋体" w:cs="宋体"/>
                <w:b/>
                <w:bCs/>
                <w:sz w:val="24"/>
              </w:rPr>
            </w:pPr>
          </w:p>
        </w:tc>
        <w:tc>
          <w:tcPr>
            <w:tcW w:w="2745" w:type="dxa"/>
            <w:vAlign w:val="center"/>
          </w:tcPr>
          <w:p w14:paraId="5E8493F2">
            <w:pPr>
              <w:spacing w:line="360" w:lineRule="auto"/>
              <w:jc w:val="center"/>
              <w:rPr>
                <w:rFonts w:ascii="宋体" w:hAnsi="宋体" w:cs="宋体"/>
                <w:b/>
                <w:bCs/>
                <w:sz w:val="24"/>
              </w:rPr>
            </w:pPr>
          </w:p>
        </w:tc>
        <w:tc>
          <w:tcPr>
            <w:tcW w:w="825" w:type="dxa"/>
            <w:vAlign w:val="center"/>
          </w:tcPr>
          <w:p w14:paraId="264B1DF1">
            <w:pPr>
              <w:spacing w:line="360" w:lineRule="auto"/>
              <w:jc w:val="center"/>
              <w:rPr>
                <w:rFonts w:ascii="宋体" w:hAnsi="宋体" w:cs="宋体"/>
                <w:b/>
                <w:bCs/>
                <w:sz w:val="24"/>
              </w:rPr>
            </w:pPr>
          </w:p>
        </w:tc>
        <w:tc>
          <w:tcPr>
            <w:tcW w:w="2955" w:type="dxa"/>
          </w:tcPr>
          <w:p w14:paraId="774B2002">
            <w:pPr>
              <w:rPr>
                <w:rFonts w:ascii="宋体" w:hAnsi="宋体" w:cs="宋体"/>
                <w:sz w:val="24"/>
              </w:rPr>
            </w:pPr>
          </w:p>
        </w:tc>
      </w:tr>
      <w:tr w14:paraId="2222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229ACC88">
            <w:pPr>
              <w:spacing w:line="360" w:lineRule="auto"/>
              <w:jc w:val="center"/>
              <w:rPr>
                <w:rFonts w:ascii="宋体" w:hAnsi="宋体" w:cs="宋体"/>
                <w:b/>
                <w:bCs/>
                <w:sz w:val="24"/>
              </w:rPr>
            </w:pPr>
          </w:p>
        </w:tc>
        <w:tc>
          <w:tcPr>
            <w:tcW w:w="1260" w:type="dxa"/>
          </w:tcPr>
          <w:p w14:paraId="2027814D">
            <w:pPr>
              <w:spacing w:line="360" w:lineRule="auto"/>
              <w:jc w:val="center"/>
              <w:rPr>
                <w:rFonts w:ascii="宋体" w:hAnsi="宋体" w:cs="宋体"/>
                <w:b/>
                <w:bCs/>
                <w:sz w:val="24"/>
              </w:rPr>
            </w:pPr>
          </w:p>
        </w:tc>
        <w:tc>
          <w:tcPr>
            <w:tcW w:w="855" w:type="dxa"/>
            <w:vAlign w:val="center"/>
          </w:tcPr>
          <w:p w14:paraId="0202563E">
            <w:pPr>
              <w:spacing w:line="360" w:lineRule="auto"/>
              <w:jc w:val="center"/>
              <w:rPr>
                <w:rFonts w:ascii="宋体" w:hAnsi="宋体" w:cs="宋体"/>
                <w:b/>
                <w:bCs/>
                <w:sz w:val="24"/>
              </w:rPr>
            </w:pPr>
          </w:p>
        </w:tc>
        <w:tc>
          <w:tcPr>
            <w:tcW w:w="2745" w:type="dxa"/>
            <w:vAlign w:val="center"/>
          </w:tcPr>
          <w:p w14:paraId="6CA257D6">
            <w:pPr>
              <w:spacing w:line="360" w:lineRule="auto"/>
              <w:jc w:val="center"/>
              <w:rPr>
                <w:rFonts w:ascii="宋体" w:hAnsi="宋体" w:cs="宋体"/>
                <w:b/>
                <w:bCs/>
                <w:sz w:val="24"/>
              </w:rPr>
            </w:pPr>
          </w:p>
        </w:tc>
        <w:tc>
          <w:tcPr>
            <w:tcW w:w="825" w:type="dxa"/>
            <w:vAlign w:val="center"/>
          </w:tcPr>
          <w:p w14:paraId="2909D008">
            <w:pPr>
              <w:spacing w:line="360" w:lineRule="auto"/>
              <w:jc w:val="center"/>
              <w:rPr>
                <w:rFonts w:ascii="宋体" w:hAnsi="宋体" w:cs="宋体"/>
                <w:b/>
                <w:bCs/>
                <w:sz w:val="24"/>
              </w:rPr>
            </w:pPr>
          </w:p>
        </w:tc>
        <w:tc>
          <w:tcPr>
            <w:tcW w:w="2955" w:type="dxa"/>
          </w:tcPr>
          <w:p w14:paraId="5FC82588">
            <w:pPr>
              <w:rPr>
                <w:rFonts w:ascii="宋体" w:hAnsi="宋体" w:cs="宋体"/>
                <w:sz w:val="24"/>
              </w:rPr>
            </w:pPr>
          </w:p>
        </w:tc>
      </w:tr>
      <w:tr w14:paraId="2A6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282CFDBA">
            <w:pPr>
              <w:spacing w:line="360" w:lineRule="auto"/>
              <w:jc w:val="center"/>
              <w:rPr>
                <w:rFonts w:ascii="宋体" w:hAnsi="宋体" w:cs="宋体"/>
                <w:b/>
                <w:bCs/>
                <w:sz w:val="24"/>
              </w:rPr>
            </w:pPr>
          </w:p>
        </w:tc>
        <w:tc>
          <w:tcPr>
            <w:tcW w:w="1260" w:type="dxa"/>
          </w:tcPr>
          <w:p w14:paraId="3FA4DF95">
            <w:pPr>
              <w:spacing w:line="360" w:lineRule="auto"/>
              <w:jc w:val="center"/>
              <w:rPr>
                <w:rFonts w:ascii="宋体" w:hAnsi="宋体" w:cs="宋体"/>
                <w:b/>
                <w:bCs/>
                <w:sz w:val="24"/>
              </w:rPr>
            </w:pPr>
          </w:p>
        </w:tc>
        <w:tc>
          <w:tcPr>
            <w:tcW w:w="855" w:type="dxa"/>
            <w:vAlign w:val="center"/>
          </w:tcPr>
          <w:p w14:paraId="408C26B3">
            <w:pPr>
              <w:spacing w:line="360" w:lineRule="auto"/>
              <w:jc w:val="center"/>
              <w:rPr>
                <w:rFonts w:ascii="宋体" w:hAnsi="宋体" w:cs="宋体"/>
                <w:b/>
                <w:bCs/>
                <w:sz w:val="24"/>
              </w:rPr>
            </w:pPr>
          </w:p>
        </w:tc>
        <w:tc>
          <w:tcPr>
            <w:tcW w:w="2745" w:type="dxa"/>
            <w:vAlign w:val="center"/>
          </w:tcPr>
          <w:p w14:paraId="7B068510">
            <w:pPr>
              <w:spacing w:line="360" w:lineRule="auto"/>
              <w:jc w:val="center"/>
              <w:rPr>
                <w:rFonts w:ascii="宋体" w:hAnsi="宋体" w:cs="宋体"/>
                <w:b/>
                <w:bCs/>
                <w:sz w:val="24"/>
              </w:rPr>
            </w:pPr>
          </w:p>
        </w:tc>
        <w:tc>
          <w:tcPr>
            <w:tcW w:w="825" w:type="dxa"/>
            <w:vAlign w:val="center"/>
          </w:tcPr>
          <w:p w14:paraId="22A14EF9">
            <w:pPr>
              <w:spacing w:line="360" w:lineRule="auto"/>
              <w:jc w:val="center"/>
              <w:rPr>
                <w:rFonts w:ascii="宋体" w:hAnsi="宋体" w:cs="宋体"/>
                <w:b/>
                <w:bCs/>
                <w:sz w:val="24"/>
              </w:rPr>
            </w:pPr>
          </w:p>
        </w:tc>
        <w:tc>
          <w:tcPr>
            <w:tcW w:w="2955" w:type="dxa"/>
          </w:tcPr>
          <w:p w14:paraId="45D2488B">
            <w:pPr>
              <w:rPr>
                <w:rFonts w:ascii="宋体" w:hAnsi="宋体" w:cs="宋体"/>
                <w:sz w:val="24"/>
              </w:rPr>
            </w:pPr>
          </w:p>
        </w:tc>
      </w:tr>
      <w:tr w14:paraId="14BE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3AF1305C">
            <w:pPr>
              <w:spacing w:line="360" w:lineRule="auto"/>
              <w:jc w:val="center"/>
              <w:rPr>
                <w:rFonts w:ascii="宋体" w:hAnsi="宋体" w:cs="宋体"/>
                <w:b/>
                <w:bCs/>
                <w:sz w:val="24"/>
              </w:rPr>
            </w:pPr>
          </w:p>
        </w:tc>
        <w:tc>
          <w:tcPr>
            <w:tcW w:w="1260" w:type="dxa"/>
          </w:tcPr>
          <w:p w14:paraId="4AF41599">
            <w:pPr>
              <w:spacing w:line="360" w:lineRule="auto"/>
              <w:jc w:val="center"/>
              <w:rPr>
                <w:rFonts w:ascii="宋体" w:hAnsi="宋体" w:cs="宋体"/>
                <w:b/>
                <w:bCs/>
                <w:sz w:val="24"/>
              </w:rPr>
            </w:pPr>
          </w:p>
        </w:tc>
        <w:tc>
          <w:tcPr>
            <w:tcW w:w="855" w:type="dxa"/>
            <w:vAlign w:val="center"/>
          </w:tcPr>
          <w:p w14:paraId="749CA1C8">
            <w:pPr>
              <w:spacing w:line="360" w:lineRule="auto"/>
              <w:jc w:val="center"/>
              <w:rPr>
                <w:rFonts w:ascii="宋体" w:hAnsi="宋体" w:cs="宋体"/>
                <w:b/>
                <w:bCs/>
                <w:sz w:val="24"/>
              </w:rPr>
            </w:pPr>
          </w:p>
        </w:tc>
        <w:tc>
          <w:tcPr>
            <w:tcW w:w="2745" w:type="dxa"/>
            <w:vAlign w:val="center"/>
          </w:tcPr>
          <w:p w14:paraId="54585F6E">
            <w:pPr>
              <w:spacing w:line="360" w:lineRule="auto"/>
              <w:jc w:val="center"/>
              <w:rPr>
                <w:rFonts w:ascii="宋体" w:hAnsi="宋体" w:cs="宋体"/>
                <w:b/>
                <w:bCs/>
                <w:sz w:val="24"/>
              </w:rPr>
            </w:pPr>
          </w:p>
        </w:tc>
        <w:tc>
          <w:tcPr>
            <w:tcW w:w="825" w:type="dxa"/>
            <w:vAlign w:val="center"/>
          </w:tcPr>
          <w:p w14:paraId="1667931F">
            <w:pPr>
              <w:spacing w:line="360" w:lineRule="auto"/>
              <w:jc w:val="center"/>
              <w:rPr>
                <w:rFonts w:ascii="宋体" w:hAnsi="宋体" w:cs="宋体"/>
                <w:b/>
                <w:bCs/>
                <w:sz w:val="24"/>
              </w:rPr>
            </w:pPr>
          </w:p>
        </w:tc>
        <w:tc>
          <w:tcPr>
            <w:tcW w:w="2955" w:type="dxa"/>
          </w:tcPr>
          <w:p w14:paraId="09D93AD6">
            <w:pPr>
              <w:rPr>
                <w:rFonts w:ascii="宋体" w:hAnsi="宋体" w:cs="宋体"/>
                <w:sz w:val="24"/>
              </w:rPr>
            </w:pPr>
          </w:p>
        </w:tc>
      </w:tr>
      <w:tr w14:paraId="61A8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302259D5">
            <w:pPr>
              <w:spacing w:line="360" w:lineRule="auto"/>
              <w:jc w:val="center"/>
              <w:rPr>
                <w:rFonts w:ascii="宋体" w:hAnsi="宋体" w:cs="宋体"/>
                <w:b/>
                <w:bCs/>
                <w:sz w:val="24"/>
              </w:rPr>
            </w:pPr>
          </w:p>
        </w:tc>
        <w:tc>
          <w:tcPr>
            <w:tcW w:w="1260" w:type="dxa"/>
          </w:tcPr>
          <w:p w14:paraId="78B42A8F">
            <w:pPr>
              <w:spacing w:line="360" w:lineRule="auto"/>
              <w:jc w:val="center"/>
              <w:rPr>
                <w:rFonts w:ascii="宋体" w:hAnsi="宋体" w:cs="宋体"/>
                <w:b/>
                <w:bCs/>
                <w:sz w:val="24"/>
              </w:rPr>
            </w:pPr>
          </w:p>
        </w:tc>
        <w:tc>
          <w:tcPr>
            <w:tcW w:w="855" w:type="dxa"/>
            <w:vAlign w:val="center"/>
          </w:tcPr>
          <w:p w14:paraId="3D02DBBC">
            <w:pPr>
              <w:spacing w:line="360" w:lineRule="auto"/>
              <w:jc w:val="center"/>
              <w:rPr>
                <w:rFonts w:ascii="宋体" w:hAnsi="宋体" w:cs="宋体"/>
                <w:b/>
                <w:bCs/>
                <w:sz w:val="24"/>
              </w:rPr>
            </w:pPr>
          </w:p>
        </w:tc>
        <w:tc>
          <w:tcPr>
            <w:tcW w:w="2745" w:type="dxa"/>
            <w:vAlign w:val="center"/>
          </w:tcPr>
          <w:p w14:paraId="437BC26A">
            <w:pPr>
              <w:spacing w:line="360" w:lineRule="auto"/>
              <w:jc w:val="center"/>
              <w:rPr>
                <w:rFonts w:ascii="宋体" w:hAnsi="宋体" w:cs="宋体"/>
                <w:b/>
                <w:bCs/>
                <w:sz w:val="24"/>
              </w:rPr>
            </w:pPr>
          </w:p>
        </w:tc>
        <w:tc>
          <w:tcPr>
            <w:tcW w:w="825" w:type="dxa"/>
            <w:vAlign w:val="center"/>
          </w:tcPr>
          <w:p w14:paraId="5A1EF4DA">
            <w:pPr>
              <w:spacing w:line="360" w:lineRule="auto"/>
              <w:jc w:val="center"/>
              <w:rPr>
                <w:rFonts w:ascii="宋体" w:hAnsi="宋体" w:cs="宋体"/>
                <w:b/>
                <w:bCs/>
                <w:sz w:val="24"/>
              </w:rPr>
            </w:pPr>
          </w:p>
        </w:tc>
        <w:tc>
          <w:tcPr>
            <w:tcW w:w="2955" w:type="dxa"/>
          </w:tcPr>
          <w:p w14:paraId="6A6BE5D6">
            <w:pPr>
              <w:rPr>
                <w:rFonts w:ascii="宋体" w:hAnsi="宋体" w:cs="宋体"/>
                <w:sz w:val="24"/>
              </w:rPr>
            </w:pPr>
          </w:p>
        </w:tc>
      </w:tr>
      <w:tr w14:paraId="3556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68E00268">
            <w:pPr>
              <w:spacing w:line="360" w:lineRule="auto"/>
              <w:jc w:val="center"/>
              <w:rPr>
                <w:rFonts w:ascii="宋体" w:hAnsi="宋体" w:cs="宋体"/>
                <w:b/>
                <w:bCs/>
                <w:sz w:val="24"/>
              </w:rPr>
            </w:pPr>
          </w:p>
        </w:tc>
        <w:tc>
          <w:tcPr>
            <w:tcW w:w="1260" w:type="dxa"/>
          </w:tcPr>
          <w:p w14:paraId="65FC60A4">
            <w:pPr>
              <w:spacing w:line="360" w:lineRule="auto"/>
              <w:jc w:val="center"/>
              <w:rPr>
                <w:rFonts w:ascii="宋体" w:hAnsi="宋体" w:cs="宋体"/>
                <w:b/>
                <w:bCs/>
                <w:sz w:val="24"/>
              </w:rPr>
            </w:pPr>
          </w:p>
        </w:tc>
        <w:tc>
          <w:tcPr>
            <w:tcW w:w="855" w:type="dxa"/>
            <w:vAlign w:val="center"/>
          </w:tcPr>
          <w:p w14:paraId="252D716D">
            <w:pPr>
              <w:spacing w:line="360" w:lineRule="auto"/>
              <w:jc w:val="center"/>
              <w:rPr>
                <w:rFonts w:ascii="宋体" w:hAnsi="宋体" w:cs="宋体"/>
                <w:b/>
                <w:bCs/>
                <w:sz w:val="24"/>
              </w:rPr>
            </w:pPr>
          </w:p>
        </w:tc>
        <w:tc>
          <w:tcPr>
            <w:tcW w:w="2745" w:type="dxa"/>
            <w:vAlign w:val="center"/>
          </w:tcPr>
          <w:p w14:paraId="35915647">
            <w:pPr>
              <w:spacing w:line="360" w:lineRule="auto"/>
              <w:jc w:val="center"/>
              <w:rPr>
                <w:rFonts w:ascii="宋体" w:hAnsi="宋体" w:cs="宋体"/>
                <w:b/>
                <w:bCs/>
                <w:sz w:val="24"/>
              </w:rPr>
            </w:pPr>
          </w:p>
        </w:tc>
        <w:tc>
          <w:tcPr>
            <w:tcW w:w="825" w:type="dxa"/>
            <w:vAlign w:val="center"/>
          </w:tcPr>
          <w:p w14:paraId="77C3E7F2">
            <w:pPr>
              <w:spacing w:line="360" w:lineRule="auto"/>
              <w:jc w:val="center"/>
              <w:rPr>
                <w:rFonts w:ascii="宋体" w:hAnsi="宋体" w:cs="宋体"/>
                <w:b/>
                <w:bCs/>
                <w:sz w:val="24"/>
              </w:rPr>
            </w:pPr>
          </w:p>
        </w:tc>
        <w:tc>
          <w:tcPr>
            <w:tcW w:w="2955" w:type="dxa"/>
          </w:tcPr>
          <w:p w14:paraId="2B046238">
            <w:pPr>
              <w:rPr>
                <w:rFonts w:ascii="宋体" w:hAnsi="宋体" w:cs="宋体"/>
                <w:sz w:val="24"/>
              </w:rPr>
            </w:pPr>
          </w:p>
        </w:tc>
      </w:tr>
      <w:tr w14:paraId="138C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1F655805">
            <w:pPr>
              <w:spacing w:line="360" w:lineRule="auto"/>
              <w:jc w:val="center"/>
              <w:rPr>
                <w:rFonts w:ascii="宋体" w:hAnsi="宋体" w:cs="宋体"/>
                <w:b/>
                <w:bCs/>
                <w:sz w:val="24"/>
              </w:rPr>
            </w:pPr>
          </w:p>
        </w:tc>
        <w:tc>
          <w:tcPr>
            <w:tcW w:w="1260" w:type="dxa"/>
          </w:tcPr>
          <w:p w14:paraId="598E67C7">
            <w:pPr>
              <w:spacing w:line="360" w:lineRule="auto"/>
              <w:jc w:val="center"/>
              <w:rPr>
                <w:rFonts w:ascii="宋体" w:hAnsi="宋体" w:cs="宋体"/>
                <w:b/>
                <w:bCs/>
                <w:sz w:val="24"/>
              </w:rPr>
            </w:pPr>
          </w:p>
        </w:tc>
        <w:tc>
          <w:tcPr>
            <w:tcW w:w="855" w:type="dxa"/>
            <w:vAlign w:val="center"/>
          </w:tcPr>
          <w:p w14:paraId="7B99DFE2">
            <w:pPr>
              <w:spacing w:line="360" w:lineRule="auto"/>
              <w:jc w:val="center"/>
              <w:rPr>
                <w:rFonts w:ascii="宋体" w:hAnsi="宋体" w:cs="宋体"/>
                <w:b/>
                <w:bCs/>
                <w:sz w:val="24"/>
              </w:rPr>
            </w:pPr>
          </w:p>
        </w:tc>
        <w:tc>
          <w:tcPr>
            <w:tcW w:w="2745" w:type="dxa"/>
            <w:vAlign w:val="center"/>
          </w:tcPr>
          <w:p w14:paraId="55AAD40C">
            <w:pPr>
              <w:spacing w:line="360" w:lineRule="auto"/>
              <w:jc w:val="center"/>
              <w:rPr>
                <w:rFonts w:ascii="宋体" w:hAnsi="宋体" w:cs="宋体"/>
                <w:b/>
                <w:bCs/>
                <w:sz w:val="24"/>
              </w:rPr>
            </w:pPr>
          </w:p>
        </w:tc>
        <w:tc>
          <w:tcPr>
            <w:tcW w:w="825" w:type="dxa"/>
            <w:vAlign w:val="center"/>
          </w:tcPr>
          <w:p w14:paraId="1B6075B6">
            <w:pPr>
              <w:spacing w:line="360" w:lineRule="auto"/>
              <w:jc w:val="center"/>
              <w:rPr>
                <w:rFonts w:ascii="宋体" w:hAnsi="宋体" w:cs="宋体"/>
                <w:b/>
                <w:bCs/>
                <w:sz w:val="24"/>
              </w:rPr>
            </w:pPr>
          </w:p>
        </w:tc>
        <w:tc>
          <w:tcPr>
            <w:tcW w:w="2955" w:type="dxa"/>
          </w:tcPr>
          <w:p w14:paraId="7199BCC5">
            <w:pPr>
              <w:rPr>
                <w:rFonts w:ascii="宋体" w:hAnsi="宋体" w:cs="宋体"/>
                <w:sz w:val="24"/>
              </w:rPr>
            </w:pPr>
          </w:p>
        </w:tc>
      </w:tr>
      <w:tr w14:paraId="70DA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012D5574">
            <w:pPr>
              <w:spacing w:line="360" w:lineRule="auto"/>
              <w:jc w:val="center"/>
              <w:rPr>
                <w:rFonts w:ascii="宋体" w:hAnsi="宋体" w:cs="宋体"/>
                <w:b/>
                <w:bCs/>
                <w:sz w:val="24"/>
              </w:rPr>
            </w:pPr>
          </w:p>
        </w:tc>
        <w:tc>
          <w:tcPr>
            <w:tcW w:w="1260" w:type="dxa"/>
          </w:tcPr>
          <w:p w14:paraId="4DB32698">
            <w:pPr>
              <w:spacing w:line="360" w:lineRule="auto"/>
              <w:jc w:val="center"/>
              <w:rPr>
                <w:rFonts w:ascii="宋体" w:hAnsi="宋体" w:cs="宋体"/>
                <w:b/>
                <w:bCs/>
                <w:sz w:val="24"/>
              </w:rPr>
            </w:pPr>
          </w:p>
        </w:tc>
        <w:tc>
          <w:tcPr>
            <w:tcW w:w="855" w:type="dxa"/>
            <w:vAlign w:val="center"/>
          </w:tcPr>
          <w:p w14:paraId="0F10DA9B">
            <w:pPr>
              <w:spacing w:line="360" w:lineRule="auto"/>
              <w:jc w:val="center"/>
              <w:rPr>
                <w:rFonts w:ascii="宋体" w:hAnsi="宋体" w:cs="宋体"/>
                <w:b/>
                <w:bCs/>
                <w:sz w:val="24"/>
              </w:rPr>
            </w:pPr>
          </w:p>
        </w:tc>
        <w:tc>
          <w:tcPr>
            <w:tcW w:w="2745" w:type="dxa"/>
            <w:vAlign w:val="center"/>
          </w:tcPr>
          <w:p w14:paraId="1AFA3E7E">
            <w:pPr>
              <w:spacing w:line="360" w:lineRule="auto"/>
              <w:jc w:val="center"/>
              <w:rPr>
                <w:rFonts w:ascii="宋体" w:hAnsi="宋体" w:cs="宋体"/>
                <w:b/>
                <w:bCs/>
                <w:sz w:val="24"/>
              </w:rPr>
            </w:pPr>
          </w:p>
        </w:tc>
        <w:tc>
          <w:tcPr>
            <w:tcW w:w="825" w:type="dxa"/>
            <w:vAlign w:val="center"/>
          </w:tcPr>
          <w:p w14:paraId="6F80E18C">
            <w:pPr>
              <w:spacing w:line="360" w:lineRule="auto"/>
              <w:jc w:val="center"/>
              <w:rPr>
                <w:rFonts w:ascii="宋体" w:hAnsi="宋体" w:cs="宋体"/>
                <w:b/>
                <w:bCs/>
                <w:sz w:val="24"/>
              </w:rPr>
            </w:pPr>
          </w:p>
        </w:tc>
        <w:tc>
          <w:tcPr>
            <w:tcW w:w="2955" w:type="dxa"/>
          </w:tcPr>
          <w:p w14:paraId="16F5CBA3">
            <w:pPr>
              <w:rPr>
                <w:rFonts w:ascii="宋体" w:hAnsi="宋体" w:cs="宋体"/>
                <w:sz w:val="24"/>
              </w:rPr>
            </w:pPr>
          </w:p>
        </w:tc>
      </w:tr>
      <w:tr w14:paraId="3479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2A1C1953">
            <w:pPr>
              <w:spacing w:line="360" w:lineRule="auto"/>
              <w:jc w:val="center"/>
              <w:rPr>
                <w:rFonts w:ascii="宋体" w:hAnsi="宋体" w:cs="宋体"/>
                <w:b/>
                <w:bCs/>
                <w:sz w:val="24"/>
              </w:rPr>
            </w:pPr>
          </w:p>
        </w:tc>
        <w:tc>
          <w:tcPr>
            <w:tcW w:w="1260" w:type="dxa"/>
          </w:tcPr>
          <w:p w14:paraId="4BD7CECA">
            <w:pPr>
              <w:spacing w:line="360" w:lineRule="auto"/>
              <w:jc w:val="center"/>
              <w:rPr>
                <w:rFonts w:ascii="宋体" w:hAnsi="宋体" w:cs="宋体"/>
                <w:b/>
                <w:bCs/>
                <w:sz w:val="24"/>
              </w:rPr>
            </w:pPr>
          </w:p>
        </w:tc>
        <w:tc>
          <w:tcPr>
            <w:tcW w:w="855" w:type="dxa"/>
            <w:vAlign w:val="center"/>
          </w:tcPr>
          <w:p w14:paraId="4564E8D4">
            <w:pPr>
              <w:spacing w:line="360" w:lineRule="auto"/>
              <w:jc w:val="center"/>
              <w:rPr>
                <w:rFonts w:ascii="宋体" w:hAnsi="宋体" w:cs="宋体"/>
                <w:b/>
                <w:bCs/>
                <w:sz w:val="24"/>
              </w:rPr>
            </w:pPr>
          </w:p>
        </w:tc>
        <w:tc>
          <w:tcPr>
            <w:tcW w:w="2745" w:type="dxa"/>
            <w:vAlign w:val="center"/>
          </w:tcPr>
          <w:p w14:paraId="6EA6D5A3">
            <w:pPr>
              <w:spacing w:line="360" w:lineRule="auto"/>
              <w:jc w:val="center"/>
              <w:rPr>
                <w:rFonts w:ascii="宋体" w:hAnsi="宋体" w:cs="宋体"/>
                <w:b/>
                <w:bCs/>
                <w:sz w:val="24"/>
              </w:rPr>
            </w:pPr>
          </w:p>
        </w:tc>
        <w:tc>
          <w:tcPr>
            <w:tcW w:w="825" w:type="dxa"/>
            <w:vAlign w:val="center"/>
          </w:tcPr>
          <w:p w14:paraId="38ED8747">
            <w:pPr>
              <w:spacing w:line="360" w:lineRule="auto"/>
              <w:jc w:val="center"/>
              <w:rPr>
                <w:rFonts w:ascii="宋体" w:hAnsi="宋体" w:cs="宋体"/>
                <w:b/>
                <w:bCs/>
                <w:sz w:val="24"/>
              </w:rPr>
            </w:pPr>
          </w:p>
        </w:tc>
        <w:tc>
          <w:tcPr>
            <w:tcW w:w="2955" w:type="dxa"/>
          </w:tcPr>
          <w:p w14:paraId="4D60B090">
            <w:pPr>
              <w:rPr>
                <w:rFonts w:ascii="宋体" w:hAnsi="宋体" w:cs="宋体"/>
                <w:sz w:val="24"/>
              </w:rPr>
            </w:pPr>
          </w:p>
        </w:tc>
      </w:tr>
      <w:tr w14:paraId="5FF8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2DDA93C5">
            <w:pPr>
              <w:spacing w:line="360" w:lineRule="auto"/>
              <w:jc w:val="center"/>
              <w:rPr>
                <w:rFonts w:ascii="宋体" w:hAnsi="宋体" w:cs="宋体"/>
                <w:b/>
                <w:bCs/>
                <w:sz w:val="24"/>
              </w:rPr>
            </w:pPr>
          </w:p>
        </w:tc>
        <w:tc>
          <w:tcPr>
            <w:tcW w:w="1260" w:type="dxa"/>
          </w:tcPr>
          <w:p w14:paraId="443B1CDB">
            <w:pPr>
              <w:spacing w:line="360" w:lineRule="auto"/>
              <w:jc w:val="center"/>
              <w:rPr>
                <w:rFonts w:ascii="宋体" w:hAnsi="宋体" w:cs="宋体"/>
                <w:b/>
                <w:bCs/>
                <w:sz w:val="24"/>
              </w:rPr>
            </w:pPr>
          </w:p>
        </w:tc>
        <w:tc>
          <w:tcPr>
            <w:tcW w:w="855" w:type="dxa"/>
            <w:vAlign w:val="center"/>
          </w:tcPr>
          <w:p w14:paraId="62827E4D">
            <w:pPr>
              <w:spacing w:line="360" w:lineRule="auto"/>
              <w:jc w:val="center"/>
              <w:rPr>
                <w:rFonts w:ascii="宋体" w:hAnsi="宋体" w:cs="宋体"/>
                <w:b/>
                <w:bCs/>
                <w:sz w:val="24"/>
              </w:rPr>
            </w:pPr>
          </w:p>
        </w:tc>
        <w:tc>
          <w:tcPr>
            <w:tcW w:w="2745" w:type="dxa"/>
            <w:vAlign w:val="center"/>
          </w:tcPr>
          <w:p w14:paraId="0AA0187E">
            <w:pPr>
              <w:spacing w:line="360" w:lineRule="auto"/>
              <w:jc w:val="center"/>
              <w:rPr>
                <w:rFonts w:ascii="宋体" w:hAnsi="宋体" w:cs="宋体"/>
                <w:b/>
                <w:bCs/>
                <w:sz w:val="24"/>
              </w:rPr>
            </w:pPr>
          </w:p>
        </w:tc>
        <w:tc>
          <w:tcPr>
            <w:tcW w:w="825" w:type="dxa"/>
            <w:vAlign w:val="center"/>
          </w:tcPr>
          <w:p w14:paraId="598A144B">
            <w:pPr>
              <w:spacing w:line="360" w:lineRule="auto"/>
              <w:jc w:val="center"/>
              <w:rPr>
                <w:rFonts w:ascii="宋体" w:hAnsi="宋体" w:cs="宋体"/>
                <w:b/>
                <w:bCs/>
                <w:sz w:val="24"/>
              </w:rPr>
            </w:pPr>
          </w:p>
        </w:tc>
        <w:tc>
          <w:tcPr>
            <w:tcW w:w="2955" w:type="dxa"/>
          </w:tcPr>
          <w:p w14:paraId="0C23DDA4">
            <w:pPr>
              <w:rPr>
                <w:rFonts w:ascii="宋体" w:hAnsi="宋体" w:cs="宋体"/>
                <w:sz w:val="24"/>
              </w:rPr>
            </w:pPr>
          </w:p>
        </w:tc>
      </w:tr>
      <w:tr w14:paraId="5B88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34EDA544">
            <w:pPr>
              <w:spacing w:line="360" w:lineRule="auto"/>
              <w:jc w:val="center"/>
              <w:rPr>
                <w:rFonts w:ascii="宋体" w:hAnsi="宋体" w:cs="宋体"/>
                <w:b/>
                <w:bCs/>
                <w:sz w:val="24"/>
              </w:rPr>
            </w:pPr>
          </w:p>
        </w:tc>
        <w:tc>
          <w:tcPr>
            <w:tcW w:w="1260" w:type="dxa"/>
          </w:tcPr>
          <w:p w14:paraId="76E4E903">
            <w:pPr>
              <w:spacing w:line="360" w:lineRule="auto"/>
              <w:jc w:val="center"/>
              <w:rPr>
                <w:rFonts w:ascii="宋体" w:hAnsi="宋体" w:cs="宋体"/>
                <w:b/>
                <w:bCs/>
                <w:sz w:val="24"/>
              </w:rPr>
            </w:pPr>
          </w:p>
        </w:tc>
        <w:tc>
          <w:tcPr>
            <w:tcW w:w="855" w:type="dxa"/>
            <w:vAlign w:val="center"/>
          </w:tcPr>
          <w:p w14:paraId="44C20EC9">
            <w:pPr>
              <w:spacing w:line="360" w:lineRule="auto"/>
              <w:jc w:val="center"/>
              <w:rPr>
                <w:rFonts w:ascii="宋体" w:hAnsi="宋体" w:cs="宋体"/>
                <w:b/>
                <w:bCs/>
                <w:sz w:val="24"/>
              </w:rPr>
            </w:pPr>
          </w:p>
        </w:tc>
        <w:tc>
          <w:tcPr>
            <w:tcW w:w="2745" w:type="dxa"/>
            <w:vAlign w:val="center"/>
          </w:tcPr>
          <w:p w14:paraId="0F51FCCC">
            <w:pPr>
              <w:spacing w:line="360" w:lineRule="auto"/>
              <w:jc w:val="center"/>
              <w:rPr>
                <w:rFonts w:ascii="宋体" w:hAnsi="宋体" w:cs="宋体"/>
                <w:b/>
                <w:bCs/>
                <w:sz w:val="24"/>
              </w:rPr>
            </w:pPr>
          </w:p>
        </w:tc>
        <w:tc>
          <w:tcPr>
            <w:tcW w:w="825" w:type="dxa"/>
            <w:vAlign w:val="center"/>
          </w:tcPr>
          <w:p w14:paraId="1334A3FD">
            <w:pPr>
              <w:spacing w:line="360" w:lineRule="auto"/>
              <w:jc w:val="center"/>
              <w:rPr>
                <w:rFonts w:ascii="宋体" w:hAnsi="宋体" w:cs="宋体"/>
                <w:b/>
                <w:bCs/>
                <w:sz w:val="24"/>
              </w:rPr>
            </w:pPr>
          </w:p>
        </w:tc>
        <w:tc>
          <w:tcPr>
            <w:tcW w:w="2955" w:type="dxa"/>
          </w:tcPr>
          <w:p w14:paraId="69C4A738">
            <w:pPr>
              <w:rPr>
                <w:rFonts w:ascii="宋体" w:hAnsi="宋体" w:cs="宋体"/>
                <w:sz w:val="24"/>
              </w:rPr>
            </w:pPr>
          </w:p>
        </w:tc>
      </w:tr>
      <w:tr w14:paraId="067E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45170CE7">
            <w:pPr>
              <w:spacing w:line="360" w:lineRule="auto"/>
              <w:jc w:val="center"/>
              <w:rPr>
                <w:rFonts w:ascii="宋体" w:hAnsi="宋体" w:cs="宋体"/>
                <w:b/>
                <w:bCs/>
                <w:sz w:val="24"/>
              </w:rPr>
            </w:pPr>
          </w:p>
        </w:tc>
        <w:tc>
          <w:tcPr>
            <w:tcW w:w="1260" w:type="dxa"/>
          </w:tcPr>
          <w:p w14:paraId="77A15654">
            <w:pPr>
              <w:spacing w:line="360" w:lineRule="auto"/>
              <w:jc w:val="center"/>
              <w:rPr>
                <w:rFonts w:ascii="宋体" w:hAnsi="宋体" w:cs="宋体"/>
                <w:b/>
                <w:bCs/>
                <w:sz w:val="24"/>
              </w:rPr>
            </w:pPr>
          </w:p>
        </w:tc>
        <w:tc>
          <w:tcPr>
            <w:tcW w:w="855" w:type="dxa"/>
            <w:vAlign w:val="center"/>
          </w:tcPr>
          <w:p w14:paraId="6C334A56">
            <w:pPr>
              <w:spacing w:line="360" w:lineRule="auto"/>
              <w:jc w:val="center"/>
              <w:rPr>
                <w:rFonts w:ascii="宋体" w:hAnsi="宋体" w:cs="宋体"/>
                <w:b/>
                <w:bCs/>
                <w:sz w:val="24"/>
              </w:rPr>
            </w:pPr>
          </w:p>
        </w:tc>
        <w:tc>
          <w:tcPr>
            <w:tcW w:w="2745" w:type="dxa"/>
            <w:vAlign w:val="center"/>
          </w:tcPr>
          <w:p w14:paraId="71888BD8">
            <w:pPr>
              <w:spacing w:line="360" w:lineRule="auto"/>
              <w:jc w:val="center"/>
              <w:rPr>
                <w:rFonts w:ascii="宋体" w:hAnsi="宋体" w:cs="宋体"/>
                <w:b/>
                <w:bCs/>
                <w:sz w:val="24"/>
              </w:rPr>
            </w:pPr>
          </w:p>
        </w:tc>
        <w:tc>
          <w:tcPr>
            <w:tcW w:w="825" w:type="dxa"/>
            <w:vAlign w:val="center"/>
          </w:tcPr>
          <w:p w14:paraId="47958A89">
            <w:pPr>
              <w:spacing w:line="360" w:lineRule="auto"/>
              <w:jc w:val="center"/>
              <w:rPr>
                <w:rFonts w:ascii="宋体" w:hAnsi="宋体" w:cs="宋体"/>
                <w:b/>
                <w:bCs/>
                <w:sz w:val="24"/>
              </w:rPr>
            </w:pPr>
          </w:p>
        </w:tc>
        <w:tc>
          <w:tcPr>
            <w:tcW w:w="2955" w:type="dxa"/>
          </w:tcPr>
          <w:p w14:paraId="6AA2370A">
            <w:pPr>
              <w:rPr>
                <w:rFonts w:ascii="宋体" w:hAnsi="宋体" w:cs="宋体"/>
                <w:sz w:val="24"/>
              </w:rPr>
            </w:pPr>
          </w:p>
        </w:tc>
      </w:tr>
      <w:tr w14:paraId="1A4F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3FC89722">
            <w:pPr>
              <w:spacing w:line="360" w:lineRule="auto"/>
              <w:jc w:val="center"/>
              <w:rPr>
                <w:rFonts w:ascii="宋体" w:hAnsi="宋体" w:cs="宋体"/>
                <w:b/>
                <w:bCs/>
                <w:sz w:val="24"/>
              </w:rPr>
            </w:pPr>
          </w:p>
        </w:tc>
        <w:tc>
          <w:tcPr>
            <w:tcW w:w="1260" w:type="dxa"/>
          </w:tcPr>
          <w:p w14:paraId="7ED1554C">
            <w:pPr>
              <w:spacing w:line="360" w:lineRule="auto"/>
              <w:jc w:val="center"/>
              <w:rPr>
                <w:rFonts w:ascii="宋体" w:hAnsi="宋体" w:cs="宋体"/>
                <w:b/>
                <w:bCs/>
                <w:sz w:val="24"/>
              </w:rPr>
            </w:pPr>
          </w:p>
        </w:tc>
        <w:tc>
          <w:tcPr>
            <w:tcW w:w="855" w:type="dxa"/>
            <w:vAlign w:val="center"/>
          </w:tcPr>
          <w:p w14:paraId="7A8CBA98">
            <w:pPr>
              <w:spacing w:line="360" w:lineRule="auto"/>
              <w:jc w:val="center"/>
              <w:rPr>
                <w:rFonts w:ascii="宋体" w:hAnsi="宋体" w:cs="宋体"/>
                <w:b/>
                <w:bCs/>
                <w:sz w:val="24"/>
              </w:rPr>
            </w:pPr>
          </w:p>
        </w:tc>
        <w:tc>
          <w:tcPr>
            <w:tcW w:w="2745" w:type="dxa"/>
            <w:vAlign w:val="center"/>
          </w:tcPr>
          <w:p w14:paraId="21FD5D19">
            <w:pPr>
              <w:spacing w:line="360" w:lineRule="auto"/>
              <w:jc w:val="center"/>
              <w:rPr>
                <w:rFonts w:ascii="宋体" w:hAnsi="宋体" w:cs="宋体"/>
                <w:b/>
                <w:bCs/>
                <w:sz w:val="24"/>
              </w:rPr>
            </w:pPr>
          </w:p>
        </w:tc>
        <w:tc>
          <w:tcPr>
            <w:tcW w:w="825" w:type="dxa"/>
            <w:vAlign w:val="center"/>
          </w:tcPr>
          <w:p w14:paraId="6082366F">
            <w:pPr>
              <w:spacing w:line="360" w:lineRule="auto"/>
              <w:jc w:val="center"/>
              <w:rPr>
                <w:rFonts w:ascii="宋体" w:hAnsi="宋体" w:cs="宋体"/>
                <w:b/>
                <w:bCs/>
                <w:sz w:val="24"/>
              </w:rPr>
            </w:pPr>
          </w:p>
        </w:tc>
        <w:tc>
          <w:tcPr>
            <w:tcW w:w="2955" w:type="dxa"/>
          </w:tcPr>
          <w:p w14:paraId="562521D0">
            <w:pPr>
              <w:rPr>
                <w:rFonts w:ascii="宋体" w:hAnsi="宋体" w:cs="宋体"/>
                <w:sz w:val="24"/>
              </w:rPr>
            </w:pPr>
          </w:p>
        </w:tc>
      </w:tr>
      <w:tr w14:paraId="5722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796650BB">
            <w:pPr>
              <w:spacing w:line="360" w:lineRule="auto"/>
              <w:jc w:val="center"/>
              <w:rPr>
                <w:rFonts w:ascii="宋体" w:hAnsi="宋体" w:cs="宋体"/>
                <w:b/>
                <w:bCs/>
                <w:sz w:val="24"/>
              </w:rPr>
            </w:pPr>
          </w:p>
        </w:tc>
        <w:tc>
          <w:tcPr>
            <w:tcW w:w="1260" w:type="dxa"/>
          </w:tcPr>
          <w:p w14:paraId="11F044E9">
            <w:pPr>
              <w:spacing w:line="360" w:lineRule="auto"/>
              <w:jc w:val="center"/>
              <w:rPr>
                <w:rFonts w:ascii="宋体" w:hAnsi="宋体" w:cs="宋体"/>
                <w:b/>
                <w:bCs/>
                <w:sz w:val="24"/>
              </w:rPr>
            </w:pPr>
          </w:p>
        </w:tc>
        <w:tc>
          <w:tcPr>
            <w:tcW w:w="855" w:type="dxa"/>
            <w:vAlign w:val="center"/>
          </w:tcPr>
          <w:p w14:paraId="6544FB77">
            <w:pPr>
              <w:spacing w:line="360" w:lineRule="auto"/>
              <w:jc w:val="center"/>
              <w:rPr>
                <w:rFonts w:ascii="宋体" w:hAnsi="宋体" w:cs="宋体"/>
                <w:b/>
                <w:bCs/>
                <w:sz w:val="24"/>
              </w:rPr>
            </w:pPr>
          </w:p>
        </w:tc>
        <w:tc>
          <w:tcPr>
            <w:tcW w:w="2745" w:type="dxa"/>
            <w:vAlign w:val="center"/>
          </w:tcPr>
          <w:p w14:paraId="6C124291">
            <w:pPr>
              <w:spacing w:line="360" w:lineRule="auto"/>
              <w:jc w:val="center"/>
              <w:rPr>
                <w:rFonts w:ascii="宋体" w:hAnsi="宋体" w:cs="宋体"/>
                <w:b/>
                <w:bCs/>
                <w:sz w:val="24"/>
              </w:rPr>
            </w:pPr>
          </w:p>
        </w:tc>
        <w:tc>
          <w:tcPr>
            <w:tcW w:w="825" w:type="dxa"/>
            <w:vAlign w:val="center"/>
          </w:tcPr>
          <w:p w14:paraId="4F0ADCDA">
            <w:pPr>
              <w:spacing w:line="360" w:lineRule="auto"/>
              <w:jc w:val="center"/>
              <w:rPr>
                <w:rFonts w:ascii="宋体" w:hAnsi="宋体" w:cs="宋体"/>
                <w:b/>
                <w:bCs/>
                <w:sz w:val="24"/>
              </w:rPr>
            </w:pPr>
          </w:p>
        </w:tc>
        <w:tc>
          <w:tcPr>
            <w:tcW w:w="2955" w:type="dxa"/>
          </w:tcPr>
          <w:p w14:paraId="218C9BCB">
            <w:pPr>
              <w:rPr>
                <w:rFonts w:ascii="宋体" w:hAnsi="宋体" w:cs="宋体"/>
                <w:sz w:val="24"/>
              </w:rPr>
            </w:pPr>
          </w:p>
        </w:tc>
      </w:tr>
      <w:tr w14:paraId="6368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152BB177">
            <w:pPr>
              <w:spacing w:line="360" w:lineRule="auto"/>
              <w:jc w:val="center"/>
              <w:rPr>
                <w:rFonts w:ascii="宋体" w:hAnsi="宋体" w:cs="宋体"/>
                <w:b/>
                <w:bCs/>
                <w:sz w:val="24"/>
              </w:rPr>
            </w:pPr>
          </w:p>
        </w:tc>
        <w:tc>
          <w:tcPr>
            <w:tcW w:w="1260" w:type="dxa"/>
          </w:tcPr>
          <w:p w14:paraId="49020B71">
            <w:pPr>
              <w:spacing w:line="360" w:lineRule="auto"/>
              <w:jc w:val="center"/>
              <w:rPr>
                <w:rFonts w:ascii="宋体" w:hAnsi="宋体" w:cs="宋体"/>
                <w:b/>
                <w:bCs/>
                <w:sz w:val="24"/>
              </w:rPr>
            </w:pPr>
          </w:p>
        </w:tc>
        <w:tc>
          <w:tcPr>
            <w:tcW w:w="855" w:type="dxa"/>
            <w:vAlign w:val="center"/>
          </w:tcPr>
          <w:p w14:paraId="49E96A9C">
            <w:pPr>
              <w:spacing w:line="360" w:lineRule="auto"/>
              <w:jc w:val="center"/>
              <w:rPr>
                <w:rFonts w:ascii="宋体" w:hAnsi="宋体" w:cs="宋体"/>
                <w:b/>
                <w:bCs/>
                <w:sz w:val="24"/>
              </w:rPr>
            </w:pPr>
          </w:p>
        </w:tc>
        <w:tc>
          <w:tcPr>
            <w:tcW w:w="2745" w:type="dxa"/>
            <w:vAlign w:val="center"/>
          </w:tcPr>
          <w:p w14:paraId="0C180E53">
            <w:pPr>
              <w:spacing w:line="360" w:lineRule="auto"/>
              <w:jc w:val="center"/>
              <w:rPr>
                <w:rFonts w:ascii="宋体" w:hAnsi="宋体" w:cs="宋体"/>
                <w:b/>
                <w:bCs/>
                <w:sz w:val="24"/>
              </w:rPr>
            </w:pPr>
          </w:p>
        </w:tc>
        <w:tc>
          <w:tcPr>
            <w:tcW w:w="825" w:type="dxa"/>
            <w:vAlign w:val="center"/>
          </w:tcPr>
          <w:p w14:paraId="4479DDE9">
            <w:pPr>
              <w:spacing w:line="360" w:lineRule="auto"/>
              <w:jc w:val="center"/>
              <w:rPr>
                <w:rFonts w:ascii="宋体" w:hAnsi="宋体" w:cs="宋体"/>
                <w:b/>
                <w:bCs/>
                <w:sz w:val="24"/>
              </w:rPr>
            </w:pPr>
          </w:p>
        </w:tc>
        <w:tc>
          <w:tcPr>
            <w:tcW w:w="2955" w:type="dxa"/>
          </w:tcPr>
          <w:p w14:paraId="678B891D">
            <w:pPr>
              <w:rPr>
                <w:rFonts w:ascii="宋体" w:hAnsi="宋体" w:cs="宋体"/>
                <w:sz w:val="24"/>
              </w:rPr>
            </w:pPr>
          </w:p>
        </w:tc>
      </w:tr>
      <w:tr w14:paraId="1EF7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1F6508C4">
            <w:pPr>
              <w:spacing w:line="360" w:lineRule="auto"/>
              <w:jc w:val="center"/>
              <w:rPr>
                <w:rFonts w:ascii="宋体" w:hAnsi="宋体" w:cs="宋体"/>
                <w:b/>
                <w:bCs/>
                <w:sz w:val="24"/>
              </w:rPr>
            </w:pPr>
          </w:p>
        </w:tc>
        <w:tc>
          <w:tcPr>
            <w:tcW w:w="1260" w:type="dxa"/>
          </w:tcPr>
          <w:p w14:paraId="2EA90EDE">
            <w:pPr>
              <w:spacing w:line="360" w:lineRule="auto"/>
              <w:jc w:val="center"/>
              <w:rPr>
                <w:rFonts w:ascii="宋体" w:hAnsi="宋体" w:cs="宋体"/>
                <w:b/>
                <w:bCs/>
                <w:sz w:val="24"/>
              </w:rPr>
            </w:pPr>
          </w:p>
        </w:tc>
        <w:tc>
          <w:tcPr>
            <w:tcW w:w="855" w:type="dxa"/>
            <w:vAlign w:val="center"/>
          </w:tcPr>
          <w:p w14:paraId="653E6AC6">
            <w:pPr>
              <w:spacing w:line="360" w:lineRule="auto"/>
              <w:jc w:val="center"/>
              <w:rPr>
                <w:rFonts w:ascii="宋体" w:hAnsi="宋体" w:cs="宋体"/>
                <w:b/>
                <w:bCs/>
                <w:sz w:val="24"/>
              </w:rPr>
            </w:pPr>
          </w:p>
        </w:tc>
        <w:tc>
          <w:tcPr>
            <w:tcW w:w="2745" w:type="dxa"/>
            <w:vAlign w:val="center"/>
          </w:tcPr>
          <w:p w14:paraId="6317759A">
            <w:pPr>
              <w:spacing w:line="360" w:lineRule="auto"/>
              <w:jc w:val="center"/>
              <w:rPr>
                <w:rFonts w:ascii="宋体" w:hAnsi="宋体" w:cs="宋体"/>
                <w:b/>
                <w:bCs/>
                <w:sz w:val="24"/>
              </w:rPr>
            </w:pPr>
          </w:p>
        </w:tc>
        <w:tc>
          <w:tcPr>
            <w:tcW w:w="825" w:type="dxa"/>
            <w:vAlign w:val="center"/>
          </w:tcPr>
          <w:p w14:paraId="40E10A1A">
            <w:pPr>
              <w:spacing w:line="360" w:lineRule="auto"/>
              <w:jc w:val="center"/>
              <w:rPr>
                <w:rFonts w:ascii="宋体" w:hAnsi="宋体" w:cs="宋体"/>
                <w:b/>
                <w:bCs/>
                <w:sz w:val="24"/>
              </w:rPr>
            </w:pPr>
          </w:p>
        </w:tc>
        <w:tc>
          <w:tcPr>
            <w:tcW w:w="2955" w:type="dxa"/>
          </w:tcPr>
          <w:p w14:paraId="2B9683FE">
            <w:pPr>
              <w:rPr>
                <w:rFonts w:ascii="宋体" w:hAnsi="宋体" w:cs="宋体"/>
                <w:sz w:val="24"/>
              </w:rPr>
            </w:pPr>
          </w:p>
        </w:tc>
      </w:tr>
      <w:tr w14:paraId="6FC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5A26A3CB">
            <w:pPr>
              <w:spacing w:line="360" w:lineRule="auto"/>
              <w:jc w:val="center"/>
              <w:rPr>
                <w:rFonts w:ascii="宋体" w:hAnsi="宋体" w:cs="宋体"/>
                <w:b/>
                <w:bCs/>
                <w:sz w:val="24"/>
              </w:rPr>
            </w:pPr>
          </w:p>
        </w:tc>
        <w:tc>
          <w:tcPr>
            <w:tcW w:w="1260" w:type="dxa"/>
          </w:tcPr>
          <w:p w14:paraId="380DFE8B">
            <w:pPr>
              <w:spacing w:line="360" w:lineRule="auto"/>
              <w:jc w:val="center"/>
              <w:rPr>
                <w:rFonts w:ascii="宋体" w:hAnsi="宋体" w:cs="宋体"/>
                <w:b/>
                <w:bCs/>
                <w:sz w:val="24"/>
              </w:rPr>
            </w:pPr>
          </w:p>
        </w:tc>
        <w:tc>
          <w:tcPr>
            <w:tcW w:w="855" w:type="dxa"/>
            <w:vAlign w:val="center"/>
          </w:tcPr>
          <w:p w14:paraId="455C7183">
            <w:pPr>
              <w:spacing w:line="360" w:lineRule="auto"/>
              <w:jc w:val="center"/>
              <w:rPr>
                <w:rFonts w:ascii="宋体" w:hAnsi="宋体" w:cs="宋体"/>
                <w:b/>
                <w:bCs/>
                <w:sz w:val="24"/>
              </w:rPr>
            </w:pPr>
          </w:p>
        </w:tc>
        <w:tc>
          <w:tcPr>
            <w:tcW w:w="2745" w:type="dxa"/>
            <w:vAlign w:val="center"/>
          </w:tcPr>
          <w:p w14:paraId="795F634A">
            <w:pPr>
              <w:spacing w:line="360" w:lineRule="auto"/>
              <w:jc w:val="center"/>
              <w:rPr>
                <w:rFonts w:ascii="宋体" w:hAnsi="宋体" w:cs="宋体"/>
                <w:b/>
                <w:bCs/>
                <w:sz w:val="24"/>
              </w:rPr>
            </w:pPr>
          </w:p>
        </w:tc>
        <w:tc>
          <w:tcPr>
            <w:tcW w:w="825" w:type="dxa"/>
            <w:vAlign w:val="center"/>
          </w:tcPr>
          <w:p w14:paraId="05D0ED5E">
            <w:pPr>
              <w:spacing w:line="360" w:lineRule="auto"/>
              <w:jc w:val="center"/>
              <w:rPr>
                <w:rFonts w:ascii="宋体" w:hAnsi="宋体" w:cs="宋体"/>
                <w:b/>
                <w:bCs/>
                <w:sz w:val="24"/>
              </w:rPr>
            </w:pPr>
          </w:p>
        </w:tc>
        <w:tc>
          <w:tcPr>
            <w:tcW w:w="2955" w:type="dxa"/>
          </w:tcPr>
          <w:p w14:paraId="2A0BB6D4">
            <w:pPr>
              <w:rPr>
                <w:rFonts w:ascii="宋体" w:hAnsi="宋体" w:cs="宋体"/>
                <w:sz w:val="24"/>
              </w:rPr>
            </w:pPr>
          </w:p>
        </w:tc>
      </w:tr>
      <w:tr w14:paraId="68ED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Align w:val="center"/>
          </w:tcPr>
          <w:p w14:paraId="04B013D6">
            <w:pPr>
              <w:spacing w:line="360" w:lineRule="auto"/>
              <w:jc w:val="center"/>
              <w:rPr>
                <w:rFonts w:ascii="宋体" w:hAnsi="宋体" w:cs="宋体"/>
                <w:b/>
                <w:bCs/>
                <w:sz w:val="24"/>
              </w:rPr>
            </w:pPr>
          </w:p>
        </w:tc>
        <w:tc>
          <w:tcPr>
            <w:tcW w:w="1260" w:type="dxa"/>
          </w:tcPr>
          <w:p w14:paraId="1A1A984E">
            <w:pPr>
              <w:spacing w:line="360" w:lineRule="auto"/>
              <w:jc w:val="center"/>
              <w:rPr>
                <w:rFonts w:ascii="宋体" w:hAnsi="宋体" w:cs="宋体"/>
                <w:b/>
                <w:bCs/>
                <w:sz w:val="24"/>
              </w:rPr>
            </w:pPr>
          </w:p>
        </w:tc>
        <w:tc>
          <w:tcPr>
            <w:tcW w:w="855" w:type="dxa"/>
            <w:vAlign w:val="center"/>
          </w:tcPr>
          <w:p w14:paraId="6BB96D30">
            <w:pPr>
              <w:spacing w:line="360" w:lineRule="auto"/>
              <w:jc w:val="center"/>
              <w:rPr>
                <w:rFonts w:ascii="宋体" w:hAnsi="宋体" w:cs="宋体"/>
                <w:b/>
                <w:bCs/>
                <w:sz w:val="24"/>
              </w:rPr>
            </w:pPr>
          </w:p>
        </w:tc>
        <w:tc>
          <w:tcPr>
            <w:tcW w:w="2745" w:type="dxa"/>
            <w:vAlign w:val="center"/>
          </w:tcPr>
          <w:p w14:paraId="164664DE">
            <w:pPr>
              <w:spacing w:line="360" w:lineRule="auto"/>
              <w:jc w:val="center"/>
              <w:rPr>
                <w:rFonts w:ascii="宋体" w:hAnsi="宋体" w:cs="宋体"/>
                <w:b/>
                <w:bCs/>
                <w:sz w:val="24"/>
              </w:rPr>
            </w:pPr>
          </w:p>
        </w:tc>
        <w:tc>
          <w:tcPr>
            <w:tcW w:w="825" w:type="dxa"/>
            <w:vAlign w:val="center"/>
          </w:tcPr>
          <w:p w14:paraId="4C091443">
            <w:pPr>
              <w:spacing w:line="360" w:lineRule="auto"/>
              <w:jc w:val="center"/>
              <w:rPr>
                <w:rFonts w:ascii="宋体" w:hAnsi="宋体" w:cs="宋体"/>
                <w:b/>
                <w:bCs/>
                <w:sz w:val="24"/>
              </w:rPr>
            </w:pPr>
          </w:p>
        </w:tc>
        <w:tc>
          <w:tcPr>
            <w:tcW w:w="2955" w:type="dxa"/>
          </w:tcPr>
          <w:p w14:paraId="00DC5B41">
            <w:pPr>
              <w:rPr>
                <w:rFonts w:ascii="宋体" w:hAnsi="宋体" w:cs="宋体"/>
                <w:sz w:val="24"/>
              </w:rPr>
            </w:pPr>
          </w:p>
        </w:tc>
      </w:tr>
    </w:tbl>
    <w:p w14:paraId="35267541">
      <w:pPr>
        <w:pStyle w:val="19"/>
        <w:spacing w:line="400" w:lineRule="atLeast"/>
        <w:rPr>
          <w:rFonts w:hAnsi="宋体" w:cs="宋体"/>
          <w:sz w:val="24"/>
        </w:rPr>
      </w:pPr>
      <w:r>
        <w:rPr>
          <w:rFonts w:hint="eastAsia" w:hAnsi="宋体" w:cs="宋体"/>
          <w:sz w:val="24"/>
        </w:rPr>
        <w:t>投标方代表签字：____________________        职  务:____________</w:t>
      </w:r>
    </w:p>
    <w:p w14:paraId="25C8B54F">
      <w:pPr>
        <w:spacing w:line="360" w:lineRule="auto"/>
        <w:rPr>
          <w:rFonts w:ascii="宋体" w:hAnsi="宋体" w:cs="宋体"/>
          <w:sz w:val="24"/>
        </w:rPr>
      </w:pPr>
      <w:r>
        <w:rPr>
          <w:rFonts w:hint="eastAsia" w:ascii="宋体" w:hAnsi="宋体" w:cs="宋体"/>
          <w:sz w:val="24"/>
        </w:rPr>
        <w:t>日  期:________________</w:t>
      </w:r>
    </w:p>
    <w:p w14:paraId="33352923">
      <w:pPr>
        <w:ind w:firstLine="240" w:firstLineChars="100"/>
        <w:rPr>
          <w:rFonts w:ascii="宋体" w:hAnsi="宋体" w:cs="宋体"/>
        </w:rPr>
      </w:pPr>
      <w:r>
        <w:rPr>
          <w:rFonts w:hint="eastAsia" w:ascii="宋体" w:hAnsi="宋体" w:cs="宋体"/>
          <w:sz w:val="24"/>
        </w:rPr>
        <w:t>备注:</w:t>
      </w:r>
      <w:r>
        <w:rPr>
          <w:rFonts w:hint="eastAsia" w:ascii="宋体" w:hAnsi="宋体" w:cs="宋体"/>
          <w:b/>
          <w:bCs/>
        </w:rPr>
        <w:t xml:space="preserve"> </w:t>
      </w:r>
    </w:p>
    <w:p w14:paraId="4D36854A">
      <w:pPr>
        <w:ind w:firstLine="840" w:firstLineChars="400"/>
        <w:rPr>
          <w:rFonts w:ascii="宋体" w:hAnsi="宋体" w:cs="宋体"/>
        </w:rPr>
      </w:pPr>
      <w:r>
        <w:rPr>
          <w:rFonts w:hint="eastAsia" w:ascii="宋体" w:hAnsi="宋体" w:cs="宋体"/>
          <w:lang w:val="en-US" w:eastAsia="zh-CN"/>
        </w:rPr>
        <w:t>1</w:t>
      </w:r>
      <w:r>
        <w:rPr>
          <w:rFonts w:hint="eastAsia" w:ascii="宋体" w:hAnsi="宋体" w:cs="宋体"/>
        </w:rPr>
        <w:t>、“规格及技术参数”栏中必须写明所投货物化学成分、物理性能参数等技术参数。</w:t>
      </w:r>
    </w:p>
    <w:p w14:paraId="4E6D974C">
      <w:pPr>
        <w:ind w:firstLine="840" w:firstLineChars="400"/>
        <w:rPr>
          <w:rFonts w:ascii="宋体" w:hAnsi="宋体" w:cs="宋体"/>
          <w:b/>
          <w:bCs/>
          <w:sz w:val="44"/>
          <w:szCs w:val="44"/>
        </w:rPr>
      </w:pPr>
      <w:r>
        <w:rPr>
          <w:rFonts w:hint="eastAsia" w:ascii="宋体" w:hAnsi="宋体" w:cs="宋体"/>
          <w:lang w:val="en-US" w:eastAsia="zh-CN"/>
        </w:rPr>
        <w:t>2</w:t>
      </w:r>
      <w:r>
        <w:rPr>
          <w:rFonts w:hint="eastAsia" w:ascii="宋体" w:hAnsi="宋体" w:cs="宋体"/>
        </w:rPr>
        <w:t>、此表可在不改变格式的情况下自行制作。</w:t>
      </w:r>
    </w:p>
    <w:p w14:paraId="28B04A0F">
      <w:pPr>
        <w:pStyle w:val="66"/>
      </w:pPr>
    </w:p>
    <w:p w14:paraId="7181C1D0">
      <w:pPr>
        <w:pStyle w:val="19"/>
        <w:spacing w:line="480" w:lineRule="exact"/>
        <w:jc w:val="center"/>
      </w:pPr>
      <w:r>
        <w:br w:type="page"/>
      </w:r>
    </w:p>
    <w:p w14:paraId="4453A44A">
      <w:pPr>
        <w:spacing w:line="360" w:lineRule="auto"/>
        <w:jc w:val="right"/>
        <w:rPr>
          <w:rFonts w:ascii="宋体"/>
          <w:sz w:val="24"/>
        </w:rPr>
      </w:pPr>
    </w:p>
    <w:p w14:paraId="62477F97">
      <w:pPr>
        <w:spacing w:line="360" w:lineRule="auto"/>
        <w:ind w:firstLine="2633" w:firstLineChars="596"/>
        <w:rPr>
          <w:rFonts w:ascii="宋体" w:hAnsi="宋体"/>
          <w:b/>
          <w:sz w:val="36"/>
        </w:rPr>
      </w:pPr>
      <w:r>
        <w:rPr>
          <w:rFonts w:hint="eastAsia" w:ascii="宋体"/>
          <w:b/>
          <w:bCs/>
          <w:sz w:val="44"/>
          <w:szCs w:val="44"/>
        </w:rPr>
        <w:t>产品质量保证承诺书</w:t>
      </w:r>
    </w:p>
    <w:p w14:paraId="6BB86910">
      <w:pPr>
        <w:spacing w:line="360" w:lineRule="auto"/>
        <w:rPr>
          <w:rFonts w:ascii="宋体" w:hAnsi="宋体"/>
          <w:b/>
          <w:sz w:val="24"/>
        </w:rPr>
      </w:pPr>
      <w:r>
        <w:rPr>
          <w:rFonts w:hint="eastAsia" w:ascii="宋体" w:hAnsi="宋体"/>
          <w:b/>
          <w:sz w:val="24"/>
        </w:rPr>
        <w:t xml:space="preserve"> </w:t>
      </w:r>
    </w:p>
    <w:p w14:paraId="2D268325">
      <w:pPr>
        <w:pStyle w:val="33"/>
        <w:snapToGrid w:val="0"/>
        <w:spacing w:line="360" w:lineRule="auto"/>
        <w:rPr>
          <w:szCs w:val="18"/>
        </w:rPr>
      </w:pPr>
      <w:r>
        <w:rPr>
          <w:rFonts w:hint="eastAsia"/>
          <w:b/>
        </w:rPr>
        <w:t xml:space="preserve">    </w:t>
      </w:r>
      <w:r>
        <w:rPr>
          <w:szCs w:val="18"/>
        </w:rPr>
        <w:t>根据贵方为</w:t>
      </w:r>
      <w:r>
        <w:rPr>
          <w:rFonts w:hint="eastAsia"/>
          <w:szCs w:val="18"/>
          <w:u w:val="single"/>
        </w:rPr>
        <w:t xml:space="preserve">      </w:t>
      </w:r>
      <w:r>
        <w:rPr>
          <w:szCs w:val="18"/>
        </w:rPr>
        <w:t>年</w:t>
      </w:r>
      <w:r>
        <w:rPr>
          <w:rFonts w:hint="eastAsia"/>
          <w:szCs w:val="18"/>
        </w:rPr>
        <w:t xml:space="preserve"> </w:t>
      </w:r>
      <w:r>
        <w:rPr>
          <w:rFonts w:hint="eastAsia"/>
          <w:szCs w:val="18"/>
          <w:u w:val="single"/>
        </w:rPr>
        <w:t xml:space="preserve">   </w:t>
      </w:r>
      <w:r>
        <w:rPr>
          <w:szCs w:val="18"/>
        </w:rPr>
        <w:t>月</w:t>
      </w:r>
      <w:r>
        <w:rPr>
          <w:rFonts w:hint="eastAsia"/>
          <w:szCs w:val="18"/>
          <w:u w:val="single"/>
        </w:rPr>
        <w:t xml:space="preserve">   </w:t>
      </w:r>
      <w:r>
        <w:rPr>
          <w:rFonts w:hint="eastAsia"/>
          <w:szCs w:val="18"/>
        </w:rPr>
        <w:t>日</w:t>
      </w:r>
      <w:r>
        <w:rPr>
          <w:rFonts w:hint="eastAsia"/>
          <w:szCs w:val="18"/>
          <w:u w:val="single"/>
        </w:rPr>
        <w:t xml:space="preserve">          </w:t>
      </w:r>
      <w:r>
        <w:rPr>
          <w:szCs w:val="18"/>
        </w:rPr>
        <w:t>（</w:t>
      </w:r>
      <w:r>
        <w:rPr>
          <w:rFonts w:hint="eastAsia"/>
          <w:szCs w:val="18"/>
        </w:rPr>
        <w:t>采购</w:t>
      </w:r>
      <w:r>
        <w:rPr>
          <w:szCs w:val="18"/>
        </w:rPr>
        <w:t>编号）招标项目的投标邀请，我</w:t>
      </w:r>
      <w:r>
        <w:rPr>
          <w:rFonts w:hint="eastAsia"/>
          <w:szCs w:val="18"/>
        </w:rPr>
        <w:t>方</w:t>
      </w:r>
      <w:r>
        <w:rPr>
          <w:szCs w:val="18"/>
        </w:rPr>
        <w:t>对该项目做出如下</w:t>
      </w:r>
      <w:r>
        <w:rPr>
          <w:rFonts w:hint="eastAsia"/>
          <w:szCs w:val="18"/>
        </w:rPr>
        <w:t>产品质量</w:t>
      </w:r>
      <w:r>
        <w:rPr>
          <w:szCs w:val="18"/>
        </w:rPr>
        <w:t>承诺：</w:t>
      </w:r>
    </w:p>
    <w:p w14:paraId="131A6E92">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技术规范及相关产品标准：</w:t>
      </w:r>
    </w:p>
    <w:p w14:paraId="660C3B0B">
      <w:pPr>
        <w:spacing w:line="360" w:lineRule="auto"/>
        <w:rPr>
          <w:rFonts w:ascii="宋体" w:hAnsi="宋体"/>
          <w:bCs/>
          <w:sz w:val="24"/>
        </w:rPr>
      </w:pPr>
    </w:p>
    <w:p w14:paraId="14E898C9">
      <w:pPr>
        <w:spacing w:line="360" w:lineRule="auto"/>
        <w:rPr>
          <w:rFonts w:ascii="宋体" w:hAnsi="宋体"/>
          <w:bCs/>
          <w:sz w:val="24"/>
        </w:rPr>
      </w:pPr>
    </w:p>
    <w:p w14:paraId="56D0DB68">
      <w:pPr>
        <w:numPr>
          <w:ilvl w:val="0"/>
          <w:numId w:val="7"/>
        </w:numPr>
        <w:tabs>
          <w:tab w:val="left" w:pos="840"/>
          <w:tab w:val="clear" w:pos="786"/>
        </w:tabs>
        <w:spacing w:line="360" w:lineRule="auto"/>
        <w:ind w:left="840"/>
        <w:rPr>
          <w:sz w:val="24"/>
          <w:szCs w:val="18"/>
        </w:rPr>
      </w:pPr>
      <w:r>
        <w:rPr>
          <w:sz w:val="24"/>
          <w:szCs w:val="18"/>
        </w:rPr>
        <w:t>产品都属于厂家原装正品产品</w:t>
      </w:r>
      <w:r>
        <w:rPr>
          <w:rFonts w:hint="eastAsia"/>
          <w:sz w:val="24"/>
          <w:szCs w:val="18"/>
        </w:rPr>
        <w:t>：</w:t>
      </w:r>
    </w:p>
    <w:p w14:paraId="656304D5">
      <w:pPr>
        <w:spacing w:line="360" w:lineRule="auto"/>
        <w:rPr>
          <w:rFonts w:ascii="宋体" w:hAnsi="宋体"/>
          <w:bCs/>
          <w:sz w:val="24"/>
        </w:rPr>
      </w:pPr>
    </w:p>
    <w:p w14:paraId="0111033B">
      <w:pPr>
        <w:spacing w:line="360" w:lineRule="auto"/>
        <w:rPr>
          <w:rFonts w:ascii="宋体" w:hAnsi="宋体"/>
          <w:bCs/>
          <w:sz w:val="24"/>
        </w:rPr>
      </w:pPr>
    </w:p>
    <w:p w14:paraId="7E0E7D37">
      <w:pPr>
        <w:spacing w:line="360" w:lineRule="auto"/>
        <w:rPr>
          <w:rFonts w:ascii="宋体" w:hAnsi="宋体"/>
          <w:bCs/>
          <w:sz w:val="24"/>
        </w:rPr>
      </w:pPr>
    </w:p>
    <w:p w14:paraId="6CF51C7E">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产品“三包”内容：</w:t>
      </w:r>
    </w:p>
    <w:p w14:paraId="6EA9BF8D">
      <w:pPr>
        <w:spacing w:line="360" w:lineRule="auto"/>
        <w:rPr>
          <w:rFonts w:ascii="宋体" w:hAnsi="宋体"/>
          <w:bCs/>
          <w:sz w:val="24"/>
        </w:rPr>
      </w:pPr>
    </w:p>
    <w:p w14:paraId="24A9E041">
      <w:pPr>
        <w:spacing w:line="360" w:lineRule="auto"/>
        <w:rPr>
          <w:rFonts w:ascii="宋体" w:hAnsi="宋体"/>
          <w:bCs/>
          <w:sz w:val="24"/>
        </w:rPr>
      </w:pPr>
    </w:p>
    <w:p w14:paraId="2C229E8A">
      <w:pPr>
        <w:spacing w:line="360" w:lineRule="auto"/>
        <w:rPr>
          <w:rFonts w:ascii="宋体" w:hAnsi="宋体"/>
          <w:bCs/>
          <w:sz w:val="24"/>
        </w:rPr>
      </w:pPr>
    </w:p>
    <w:p w14:paraId="47E79250">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质量问题的处理：</w:t>
      </w:r>
    </w:p>
    <w:p w14:paraId="4FDAC825">
      <w:pPr>
        <w:spacing w:line="360" w:lineRule="auto"/>
        <w:rPr>
          <w:rFonts w:ascii="宋体" w:hAnsi="宋体"/>
          <w:bCs/>
          <w:sz w:val="24"/>
        </w:rPr>
      </w:pPr>
    </w:p>
    <w:p w14:paraId="40CA69BA">
      <w:pPr>
        <w:spacing w:line="360" w:lineRule="auto"/>
        <w:rPr>
          <w:rFonts w:ascii="宋体" w:hAnsi="宋体"/>
          <w:bCs/>
          <w:sz w:val="24"/>
        </w:rPr>
      </w:pPr>
    </w:p>
    <w:p w14:paraId="52D04FE1">
      <w:pPr>
        <w:spacing w:line="360" w:lineRule="auto"/>
        <w:rPr>
          <w:rFonts w:ascii="宋体" w:hAnsi="宋体"/>
          <w:bCs/>
          <w:sz w:val="24"/>
        </w:rPr>
      </w:pPr>
    </w:p>
    <w:p w14:paraId="0E32C78B">
      <w:pPr>
        <w:numPr>
          <w:ilvl w:val="0"/>
          <w:numId w:val="7"/>
        </w:numPr>
        <w:tabs>
          <w:tab w:val="left" w:pos="840"/>
          <w:tab w:val="clear" w:pos="786"/>
        </w:tabs>
        <w:spacing w:line="360" w:lineRule="auto"/>
        <w:ind w:left="840"/>
        <w:rPr>
          <w:rFonts w:ascii="宋体" w:hAnsi="宋体"/>
          <w:bCs/>
          <w:sz w:val="24"/>
        </w:rPr>
      </w:pPr>
      <w:r>
        <w:rPr>
          <w:rFonts w:hint="eastAsia" w:ascii="宋体" w:hAnsi="宋体"/>
          <w:bCs/>
          <w:sz w:val="24"/>
        </w:rPr>
        <w:t>质量投诉的处理：</w:t>
      </w:r>
    </w:p>
    <w:p w14:paraId="06BAA93D">
      <w:pPr>
        <w:spacing w:line="360" w:lineRule="auto"/>
        <w:jc w:val="center"/>
        <w:rPr>
          <w:rFonts w:ascii="宋体" w:hAnsi="宋体"/>
          <w:b/>
          <w:sz w:val="24"/>
        </w:rPr>
      </w:pPr>
    </w:p>
    <w:p w14:paraId="705444F6">
      <w:pPr>
        <w:spacing w:line="360" w:lineRule="auto"/>
        <w:jc w:val="center"/>
        <w:rPr>
          <w:rFonts w:ascii="宋体" w:hAnsi="宋体"/>
          <w:b/>
          <w:sz w:val="24"/>
        </w:rPr>
      </w:pPr>
    </w:p>
    <w:p w14:paraId="3B361687">
      <w:pPr>
        <w:spacing w:line="360" w:lineRule="auto"/>
        <w:rPr>
          <w:rFonts w:ascii="宋体" w:hAnsi="宋体"/>
          <w:b/>
          <w:sz w:val="24"/>
        </w:rPr>
      </w:pPr>
      <w:r>
        <w:rPr>
          <w:rFonts w:hint="eastAsia" w:ascii="宋体" w:hAnsi="宋体"/>
          <w:bCs/>
          <w:sz w:val="24"/>
        </w:rPr>
        <w:t xml:space="preserve">    6、其它：</w:t>
      </w:r>
    </w:p>
    <w:p w14:paraId="11B30EF0">
      <w:pPr>
        <w:spacing w:line="360" w:lineRule="auto"/>
        <w:jc w:val="center"/>
        <w:rPr>
          <w:rFonts w:ascii="宋体" w:hAnsi="宋体"/>
          <w:b/>
          <w:sz w:val="24"/>
        </w:rPr>
      </w:pPr>
    </w:p>
    <w:p w14:paraId="4B7CAF08">
      <w:pPr>
        <w:spacing w:line="360" w:lineRule="auto"/>
        <w:jc w:val="center"/>
        <w:rPr>
          <w:rFonts w:ascii="宋体" w:hAnsi="宋体"/>
          <w:b/>
          <w:sz w:val="24"/>
        </w:rPr>
      </w:pPr>
    </w:p>
    <w:p w14:paraId="42EED8C2">
      <w:pPr>
        <w:spacing w:line="360" w:lineRule="auto"/>
        <w:jc w:val="right"/>
        <w:rPr>
          <w:rFonts w:ascii="宋体" w:hAnsi="宋体"/>
          <w:b/>
          <w:sz w:val="24"/>
        </w:rPr>
      </w:pPr>
      <w:r>
        <w:rPr>
          <w:rFonts w:hint="eastAsia" w:ascii="宋体" w:hAnsi="宋体"/>
          <w:b/>
          <w:sz w:val="24"/>
        </w:rPr>
        <w:t>企业名称（盖章）:________________________</w:t>
      </w:r>
    </w:p>
    <w:p w14:paraId="2E2690F0">
      <w:pPr>
        <w:spacing w:line="360" w:lineRule="auto"/>
        <w:jc w:val="right"/>
        <w:rPr>
          <w:rFonts w:ascii="宋体" w:hAnsi="宋体"/>
          <w:b/>
          <w:sz w:val="24"/>
        </w:rPr>
      </w:pPr>
      <w:r>
        <w:rPr>
          <w:rFonts w:hint="eastAsia" w:ascii="宋体" w:hAnsi="宋体"/>
          <w:b/>
          <w:sz w:val="24"/>
        </w:rPr>
        <w:t>签字代表：________________________</w:t>
      </w:r>
    </w:p>
    <w:p w14:paraId="40A3D024">
      <w:pPr>
        <w:spacing w:line="360" w:lineRule="auto"/>
        <w:jc w:val="right"/>
        <w:outlineLvl w:val="2"/>
        <w:rPr>
          <w:rFonts w:hint="eastAsia" w:hAnsi="宋体"/>
          <w:b/>
          <w:sz w:val="24"/>
        </w:rPr>
      </w:pPr>
      <w:r>
        <w:rPr>
          <w:rFonts w:hint="eastAsia" w:hAnsi="宋体"/>
          <w:b/>
          <w:sz w:val="24"/>
        </w:rPr>
        <w:t>年        月        日</w:t>
      </w:r>
    </w:p>
    <w:p w14:paraId="62CFE38D">
      <w:pPr>
        <w:spacing w:line="360" w:lineRule="auto"/>
        <w:jc w:val="center"/>
        <w:outlineLvl w:val="2"/>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规范偏离表</w:t>
      </w:r>
    </w:p>
    <w:p w14:paraId="2F0B58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56D9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C405D5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B068FB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632AE9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招标文件</w:t>
            </w:r>
          </w:p>
          <w:p w14:paraId="12C0505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2A10DAA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投标文件</w:t>
            </w:r>
          </w:p>
          <w:p w14:paraId="700205D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605FC6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偏离情况</w:t>
            </w:r>
          </w:p>
          <w:p w14:paraId="6B71103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详细说明</w:t>
            </w:r>
          </w:p>
        </w:tc>
      </w:tr>
      <w:tr w14:paraId="4019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FB188FC">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6DFA292">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8595E2B">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F27BDAD">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7D99ECF">
            <w:pPr>
              <w:spacing w:line="360" w:lineRule="auto"/>
              <w:rPr>
                <w:rFonts w:hint="eastAsia" w:ascii="宋体" w:hAnsi="宋体" w:cs="宋体"/>
                <w:color w:val="auto"/>
                <w:sz w:val="24"/>
                <w:highlight w:val="none"/>
              </w:rPr>
            </w:pPr>
          </w:p>
        </w:tc>
      </w:tr>
      <w:tr w14:paraId="447B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52CA129">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C4F5D7E">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71F5D59">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32522D5">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0176D6C">
            <w:pPr>
              <w:spacing w:line="360" w:lineRule="auto"/>
              <w:rPr>
                <w:rFonts w:hint="eastAsia" w:ascii="宋体" w:hAnsi="宋体" w:cs="宋体"/>
                <w:color w:val="auto"/>
                <w:sz w:val="24"/>
                <w:highlight w:val="none"/>
              </w:rPr>
            </w:pPr>
          </w:p>
        </w:tc>
      </w:tr>
      <w:tr w14:paraId="3C42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C742D94">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C21BDC0">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B37D1DA">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593CA82">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3F1B9B5">
            <w:pPr>
              <w:spacing w:line="360" w:lineRule="auto"/>
              <w:rPr>
                <w:rFonts w:hint="eastAsia" w:ascii="宋体" w:hAnsi="宋体" w:cs="宋体"/>
                <w:color w:val="auto"/>
                <w:sz w:val="24"/>
                <w:highlight w:val="none"/>
              </w:rPr>
            </w:pPr>
          </w:p>
        </w:tc>
      </w:tr>
      <w:tr w14:paraId="5C91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FA3F997">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94DA20F">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ABA232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5F1B7B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A2475A0">
            <w:pPr>
              <w:spacing w:line="360" w:lineRule="auto"/>
              <w:rPr>
                <w:rFonts w:hint="eastAsia" w:ascii="宋体" w:hAnsi="宋体" w:cs="宋体"/>
                <w:color w:val="auto"/>
                <w:sz w:val="24"/>
                <w:highlight w:val="none"/>
              </w:rPr>
            </w:pPr>
          </w:p>
        </w:tc>
      </w:tr>
      <w:tr w14:paraId="5FA6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EAB1CB5">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47763FF">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111FDB9">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F4A1A9B">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8A75141">
            <w:pPr>
              <w:spacing w:line="360" w:lineRule="auto"/>
              <w:rPr>
                <w:rFonts w:hint="eastAsia" w:ascii="宋体" w:hAnsi="宋体" w:cs="宋体"/>
                <w:color w:val="auto"/>
                <w:sz w:val="24"/>
                <w:highlight w:val="none"/>
              </w:rPr>
            </w:pPr>
          </w:p>
        </w:tc>
      </w:tr>
      <w:tr w14:paraId="7C6A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E5AEC7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F8EC295">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37D6C84">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B55BBA9">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E1C19F9">
            <w:pPr>
              <w:spacing w:line="360" w:lineRule="auto"/>
              <w:rPr>
                <w:rFonts w:hint="eastAsia" w:ascii="宋体" w:hAnsi="宋体" w:cs="宋体"/>
                <w:color w:val="auto"/>
                <w:sz w:val="24"/>
                <w:highlight w:val="none"/>
              </w:rPr>
            </w:pPr>
          </w:p>
        </w:tc>
      </w:tr>
      <w:tr w14:paraId="541B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8129783">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19F7315">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1CAEA68">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F7667D8">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C756866">
            <w:pPr>
              <w:spacing w:line="360" w:lineRule="auto"/>
              <w:rPr>
                <w:rFonts w:hint="eastAsia" w:ascii="宋体" w:hAnsi="宋体" w:cs="宋体"/>
                <w:color w:val="auto"/>
                <w:sz w:val="24"/>
                <w:highlight w:val="none"/>
              </w:rPr>
            </w:pPr>
          </w:p>
        </w:tc>
      </w:tr>
      <w:tr w14:paraId="029F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6DE38ED">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2076EE4">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AEF3142">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43B59A3">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ABC9C8A">
            <w:pPr>
              <w:spacing w:line="360" w:lineRule="auto"/>
              <w:rPr>
                <w:rFonts w:hint="eastAsia" w:ascii="宋体" w:hAnsi="宋体" w:cs="宋体"/>
                <w:color w:val="auto"/>
                <w:sz w:val="24"/>
                <w:highlight w:val="none"/>
              </w:rPr>
            </w:pPr>
          </w:p>
        </w:tc>
      </w:tr>
      <w:tr w14:paraId="2DF2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3E29C81">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7E06CFE">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63ABD0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A5C319C">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C764C2D">
            <w:pPr>
              <w:spacing w:line="360" w:lineRule="auto"/>
              <w:rPr>
                <w:rFonts w:hint="eastAsia" w:ascii="宋体" w:hAnsi="宋体" w:cs="宋体"/>
                <w:color w:val="auto"/>
                <w:sz w:val="24"/>
                <w:highlight w:val="none"/>
              </w:rPr>
            </w:pPr>
          </w:p>
        </w:tc>
      </w:tr>
      <w:tr w14:paraId="60B0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383CA353">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0D48D1B">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33C7B0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CEBBFB2">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B2D93A2">
            <w:pPr>
              <w:spacing w:line="360" w:lineRule="auto"/>
              <w:rPr>
                <w:rFonts w:hint="eastAsia" w:ascii="宋体" w:hAnsi="宋体" w:cs="宋体"/>
                <w:color w:val="auto"/>
                <w:sz w:val="24"/>
                <w:highlight w:val="none"/>
              </w:rPr>
            </w:pPr>
          </w:p>
        </w:tc>
      </w:tr>
      <w:tr w14:paraId="4407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E8325C3">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F3BE663">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8FB1EF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8A7A43F">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AFBC74D">
            <w:pPr>
              <w:spacing w:line="360" w:lineRule="auto"/>
              <w:rPr>
                <w:rFonts w:hint="eastAsia" w:ascii="宋体" w:hAnsi="宋体" w:cs="宋体"/>
                <w:color w:val="auto"/>
                <w:sz w:val="24"/>
                <w:highlight w:val="none"/>
              </w:rPr>
            </w:pPr>
          </w:p>
        </w:tc>
      </w:tr>
      <w:tr w14:paraId="2004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ED69734">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CA75D52">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AB22893">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231B725">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8C7C49">
            <w:pPr>
              <w:spacing w:line="360" w:lineRule="auto"/>
              <w:rPr>
                <w:rFonts w:hint="eastAsia" w:ascii="宋体" w:hAnsi="宋体" w:cs="宋体"/>
                <w:color w:val="auto"/>
                <w:sz w:val="24"/>
                <w:highlight w:val="none"/>
              </w:rPr>
            </w:pPr>
          </w:p>
        </w:tc>
      </w:tr>
      <w:tr w14:paraId="5A23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B9A47C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70F779D">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6FFBA6B">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24E1D2E">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FE5B7C4">
            <w:pPr>
              <w:spacing w:line="360" w:lineRule="auto"/>
              <w:rPr>
                <w:rFonts w:hint="eastAsia" w:ascii="宋体" w:hAnsi="宋体" w:cs="宋体"/>
                <w:color w:val="auto"/>
                <w:sz w:val="24"/>
                <w:highlight w:val="none"/>
              </w:rPr>
            </w:pPr>
          </w:p>
        </w:tc>
      </w:tr>
      <w:tr w14:paraId="3E76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1A5DA88">
            <w:pPr>
              <w:spacing w:line="360" w:lineRule="auto"/>
              <w:rPr>
                <w:rFonts w:hint="eastAsia" w:ascii="宋体" w:hAnsi="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E16CFF5">
            <w:pPr>
              <w:spacing w:line="360" w:lineRule="auto"/>
              <w:rPr>
                <w:rFonts w:hint="eastAsia" w:ascii="宋体" w:hAnsi="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8988005">
            <w:pPr>
              <w:spacing w:line="360" w:lineRule="auto"/>
              <w:rPr>
                <w:rFonts w:hint="eastAsia" w:ascii="宋体" w:hAnsi="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B22E641">
            <w:pPr>
              <w:spacing w:line="360" w:lineRule="auto"/>
              <w:rPr>
                <w:rFonts w:hint="eastAsia" w:ascii="宋体" w:hAnsi="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5E1DD9">
            <w:pPr>
              <w:spacing w:line="360" w:lineRule="auto"/>
              <w:rPr>
                <w:rFonts w:hint="eastAsia" w:ascii="宋体" w:hAnsi="宋体" w:cs="宋体"/>
                <w:color w:val="auto"/>
                <w:sz w:val="24"/>
                <w:highlight w:val="none"/>
              </w:rPr>
            </w:pPr>
          </w:p>
        </w:tc>
      </w:tr>
    </w:tbl>
    <w:p w14:paraId="479CE0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72264CF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6A02EA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4D03310B">
      <w:pPr>
        <w:spacing w:line="360" w:lineRule="auto"/>
        <w:rPr>
          <w:rFonts w:hint="eastAsia" w:ascii="宋体" w:hAnsi="宋体" w:cs="宋体"/>
          <w:color w:val="auto"/>
          <w:sz w:val="24"/>
          <w:highlight w:val="none"/>
        </w:rPr>
      </w:pPr>
    </w:p>
    <w:p w14:paraId="7BA622F7">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备注：1、投标方应仔细对第三章项目要求进行逐条分析，对于投标内容与招标文件内容有不一致的条款，则须在上表中列明并详细填写。</w:t>
      </w:r>
    </w:p>
    <w:p w14:paraId="56BC27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1DE21155">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3285B245">
      <w:pPr>
        <w:pStyle w:val="19"/>
        <w:spacing w:line="360" w:lineRule="auto"/>
        <w:jc w:val="right"/>
        <w:rPr>
          <w:rFonts w:hAnsi="宋体"/>
          <w:b/>
          <w:sz w:val="24"/>
        </w:rPr>
      </w:pPr>
    </w:p>
    <w:p w14:paraId="0BB36E4F">
      <w:pPr>
        <w:spacing w:line="360" w:lineRule="auto"/>
        <w:rPr>
          <w:rFonts w:hint="eastAsia" w:ascii="宋体" w:hAnsi="宋体"/>
          <w:b/>
          <w:bCs/>
          <w:color w:val="auto"/>
          <w:sz w:val="36"/>
          <w:szCs w:val="36"/>
          <w:highlight w:val="none"/>
        </w:rPr>
      </w:pPr>
    </w:p>
    <w:p w14:paraId="1102CBFF">
      <w:pP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68F26F2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E87FAF2">
      <w:pPr>
        <w:spacing w:line="480" w:lineRule="exact"/>
        <w:ind w:firstLine="210" w:firstLineChars="100"/>
        <w:rPr>
          <w:rFonts w:hint="eastAsia" w:ascii="宋体"/>
          <w:color w:val="auto"/>
          <w:szCs w:val="21"/>
          <w:highlight w:val="none"/>
        </w:rPr>
      </w:pPr>
      <w:r>
        <w:rPr>
          <w:rFonts w:hint="eastAsia" w:ascii="宋体"/>
          <w:color w:val="auto"/>
          <w:szCs w:val="21"/>
          <w:highlight w:val="none"/>
        </w:rPr>
        <w:t>投标人名称（电子签章）：</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A3793B1">
      <w:pPr>
        <w:spacing w:line="480" w:lineRule="exact"/>
        <w:ind w:firstLine="210" w:firstLineChars="100"/>
        <w:rPr>
          <w:rFonts w:hint="eastAsia" w:ascii="宋体"/>
          <w:color w:val="auto"/>
          <w:szCs w:val="21"/>
          <w:highlight w:val="none"/>
          <w:u w:val="single"/>
        </w:rPr>
      </w:pPr>
      <w:r>
        <w:rPr>
          <w:rFonts w:hint="eastAsia" w:ascii="宋体"/>
          <w:color w:val="auto"/>
          <w:szCs w:val="21"/>
          <w:highlight w:val="none"/>
        </w:rPr>
        <w:t>招标编号：</w:t>
      </w:r>
      <w:r>
        <w:rPr>
          <w:rFonts w:hint="eastAsia" w:ascii="宋体"/>
          <w:color w:val="auto"/>
          <w:szCs w:val="21"/>
          <w:highlight w:val="none"/>
          <w:u w:val="single"/>
        </w:rPr>
        <w:t xml:space="preserve">                             </w:t>
      </w:r>
      <w:r>
        <w:rPr>
          <w:rFonts w:hint="eastAsia" w:ascii="宋体"/>
          <w:color w:val="auto"/>
          <w:szCs w:val="21"/>
          <w:highlight w:val="none"/>
        </w:rPr>
        <w:t xml:space="preserve">      </w:t>
      </w:r>
    </w:p>
    <w:tbl>
      <w:tblPr>
        <w:tblStyle w:val="38"/>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83"/>
        <w:gridCol w:w="1790"/>
        <w:gridCol w:w="2799"/>
        <w:gridCol w:w="2787"/>
      </w:tblGrid>
      <w:tr w14:paraId="7BCB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6" w:type="dxa"/>
            <w:vAlign w:val="center"/>
          </w:tcPr>
          <w:p w14:paraId="2E522215">
            <w:pPr>
              <w:spacing w:line="480" w:lineRule="exact"/>
              <w:jc w:val="center"/>
              <w:rPr>
                <w:rFonts w:ascii="宋体" w:hAnsi="宋体"/>
              </w:rPr>
            </w:pPr>
            <w:r>
              <w:rPr>
                <w:rFonts w:hint="eastAsia" w:ascii="宋体" w:hAnsi="宋体"/>
              </w:rPr>
              <w:t>序号</w:t>
            </w:r>
          </w:p>
        </w:tc>
        <w:tc>
          <w:tcPr>
            <w:tcW w:w="1483" w:type="dxa"/>
            <w:vAlign w:val="center"/>
          </w:tcPr>
          <w:p w14:paraId="7588DBB6">
            <w:pPr>
              <w:spacing w:line="480" w:lineRule="exact"/>
              <w:jc w:val="center"/>
              <w:rPr>
                <w:rFonts w:ascii="宋体" w:hAnsi="宋体"/>
              </w:rPr>
            </w:pPr>
            <w:r>
              <w:rPr>
                <w:rFonts w:hint="eastAsia" w:ascii="宋体" w:hAnsi="宋体"/>
              </w:rPr>
              <w:t>名称</w:t>
            </w:r>
          </w:p>
        </w:tc>
        <w:tc>
          <w:tcPr>
            <w:tcW w:w="1790" w:type="dxa"/>
            <w:vAlign w:val="center"/>
          </w:tcPr>
          <w:p w14:paraId="48FBEBC5">
            <w:pPr>
              <w:spacing w:line="480" w:lineRule="exact"/>
              <w:jc w:val="center"/>
              <w:rPr>
                <w:rFonts w:ascii="宋体" w:hAnsi="宋体"/>
              </w:rPr>
            </w:pPr>
            <w:r>
              <w:rPr>
                <w:rFonts w:hint="eastAsia" w:ascii="宋体" w:hAnsi="宋体"/>
              </w:rPr>
              <w:t>单价（元/吨）</w:t>
            </w:r>
          </w:p>
        </w:tc>
        <w:tc>
          <w:tcPr>
            <w:tcW w:w="2799" w:type="dxa"/>
            <w:vAlign w:val="center"/>
          </w:tcPr>
          <w:p w14:paraId="3EA60AC7">
            <w:pPr>
              <w:spacing w:line="480" w:lineRule="exact"/>
              <w:jc w:val="center"/>
              <w:rPr>
                <w:rFonts w:hint="default" w:ascii="宋体" w:hAnsi="宋体" w:eastAsia="宋体"/>
                <w:lang w:val="en-US" w:eastAsia="zh-CN"/>
              </w:rPr>
            </w:pPr>
            <w:r>
              <w:rPr>
                <w:rFonts w:hint="eastAsia" w:ascii="宋体" w:hAnsi="宋体"/>
                <w:lang w:val="en-US" w:eastAsia="zh-CN"/>
              </w:rPr>
              <w:t>数量（吨）</w:t>
            </w:r>
          </w:p>
        </w:tc>
        <w:tc>
          <w:tcPr>
            <w:tcW w:w="2787" w:type="dxa"/>
            <w:vAlign w:val="center"/>
          </w:tcPr>
          <w:p w14:paraId="00D132D3">
            <w:pPr>
              <w:spacing w:line="480" w:lineRule="exact"/>
              <w:jc w:val="center"/>
              <w:rPr>
                <w:rFonts w:hint="default" w:ascii="宋体" w:hAnsi="宋体"/>
                <w:lang w:val="en-US" w:eastAsia="zh-CN"/>
              </w:rPr>
            </w:pPr>
            <w:r>
              <w:rPr>
                <w:rFonts w:hint="eastAsia" w:ascii="宋体" w:hAnsi="宋体"/>
                <w:lang w:val="en-US" w:eastAsia="zh-CN"/>
              </w:rPr>
              <w:t>总价（元）</w:t>
            </w:r>
          </w:p>
        </w:tc>
      </w:tr>
      <w:tr w14:paraId="65C2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6" w:type="dxa"/>
            <w:vAlign w:val="center"/>
          </w:tcPr>
          <w:p w14:paraId="22BD981F">
            <w:pPr>
              <w:spacing w:line="480" w:lineRule="exact"/>
              <w:jc w:val="center"/>
              <w:rPr>
                <w:rFonts w:ascii="宋体" w:hAnsi="宋体"/>
              </w:rPr>
            </w:pPr>
            <w:r>
              <w:rPr>
                <w:rFonts w:hint="eastAsia" w:ascii="宋体" w:hAnsi="宋体"/>
              </w:rPr>
              <w:t>1</w:t>
            </w:r>
          </w:p>
        </w:tc>
        <w:tc>
          <w:tcPr>
            <w:tcW w:w="1483" w:type="dxa"/>
            <w:vAlign w:val="center"/>
          </w:tcPr>
          <w:p w14:paraId="3BBDA43B">
            <w:pPr>
              <w:spacing w:line="480" w:lineRule="exact"/>
              <w:jc w:val="center"/>
              <w:rPr>
                <w:rFonts w:ascii="宋体" w:hAnsi="宋体"/>
              </w:rPr>
            </w:pPr>
          </w:p>
        </w:tc>
        <w:tc>
          <w:tcPr>
            <w:tcW w:w="1790" w:type="dxa"/>
            <w:vAlign w:val="center"/>
          </w:tcPr>
          <w:p w14:paraId="661AF565">
            <w:pPr>
              <w:spacing w:line="480" w:lineRule="exact"/>
              <w:jc w:val="center"/>
              <w:rPr>
                <w:rFonts w:ascii="宋体" w:hAnsi="宋体"/>
              </w:rPr>
            </w:pPr>
          </w:p>
        </w:tc>
        <w:tc>
          <w:tcPr>
            <w:tcW w:w="2799" w:type="dxa"/>
            <w:vAlign w:val="center"/>
          </w:tcPr>
          <w:p w14:paraId="2BC49852">
            <w:pPr>
              <w:spacing w:line="480" w:lineRule="exact"/>
              <w:jc w:val="center"/>
              <w:rPr>
                <w:rFonts w:ascii="宋体" w:hAnsi="宋体"/>
              </w:rPr>
            </w:pPr>
          </w:p>
        </w:tc>
        <w:tc>
          <w:tcPr>
            <w:tcW w:w="2787" w:type="dxa"/>
            <w:vAlign w:val="center"/>
          </w:tcPr>
          <w:p w14:paraId="6AA722C2">
            <w:pPr>
              <w:spacing w:line="480" w:lineRule="exact"/>
              <w:jc w:val="center"/>
              <w:rPr>
                <w:rFonts w:ascii="宋体" w:hAnsi="宋体"/>
              </w:rPr>
            </w:pPr>
          </w:p>
        </w:tc>
      </w:tr>
      <w:tr w14:paraId="3BA9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86" w:type="dxa"/>
            <w:vAlign w:val="center"/>
          </w:tcPr>
          <w:p w14:paraId="1937D9B6">
            <w:pPr>
              <w:spacing w:line="480" w:lineRule="exact"/>
              <w:jc w:val="center"/>
              <w:rPr>
                <w:rFonts w:ascii="宋体" w:hAnsi="宋体"/>
              </w:rPr>
            </w:pPr>
            <w:r>
              <w:rPr>
                <w:rFonts w:hint="eastAsia" w:ascii="宋体" w:hAnsi="宋体"/>
              </w:rPr>
              <w:t>2</w:t>
            </w:r>
          </w:p>
        </w:tc>
        <w:tc>
          <w:tcPr>
            <w:tcW w:w="1483" w:type="dxa"/>
            <w:vAlign w:val="center"/>
          </w:tcPr>
          <w:p w14:paraId="66CD4591">
            <w:pPr>
              <w:spacing w:line="480" w:lineRule="exact"/>
              <w:jc w:val="center"/>
              <w:rPr>
                <w:rFonts w:ascii="宋体" w:hAnsi="宋体"/>
              </w:rPr>
            </w:pPr>
          </w:p>
        </w:tc>
        <w:tc>
          <w:tcPr>
            <w:tcW w:w="1790" w:type="dxa"/>
            <w:vAlign w:val="center"/>
          </w:tcPr>
          <w:p w14:paraId="2DDCE94D">
            <w:pPr>
              <w:spacing w:line="480" w:lineRule="exact"/>
              <w:jc w:val="center"/>
              <w:rPr>
                <w:rFonts w:ascii="宋体" w:hAnsi="宋体"/>
              </w:rPr>
            </w:pPr>
          </w:p>
        </w:tc>
        <w:tc>
          <w:tcPr>
            <w:tcW w:w="2799" w:type="dxa"/>
            <w:vAlign w:val="center"/>
          </w:tcPr>
          <w:p w14:paraId="1E3A22B9">
            <w:pPr>
              <w:spacing w:line="480" w:lineRule="exact"/>
              <w:jc w:val="center"/>
              <w:rPr>
                <w:rFonts w:ascii="宋体" w:hAnsi="宋体"/>
              </w:rPr>
            </w:pPr>
          </w:p>
        </w:tc>
        <w:tc>
          <w:tcPr>
            <w:tcW w:w="2787" w:type="dxa"/>
            <w:vAlign w:val="center"/>
          </w:tcPr>
          <w:p w14:paraId="5AA8823B">
            <w:pPr>
              <w:spacing w:line="480" w:lineRule="exact"/>
              <w:jc w:val="center"/>
              <w:rPr>
                <w:rFonts w:ascii="宋体" w:hAnsi="宋体"/>
              </w:rPr>
            </w:pPr>
          </w:p>
        </w:tc>
      </w:tr>
    </w:tbl>
    <w:p w14:paraId="3902E65B">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全权代表签字：                   </w:t>
      </w:r>
    </w:p>
    <w:p w14:paraId="55501D61">
      <w:pPr>
        <w:spacing w:line="480" w:lineRule="exact"/>
        <w:ind w:firstLine="210" w:firstLineChars="100"/>
        <w:rPr>
          <w:rFonts w:hint="eastAsia" w:ascii="宋体"/>
          <w:color w:val="auto"/>
          <w:szCs w:val="21"/>
          <w:highlight w:val="none"/>
        </w:rPr>
      </w:pPr>
      <w:r>
        <w:rPr>
          <w:rFonts w:hint="eastAsia" w:ascii="宋体"/>
          <w:color w:val="auto"/>
          <w:szCs w:val="21"/>
          <w:highlight w:val="none"/>
        </w:rPr>
        <w:t xml:space="preserve">日 期：           </w:t>
      </w:r>
    </w:p>
    <w:p w14:paraId="2861EE63">
      <w:pPr>
        <w:rPr>
          <w:rFonts w:hint="eastAsia" w:ascii="宋体"/>
          <w:color w:val="auto"/>
          <w:szCs w:val="21"/>
          <w:highlight w:val="none"/>
        </w:rPr>
      </w:pPr>
      <w:r>
        <w:rPr>
          <w:rFonts w:hint="eastAsia" w:ascii="宋体"/>
          <w:color w:val="auto"/>
          <w:szCs w:val="21"/>
          <w:highlight w:val="none"/>
        </w:rPr>
        <w:t>备注：</w:t>
      </w:r>
    </w:p>
    <w:p w14:paraId="67846532">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20" w:firstLineChars="200"/>
        <w:textAlignment w:val="auto"/>
        <w:rPr>
          <w:rFonts w:hint="eastAsia" w:ascii="宋体"/>
          <w:color w:val="FF0000"/>
          <w:szCs w:val="21"/>
          <w:highlight w:val="none"/>
        </w:rPr>
      </w:pPr>
      <w:r>
        <w:rPr>
          <w:rFonts w:hint="eastAsia" w:ascii="宋体" w:hAnsi="Times New Roman" w:eastAsia="宋体" w:cs="Times New Roman"/>
          <w:color w:val="auto"/>
          <w:kern w:val="2"/>
          <w:sz w:val="21"/>
          <w:szCs w:val="21"/>
          <w:lang w:val="en-US" w:eastAsia="zh-CN" w:bidi="ar-SA"/>
        </w:rPr>
        <w:t>1.</w:t>
      </w:r>
      <w:r>
        <w:rPr>
          <w:rFonts w:hint="eastAsia" w:ascii="宋体"/>
          <w:color w:val="auto"/>
          <w:szCs w:val="21"/>
          <w:highlight w:val="none"/>
        </w:rPr>
        <w:t>投标人应根据国家的有关规定和实际情况并结合企业的实际情况进行投标报价。投标报价为投标人所能承受的最低、最终一次性报价。</w:t>
      </w:r>
    </w:p>
    <w:p w14:paraId="1FE0966C">
      <w:pPr>
        <w:keepNext w:val="0"/>
        <w:keepLines w:val="0"/>
        <w:pageBreakBefore w:val="0"/>
        <w:widowControl w:val="0"/>
        <w:kinsoku/>
        <w:wordWrap/>
        <w:overflowPunct/>
        <w:topLinePunct w:val="0"/>
        <w:autoSpaceDE/>
        <w:autoSpaceDN/>
        <w:bidi w:val="0"/>
        <w:adjustRightInd/>
        <w:snapToGrid/>
        <w:spacing w:line="440" w:lineRule="atLeast"/>
        <w:ind w:left="785" w:leftChars="199" w:hanging="367" w:hangingChars="175"/>
        <w:textAlignment w:val="auto"/>
        <w:rPr>
          <w:rFonts w:hint="eastAsia" w:ascii="宋体" w:hAnsi="宋体" w:eastAsia="宋体" w:cs="宋体"/>
          <w:color w:val="auto"/>
          <w:szCs w:val="21"/>
          <w:highlight w:val="none"/>
          <w:lang w:val="en-US" w:eastAsia="zh-CN"/>
        </w:rPr>
      </w:pPr>
      <w:r>
        <w:rPr>
          <w:rFonts w:hint="eastAsia" w:ascii="宋体"/>
          <w:color w:val="auto"/>
          <w:szCs w:val="21"/>
          <w:highlight w:val="none"/>
          <w:lang w:val="en-US" w:eastAsia="zh-CN"/>
        </w:rPr>
        <w:t>2</w:t>
      </w:r>
      <w:r>
        <w:rPr>
          <w:rFonts w:hint="eastAsia" w:ascii="宋体"/>
          <w:color w:val="auto"/>
          <w:szCs w:val="21"/>
          <w:highlight w:val="none"/>
        </w:rPr>
        <w:t>.此表在不改变表式内容的情况下，可自行制作</w:t>
      </w:r>
      <w:r>
        <w:rPr>
          <w:rFonts w:hint="eastAsia" w:ascii="宋体"/>
          <w:color w:val="auto"/>
          <w:szCs w:val="21"/>
          <w:highlight w:val="none"/>
          <w:lang w:eastAsia="zh-CN"/>
        </w:rPr>
        <w:t>。</w:t>
      </w:r>
    </w:p>
    <w:p w14:paraId="29B75913">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1E3E748">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765952F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0EB8D4E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BFD90C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1F31AB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066467D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52F0B53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5EB0B39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7C38179F">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1411127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1F396D11">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3A83A9AD">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710D44D9">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5CFF2955">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05551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C5D7F3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18F44B92">
      <w:pPr>
        <w:adjustRightInd w:val="0"/>
        <w:snapToGrid w:val="0"/>
        <w:spacing w:line="360" w:lineRule="auto"/>
        <w:rPr>
          <w:rFonts w:ascii="宋体" w:hAnsi="宋体" w:cs="宋体"/>
          <w:color w:val="auto"/>
          <w:highlight w:val="none"/>
        </w:rPr>
      </w:pPr>
    </w:p>
    <w:p w14:paraId="6851712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1227EBCE">
      <w:pPr>
        <w:adjustRightInd w:val="0"/>
        <w:snapToGrid w:val="0"/>
        <w:spacing w:line="360" w:lineRule="auto"/>
        <w:rPr>
          <w:rFonts w:ascii="宋体" w:hAnsi="宋体" w:cs="宋体"/>
          <w:color w:val="auto"/>
          <w:highlight w:val="none"/>
          <w:u w:val="dotted"/>
        </w:rPr>
      </w:pPr>
    </w:p>
    <w:p w14:paraId="09F6692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2BAA54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66EB8E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2438E2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1908FE52">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586E1675">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178F2986">
      <w:pPr>
        <w:spacing w:line="360" w:lineRule="auto"/>
        <w:rPr>
          <w:rFonts w:ascii="宋体" w:hAnsi="宋体" w:cs="宋体"/>
          <w:color w:val="auto"/>
          <w:highlight w:val="none"/>
        </w:rPr>
      </w:pPr>
    </w:p>
    <w:p w14:paraId="0147933E">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3D7462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F539DC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3EF07C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6FA30C5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4001763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6DF48BFD">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1FA17096">
      <w:pPr>
        <w:pStyle w:val="66"/>
        <w:rPr>
          <w:color w:val="auto"/>
          <w:highlight w:val="none"/>
        </w:rPr>
      </w:pPr>
    </w:p>
    <w:p w14:paraId="4F46E285">
      <w:pPr>
        <w:pStyle w:val="19"/>
        <w:spacing w:line="460" w:lineRule="exact"/>
        <w:rPr>
          <w:rFonts w:cs="Times New Roman"/>
          <w:color w:val="auto"/>
          <w:highlight w:val="none"/>
        </w:rPr>
      </w:pPr>
    </w:p>
    <w:p w14:paraId="707250F0">
      <w:pPr>
        <w:rPr>
          <w:color w:val="auto"/>
          <w:highlight w:val="none"/>
        </w:rPr>
      </w:pPr>
    </w:p>
    <w:p w14:paraId="6562263A">
      <w:pPr>
        <w:rPr>
          <w:color w:val="auto"/>
          <w:highlight w:val="none"/>
        </w:rPr>
      </w:pPr>
    </w:p>
    <w:p w14:paraId="6F7EB9BD">
      <w:pPr>
        <w:pStyle w:val="3"/>
        <w:rPr>
          <w:color w:val="auto"/>
          <w:highlight w:val="none"/>
        </w:rPr>
      </w:pPr>
    </w:p>
    <w:p w14:paraId="6904090C">
      <w:pPr>
        <w:rPr>
          <w:color w:val="auto"/>
          <w:highlight w:val="none"/>
        </w:rPr>
      </w:pPr>
    </w:p>
    <w:p w14:paraId="0D061E28">
      <w:pPr>
        <w:jc w:val="center"/>
        <w:rPr>
          <w:rFonts w:hint="eastAsia" w:ascii="宋体" w:hAnsi="宋体"/>
          <w:b/>
          <w:color w:val="auto"/>
          <w:sz w:val="36"/>
          <w:szCs w:val="36"/>
          <w:highlight w:val="none"/>
        </w:rPr>
      </w:pPr>
    </w:p>
    <w:p w14:paraId="0EB2DF1A">
      <w:pPr>
        <w:jc w:val="center"/>
        <w:rPr>
          <w:rFonts w:hint="eastAsia" w:ascii="宋体" w:hAnsi="宋体"/>
          <w:b/>
          <w:color w:val="auto"/>
          <w:sz w:val="36"/>
          <w:szCs w:val="36"/>
          <w:highlight w:val="none"/>
        </w:rPr>
      </w:pPr>
    </w:p>
    <w:p w14:paraId="575F20A5">
      <w:pPr>
        <w:jc w:val="center"/>
        <w:rPr>
          <w:rFonts w:hint="eastAsia" w:ascii="宋体" w:hAnsi="宋体"/>
          <w:b/>
          <w:color w:val="auto"/>
          <w:sz w:val="36"/>
          <w:szCs w:val="36"/>
          <w:highlight w:val="none"/>
        </w:rPr>
      </w:pPr>
    </w:p>
    <w:p w14:paraId="3965FA58">
      <w:pPr>
        <w:jc w:val="center"/>
        <w:rPr>
          <w:rFonts w:hint="eastAsia" w:ascii="宋体" w:hAnsi="宋体"/>
          <w:b/>
          <w:color w:val="auto"/>
          <w:sz w:val="36"/>
          <w:szCs w:val="36"/>
          <w:highlight w:val="none"/>
        </w:rPr>
      </w:pPr>
    </w:p>
    <w:p w14:paraId="36F18225">
      <w:pPr>
        <w:jc w:val="center"/>
        <w:rPr>
          <w:rFonts w:hint="eastAsia" w:ascii="宋体" w:hAnsi="宋体"/>
          <w:b/>
          <w:color w:val="auto"/>
          <w:sz w:val="36"/>
          <w:szCs w:val="36"/>
          <w:highlight w:val="none"/>
        </w:rPr>
      </w:pPr>
    </w:p>
    <w:p w14:paraId="30D1C554">
      <w:pPr>
        <w:jc w:val="center"/>
        <w:rPr>
          <w:rFonts w:hint="eastAsia" w:ascii="宋体" w:hAnsi="宋体"/>
          <w:b/>
          <w:color w:val="auto"/>
          <w:sz w:val="36"/>
          <w:szCs w:val="36"/>
          <w:highlight w:val="none"/>
        </w:rPr>
      </w:pPr>
    </w:p>
    <w:p w14:paraId="1D6C2FF6">
      <w:pPr>
        <w:jc w:val="center"/>
        <w:rPr>
          <w:rFonts w:hint="eastAsia" w:ascii="宋体" w:hAnsi="宋体"/>
          <w:b/>
          <w:color w:val="auto"/>
          <w:sz w:val="36"/>
          <w:szCs w:val="36"/>
          <w:highlight w:val="none"/>
        </w:rPr>
      </w:pPr>
    </w:p>
    <w:p w14:paraId="042C137B">
      <w:pPr>
        <w:jc w:val="center"/>
        <w:rPr>
          <w:rFonts w:hint="eastAsia" w:ascii="宋体" w:hAnsi="宋体"/>
          <w:b/>
          <w:color w:val="auto"/>
          <w:sz w:val="36"/>
          <w:szCs w:val="36"/>
          <w:highlight w:val="none"/>
        </w:rPr>
      </w:pPr>
    </w:p>
    <w:p w14:paraId="2A6E587B">
      <w:pPr>
        <w:jc w:val="center"/>
        <w:rPr>
          <w:rFonts w:hint="eastAsia" w:ascii="宋体" w:hAnsi="宋体"/>
          <w:b/>
          <w:color w:val="auto"/>
          <w:sz w:val="36"/>
          <w:szCs w:val="36"/>
          <w:highlight w:val="none"/>
        </w:rPr>
      </w:pPr>
    </w:p>
    <w:p w14:paraId="7FB1B8C1">
      <w:pPr>
        <w:jc w:val="center"/>
        <w:rPr>
          <w:rFonts w:hint="eastAsia" w:ascii="宋体" w:hAnsi="宋体"/>
          <w:b/>
          <w:color w:val="auto"/>
          <w:sz w:val="36"/>
          <w:szCs w:val="36"/>
          <w:highlight w:val="none"/>
        </w:rPr>
      </w:pPr>
    </w:p>
    <w:bookmarkEnd w:id="67"/>
    <w:bookmarkEnd w:id="68"/>
    <w:bookmarkEnd w:id="69"/>
    <w:bookmarkEnd w:id="70"/>
    <w:bookmarkEnd w:id="71"/>
    <w:bookmarkEnd w:id="72"/>
    <w:p w14:paraId="5331CAB8">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Georgia"/>
    <w:panose1 w:val="02020500000000000000"/>
    <w:charset w:val="00"/>
    <w:family w:val="roman"/>
    <w:pitch w:val="default"/>
    <w:sig w:usb0="00000000" w:usb1="00000000" w:usb2="00000016" w:usb3="00000000" w:csb0="00100001"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D6A6">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2001D">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12001D">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13B5">
    <w:pPr>
      <w:pStyle w:val="23"/>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523226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1B9B">
    <w:pPr>
      <w:pStyle w:val="23"/>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A83948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0CAC2">
    <w:pPr>
      <w:pStyle w:val="24"/>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EBE5A"/>
    <w:multiLevelType w:val="singleLevel"/>
    <w:tmpl w:val="9DFEBE5A"/>
    <w:lvl w:ilvl="0" w:tentative="0">
      <w:start w:val="3"/>
      <w:numFmt w:val="chineseCounting"/>
      <w:suff w:val="space"/>
      <w:lvlText w:val="第%1章"/>
      <w:lvlJc w:val="left"/>
      <w:rPr>
        <w:rFonts w:hint="eastAsia"/>
      </w:rPr>
    </w:lvl>
  </w:abstractNum>
  <w:abstractNum w:abstractNumId="1">
    <w:nsid w:val="C4B716FA"/>
    <w:multiLevelType w:val="singleLevel"/>
    <w:tmpl w:val="C4B716FA"/>
    <w:lvl w:ilvl="0" w:tentative="0">
      <w:start w:val="4"/>
      <w:numFmt w:val="chineseCounting"/>
      <w:suff w:val="nothing"/>
      <w:lvlText w:val="%1、"/>
      <w:lvlJc w:val="left"/>
      <w:rPr>
        <w:rFonts w:hint="eastAsia"/>
      </w:rPr>
    </w:lvl>
  </w:abstractNum>
  <w:abstractNum w:abstractNumId="2">
    <w:nsid w:val="00000004"/>
    <w:multiLevelType w:val="multilevel"/>
    <w:tmpl w:val="00000004"/>
    <w:lvl w:ilvl="0" w:tentative="0">
      <w:start w:val="4"/>
      <w:numFmt w:val="japaneseCounting"/>
      <w:pStyle w:val="12"/>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4">
    <w:nsid w:val="0000000C"/>
    <w:multiLevelType w:val="multilevel"/>
    <w:tmpl w:val="0000000C"/>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6">
    <w:nsid w:val="5CD42C4E"/>
    <w:multiLevelType w:val="singleLevel"/>
    <w:tmpl w:val="5CD42C4E"/>
    <w:lvl w:ilvl="0" w:tentative="0">
      <w:start w:val="7"/>
      <w:numFmt w:val="chineseCounting"/>
      <w:suff w:val="space"/>
      <w:lvlText w:val="第%1章"/>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552887"/>
    <w:rsid w:val="01830099"/>
    <w:rsid w:val="01891B53"/>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5A10"/>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4543D"/>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0896"/>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EA3061"/>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15776"/>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25630"/>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30455"/>
    <w:rsid w:val="2DC84F02"/>
    <w:rsid w:val="2DCA6ECC"/>
    <w:rsid w:val="2DDF4725"/>
    <w:rsid w:val="2DF83A39"/>
    <w:rsid w:val="2DFB0E33"/>
    <w:rsid w:val="2DFF6B75"/>
    <w:rsid w:val="2E0B376C"/>
    <w:rsid w:val="2E0D56A8"/>
    <w:rsid w:val="2E0E500A"/>
    <w:rsid w:val="2E2A1718"/>
    <w:rsid w:val="2E2D0A6B"/>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6E45FB"/>
    <w:rsid w:val="3A751F6D"/>
    <w:rsid w:val="3A8A77C7"/>
    <w:rsid w:val="3A8D72B7"/>
    <w:rsid w:val="3A8F302F"/>
    <w:rsid w:val="3A8F74D3"/>
    <w:rsid w:val="3AA40859"/>
    <w:rsid w:val="3AA54601"/>
    <w:rsid w:val="3AB331C1"/>
    <w:rsid w:val="3AB43149"/>
    <w:rsid w:val="3AB64A60"/>
    <w:rsid w:val="3AC56F65"/>
    <w:rsid w:val="3AD924FC"/>
    <w:rsid w:val="3ADD1FEC"/>
    <w:rsid w:val="3AE147E3"/>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A26841"/>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036B1"/>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74267"/>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1E99"/>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A25145"/>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5773E"/>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718A0"/>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04C61"/>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A92C7B"/>
    <w:rsid w:val="77B05DB7"/>
    <w:rsid w:val="77C460F0"/>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B57352"/>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C4B90"/>
    <w:rsid w:val="7FDD1714"/>
    <w:rsid w:val="7FE17456"/>
    <w:rsid w:val="7FE42AA2"/>
    <w:rsid w:val="7FEC7BA9"/>
    <w:rsid w:val="9ADDDAB9"/>
    <w:rsid w:val="A7EEDC62"/>
    <w:rsid w:val="AB7F242D"/>
    <w:rsid w:val="ABFB4C47"/>
    <w:rsid w:val="ADB7BB8C"/>
    <w:rsid w:val="AF5D55AA"/>
    <w:rsid w:val="BADFBAB7"/>
    <w:rsid w:val="BDF0F7EC"/>
    <w:rsid w:val="BFCC0358"/>
    <w:rsid w:val="C7BF722B"/>
    <w:rsid w:val="D5EFA6DE"/>
    <w:rsid w:val="DEBEE989"/>
    <w:rsid w:val="DF5FCEEC"/>
    <w:rsid w:val="DFDE1A5F"/>
    <w:rsid w:val="E6FEC9BD"/>
    <w:rsid w:val="E7F784B6"/>
    <w:rsid w:val="ED7D00B7"/>
    <w:rsid w:val="F3FD8D61"/>
    <w:rsid w:val="F77E3679"/>
    <w:rsid w:val="F79B0276"/>
    <w:rsid w:val="F7B70957"/>
    <w:rsid w:val="F7FFB7E7"/>
    <w:rsid w:val="F97770F3"/>
    <w:rsid w:val="FA7E8127"/>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5">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6">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7">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8">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9">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0">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1">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2">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3">
    <w:name w:val="Normal Indent"/>
    <w:basedOn w:val="1"/>
    <w:next w:val="14"/>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4">
    <w:name w:val="Body Text Indent"/>
    <w:basedOn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5">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qFormat/>
    <w:uiPriority w:val="0"/>
    <w:pPr>
      <w:jc w:val="left"/>
    </w:pPr>
    <w:rPr>
      <w:rFonts w:ascii="Times New Roman" w:hAnsi="Times New Roman" w:eastAsia="宋体" w:cs="Times New Roman"/>
    </w:rPr>
  </w:style>
  <w:style w:type="paragraph" w:styleId="17">
    <w:name w:val="Body Text"/>
    <w:basedOn w:val="1"/>
    <w:next w:val="18"/>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8">
    <w:name w:val="Body Text First Indent"/>
    <w:basedOn w:val="17"/>
    <w:next w:val="17"/>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9">
    <w:name w:val="Plain Text"/>
    <w:basedOn w:val="1"/>
    <w:next w:val="1"/>
    <w:link w:val="58"/>
    <w:qFormat/>
    <w:uiPriority w:val="0"/>
    <w:rPr>
      <w:rFonts w:ascii="宋体" w:hAnsi="Courier New" w:eastAsia="宋体" w:cs="Courier New"/>
      <w:szCs w:val="21"/>
    </w:rPr>
  </w:style>
  <w:style w:type="paragraph" w:styleId="20">
    <w:name w:val="Date"/>
    <w:basedOn w:val="1"/>
    <w:next w:val="1"/>
    <w:qFormat/>
    <w:uiPriority w:val="0"/>
    <w:rPr>
      <w:rFonts w:ascii="Times New Roman" w:hAnsi="Times New Roman" w:eastAsia="宋体" w:cs="Times New Roman"/>
      <w:sz w:val="28"/>
      <w:szCs w:val="20"/>
    </w:rPr>
  </w:style>
  <w:style w:type="paragraph" w:styleId="21">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2">
    <w:name w:val="Balloon Text"/>
    <w:basedOn w:val="1"/>
    <w:qFormat/>
    <w:uiPriority w:val="0"/>
    <w:rPr>
      <w:rFonts w:ascii="Times New Roman" w:hAnsi="Times New Roman" w:eastAsia="宋体" w:cs="Times New Roman"/>
      <w:sz w:val="18"/>
      <w:szCs w:val="18"/>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5">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6">
    <w:name w:val="toc 4"/>
    <w:basedOn w:val="1"/>
    <w:next w:val="1"/>
    <w:qFormat/>
    <w:uiPriority w:val="0"/>
    <w:pPr>
      <w:ind w:left="1260"/>
    </w:pPr>
    <w:rPr>
      <w:rFonts w:ascii="Times New Roman" w:hAnsi="Times New Roman" w:eastAsia="宋体" w:cs="Times New Roman"/>
      <w:kern w:val="1"/>
    </w:rPr>
  </w:style>
  <w:style w:type="paragraph" w:styleId="27">
    <w:name w:val="footnote text"/>
    <w:basedOn w:val="1"/>
    <w:link w:val="59"/>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9">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qFormat/>
    <w:uiPriority w:val="0"/>
    <w:pPr>
      <w:ind w:left="3360" w:leftChars="1600"/>
    </w:pPr>
    <w:rPr>
      <w:rFonts w:ascii="Calibri" w:hAnsi="Calibri" w:eastAsia="宋体" w:cs="Times New Roman"/>
    </w:rPr>
  </w:style>
  <w:style w:type="paragraph" w:styleId="32">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3">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index 1"/>
    <w:basedOn w:val="1"/>
    <w:next w:val="1"/>
    <w:qFormat/>
    <w:uiPriority w:val="0"/>
    <w:rPr>
      <w:rFonts w:ascii="Times New Roman" w:hAnsi="Times New Roman" w:eastAsia="宋体" w:cs="Times New Roman"/>
    </w:rPr>
  </w:style>
  <w:style w:type="paragraph" w:styleId="35">
    <w:name w:val="Title"/>
    <w:basedOn w:val="1"/>
    <w:next w:val="1"/>
    <w:link w:val="60"/>
    <w:qFormat/>
    <w:uiPriority w:val="0"/>
    <w:pPr>
      <w:spacing w:before="240" w:after="60"/>
      <w:jc w:val="center"/>
      <w:outlineLvl w:val="0"/>
    </w:pPr>
    <w:rPr>
      <w:rFonts w:ascii="等线 Light" w:hAnsi="等线 Light" w:cs="Times New Roman"/>
      <w:b/>
      <w:bCs/>
      <w:sz w:val="32"/>
      <w:szCs w:val="32"/>
    </w:rPr>
  </w:style>
  <w:style w:type="paragraph" w:styleId="36">
    <w:name w:val="annotation subject"/>
    <w:basedOn w:val="16"/>
    <w:next w:val="16"/>
    <w:qFormat/>
    <w:uiPriority w:val="0"/>
    <w:rPr>
      <w:rFonts w:ascii="Times New Roman" w:hAnsi="Times New Roman" w:eastAsia="宋体" w:cs="Times New Roman"/>
      <w:b/>
      <w:bCs/>
    </w:rPr>
  </w:style>
  <w:style w:type="paragraph" w:styleId="37">
    <w:name w:val="Body Text First Indent 2"/>
    <w:basedOn w:val="14"/>
    <w:next w:val="1"/>
    <w:qFormat/>
    <w:uiPriority w:val="0"/>
    <w:pPr>
      <w:spacing w:after="120" w:line="240" w:lineRule="auto"/>
      <w:ind w:left="420" w:leftChars="200" w:firstLine="420"/>
    </w:pPr>
    <w:rPr>
      <w:rFonts w:ascii="Times New Roman" w:hAnsi="Times New Roman" w:eastAsia="宋体" w:cs="宋体"/>
      <w:sz w:val="21"/>
      <w:szCs w:val="21"/>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qFormat/>
    <w:uiPriority w:val="0"/>
    <w:rPr>
      <w:rFonts w:hint="default" w:ascii="monospace" w:hAnsi="monospace" w:eastAsia="monospace" w:cs="monospace"/>
      <w:sz w:val="20"/>
      <w:bdr w:val="single" w:color="BDBEC1" w:sz="6" w:space="0"/>
      <w:shd w:val="clear" w:fill="FFFFFF"/>
    </w:rPr>
  </w:style>
  <w:style w:type="character" w:styleId="55">
    <w:name w:val="HTML Sample"/>
    <w:basedOn w:val="40"/>
    <w:qFormat/>
    <w:uiPriority w:val="0"/>
    <w:rPr>
      <w:rFonts w:hint="default" w:ascii="monospace" w:hAnsi="monospace" w:eastAsia="monospace" w:cs="monospace"/>
    </w:rPr>
  </w:style>
  <w:style w:type="paragraph" w:customStyle="1" w:styleId="5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7">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8">
    <w:name w:val="纯文本 字符"/>
    <w:link w:val="19"/>
    <w:qFormat/>
    <w:uiPriority w:val="0"/>
    <w:rPr>
      <w:rFonts w:ascii="宋体" w:hAnsi="Courier New" w:eastAsia="宋体" w:cs="Courier New"/>
      <w:kern w:val="2"/>
      <w:sz w:val="21"/>
      <w:szCs w:val="21"/>
      <w:lang w:val="en-US" w:eastAsia="zh-CN" w:bidi="ar-SA"/>
    </w:rPr>
  </w:style>
  <w:style w:type="character" w:customStyle="1" w:styleId="59">
    <w:name w:val="脚注文本 字符"/>
    <w:link w:val="27"/>
    <w:qFormat/>
    <w:uiPriority w:val="0"/>
    <w:rPr>
      <w:rFonts w:ascii="Times New Roman" w:hAnsi="Times New Roman" w:eastAsia="宋体" w:cs="Times New Roman"/>
      <w:kern w:val="2"/>
      <w:sz w:val="18"/>
      <w:szCs w:val="18"/>
    </w:rPr>
  </w:style>
  <w:style w:type="character" w:customStyle="1" w:styleId="60">
    <w:name w:val="标题 字符"/>
    <w:link w:val="35"/>
    <w:qFormat/>
    <w:uiPriority w:val="0"/>
    <w:rPr>
      <w:rFonts w:ascii="等线 Light" w:hAnsi="等线 Light" w:eastAsia="宋体" w:cs="Times New Roman"/>
      <w:b/>
      <w:bCs/>
      <w:kern w:val="2"/>
      <w:sz w:val="32"/>
      <w:szCs w:val="32"/>
    </w:rPr>
  </w:style>
  <w:style w:type="paragraph" w:customStyle="1" w:styleId="61">
    <w:name w:val="_Style 2"/>
    <w:basedOn w:val="1"/>
    <w:qFormat/>
    <w:uiPriority w:val="0"/>
    <w:pPr>
      <w:ind w:firstLine="200" w:firstLineChars="200"/>
    </w:pPr>
    <w:rPr>
      <w:rFonts w:ascii="Calibri" w:hAnsi="Calibri"/>
      <w:sz w:val="28"/>
      <w:szCs w:val="22"/>
    </w:rPr>
  </w:style>
  <w:style w:type="character" w:customStyle="1" w:styleId="62">
    <w:name w:val="font11"/>
    <w:basedOn w:val="40"/>
    <w:qFormat/>
    <w:uiPriority w:val="0"/>
    <w:rPr>
      <w:rFonts w:hint="eastAsia" w:ascii="宋体" w:hAnsi="宋体" w:eastAsia="宋体" w:cs="Times New Roman"/>
      <w:color w:val="FF0000"/>
      <w:sz w:val="28"/>
      <w:szCs w:val="28"/>
      <w:u w:val="none"/>
    </w:rPr>
  </w:style>
  <w:style w:type="character" w:customStyle="1" w:styleId="63">
    <w:name w:val="font31"/>
    <w:basedOn w:val="40"/>
    <w:qFormat/>
    <w:uiPriority w:val="0"/>
    <w:rPr>
      <w:rFonts w:hint="eastAsia" w:ascii="宋体" w:hAnsi="宋体" w:eastAsia="宋体" w:cs="宋体"/>
      <w:color w:val="000000"/>
      <w:sz w:val="22"/>
      <w:szCs w:val="22"/>
      <w:u w:val="none"/>
    </w:rPr>
  </w:style>
  <w:style w:type="character" w:customStyle="1" w:styleId="64">
    <w:name w:val="font21"/>
    <w:qFormat/>
    <w:uiPriority w:val="0"/>
    <w:rPr>
      <w:rFonts w:hint="eastAsia" w:ascii="宋体" w:hAnsi="宋体" w:eastAsia="宋体" w:cs="宋体"/>
      <w:color w:val="000000"/>
      <w:sz w:val="21"/>
      <w:szCs w:val="21"/>
      <w:u w:val="none"/>
    </w:rPr>
  </w:style>
  <w:style w:type="character" w:customStyle="1" w:styleId="65">
    <w:name w:val="font01"/>
    <w:qFormat/>
    <w:uiPriority w:val="0"/>
    <w:rPr>
      <w:rFonts w:ascii="Verdana" w:hAnsi="Verdana" w:eastAsia="宋体" w:cs="Verdana"/>
      <w:color w:val="000000"/>
      <w:sz w:val="20"/>
      <w:szCs w:val="20"/>
      <w:u w:val="none"/>
    </w:rPr>
  </w:style>
  <w:style w:type="paragraph" w:customStyle="1" w:styleId="66">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7">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8">
    <w:name w:val="纯文本 Char1"/>
    <w:qFormat/>
    <w:uiPriority w:val="0"/>
    <w:rPr>
      <w:rFonts w:ascii="宋体" w:hAnsi="Courier New" w:eastAsia="宋体" w:cs="Courier New"/>
      <w:kern w:val="2"/>
      <w:sz w:val="21"/>
      <w:szCs w:val="21"/>
    </w:rPr>
  </w:style>
  <w:style w:type="character" w:customStyle="1" w:styleId="69">
    <w:name w:val="普通文字 Char Char2"/>
    <w:qFormat/>
    <w:uiPriority w:val="0"/>
    <w:rPr>
      <w:rFonts w:ascii="宋体" w:hAnsi="Courier New" w:eastAsia="宋体" w:cs="Courier New"/>
      <w:kern w:val="2"/>
      <w:sz w:val="21"/>
      <w:szCs w:val="21"/>
      <w:lang w:val="en-US" w:eastAsia="zh-CN" w:bidi="ar-SA"/>
    </w:rPr>
  </w:style>
  <w:style w:type="character" w:customStyle="1" w:styleId="70">
    <w:name w:val=" Char Char1"/>
    <w:qFormat/>
    <w:uiPriority w:val="0"/>
    <w:rPr>
      <w:rFonts w:ascii="宋体" w:hAnsi="Courier New" w:eastAsia="宋体" w:cs="Courier New"/>
      <w:kern w:val="2"/>
      <w:sz w:val="21"/>
      <w:szCs w:val="21"/>
      <w:lang w:val="en-US" w:eastAsia="zh-CN" w:bidi="ar-SA"/>
    </w:rPr>
  </w:style>
  <w:style w:type="paragraph" w:customStyle="1" w:styleId="71">
    <w:name w:val="Char"/>
    <w:basedOn w:val="1"/>
    <w:qFormat/>
    <w:uiPriority w:val="0"/>
    <w:rPr>
      <w:rFonts w:ascii="仿宋_GB2312" w:hAnsi="Times New Roman" w:eastAsia="仿宋_GB2312" w:cs="仿宋_GB2312"/>
      <w:b/>
      <w:bCs/>
      <w:sz w:val="32"/>
      <w:szCs w:val="32"/>
    </w:rPr>
  </w:style>
  <w:style w:type="paragraph" w:customStyle="1" w:styleId="72">
    <w:name w:val="标题1"/>
    <w:basedOn w:val="25"/>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3">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4">
    <w:name w:val=" Char Char Char2 Char Char Char"/>
    <w:basedOn w:val="1"/>
    <w:qFormat/>
    <w:uiPriority w:val="0"/>
    <w:rPr>
      <w:rFonts w:ascii="Times New Roman" w:hAnsi="Times New Roman" w:eastAsia="宋体" w:cs="Times New Roman"/>
    </w:rPr>
  </w:style>
  <w:style w:type="paragraph" w:customStyle="1" w:styleId="75">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6">
    <w:name w:val="正"/>
    <w:basedOn w:val="1"/>
    <w:qFormat/>
    <w:uiPriority w:val="0"/>
    <w:pPr>
      <w:ind w:firstLine="525"/>
    </w:pPr>
    <w:rPr>
      <w:rFonts w:ascii="Times New Roman" w:hAnsi="Times New Roman" w:eastAsia="宋体" w:cs="Times New Roman"/>
      <w:spacing w:val="20"/>
    </w:rPr>
  </w:style>
  <w:style w:type="paragraph" w:customStyle="1" w:styleId="7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8">
    <w:name w:val="ÕÂ¡À¨ºÌâ"/>
    <w:basedOn w:val="77"/>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9">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80">
    <w:name w:val="表格"/>
    <w:basedOn w:val="1"/>
    <w:next w:val="13"/>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1">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2">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3">
    <w:name w:val=" Char3"/>
    <w:basedOn w:val="1"/>
    <w:qFormat/>
    <w:uiPriority w:val="0"/>
    <w:pPr>
      <w:tabs>
        <w:tab w:val="left" w:pos="360"/>
      </w:tabs>
    </w:pPr>
    <w:rPr>
      <w:rFonts w:ascii="Times New Roman" w:hAnsi="Times New Roman" w:eastAsia="宋体" w:cs="Times New Roman"/>
      <w:sz w:val="24"/>
    </w:rPr>
  </w:style>
  <w:style w:type="paragraph" w:styleId="84">
    <w:name w:val="List Paragraph"/>
    <w:basedOn w:val="1"/>
    <w:qFormat/>
    <w:uiPriority w:val="0"/>
    <w:pPr>
      <w:ind w:firstLine="420" w:firstLineChars="200"/>
    </w:pPr>
    <w:rPr>
      <w:rFonts w:ascii="Times New Roman" w:hAnsi="Times New Roman" w:eastAsia="宋体" w:cs="Times New Roman"/>
    </w:rPr>
  </w:style>
  <w:style w:type="paragraph" w:customStyle="1" w:styleId="85">
    <w:name w:val=" Char"/>
    <w:basedOn w:val="1"/>
    <w:qFormat/>
    <w:uiPriority w:val="0"/>
    <w:rPr>
      <w:rFonts w:ascii="Times New Roman" w:hAnsi="Times New Roman" w:eastAsia="宋体" w:cs="Times New Roman"/>
      <w:szCs w:val="20"/>
    </w:rPr>
  </w:style>
  <w:style w:type="paragraph" w:customStyle="1" w:styleId="86">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7">
    <w:name w:val=" Char Char Char"/>
    <w:basedOn w:val="1"/>
    <w:qFormat/>
    <w:uiPriority w:val="0"/>
    <w:rPr>
      <w:rFonts w:ascii="Tahoma" w:hAnsi="Tahoma" w:eastAsia="宋体" w:cs="Times New Roman"/>
      <w:sz w:val="24"/>
      <w:szCs w:val="20"/>
    </w:rPr>
  </w:style>
  <w:style w:type="paragraph" w:customStyle="1" w:styleId="88">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9">
    <w:name w:val="列出段落1"/>
    <w:basedOn w:val="1"/>
    <w:qFormat/>
    <w:uiPriority w:val="0"/>
    <w:pPr>
      <w:ind w:firstLine="420" w:firstLineChars="200"/>
    </w:pPr>
    <w:rPr>
      <w:rFonts w:ascii="Times New Roman" w:hAnsi="Times New Roman" w:eastAsia="宋体" w:cs="Times New Roman"/>
      <w:szCs w:val="22"/>
    </w:rPr>
  </w:style>
  <w:style w:type="paragraph" w:customStyle="1" w:styleId="90">
    <w:name w:val="null3"/>
    <w:qFormat/>
    <w:uiPriority w:val="0"/>
    <w:rPr>
      <w:rFonts w:hint="eastAsia" w:ascii="Calibri" w:hAnsi="Calibri" w:eastAsia="宋体" w:cs="Times New Roman"/>
      <w:lang w:val="en-US" w:eastAsia="zh-Hans" w:bidi="ar-SA"/>
    </w:rPr>
  </w:style>
  <w:style w:type="paragraph" w:customStyle="1" w:styleId="9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2">
    <w:name w:val="Table Text"/>
    <w:basedOn w:val="1"/>
    <w:semiHidden/>
    <w:qFormat/>
    <w:uiPriority w:val="0"/>
    <w:rPr>
      <w:rFonts w:ascii="宋体" w:hAnsi="宋体" w:eastAsia="宋体" w:cs="宋体"/>
      <w:sz w:val="19"/>
      <w:szCs w:val="19"/>
      <w:lang w:val="en-US" w:eastAsia="en-US" w:bidi="ar-SA"/>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font91"/>
    <w:basedOn w:val="40"/>
    <w:qFormat/>
    <w:uiPriority w:val="0"/>
    <w:rPr>
      <w:rFonts w:hint="default" w:ascii="Times New Roman" w:hAnsi="Times New Roman" w:cs="Times New Roman"/>
      <w:color w:val="000000"/>
      <w:sz w:val="24"/>
      <w:szCs w:val="24"/>
      <w:u w:val="none"/>
    </w:rPr>
  </w:style>
  <w:style w:type="character" w:customStyle="1" w:styleId="95">
    <w:name w:val="font101"/>
    <w:basedOn w:val="40"/>
    <w:qFormat/>
    <w:uiPriority w:val="0"/>
    <w:rPr>
      <w:rFonts w:hint="eastAsia" w:ascii="宋体" w:hAnsi="宋体" w:eastAsia="宋体" w:cs="宋体"/>
      <w:b/>
      <w:bCs/>
      <w:color w:val="FF0000"/>
      <w:sz w:val="24"/>
      <w:szCs w:val="24"/>
      <w:u w:val="none"/>
    </w:rPr>
  </w:style>
  <w:style w:type="character" w:customStyle="1" w:styleId="96">
    <w:name w:val="font41"/>
    <w:basedOn w:val="40"/>
    <w:qFormat/>
    <w:uiPriority w:val="0"/>
    <w:rPr>
      <w:rFonts w:hint="eastAsia" w:ascii="宋体" w:hAnsi="宋体" w:eastAsia="宋体" w:cs="宋体"/>
      <w:color w:val="000000"/>
      <w:sz w:val="24"/>
      <w:szCs w:val="24"/>
      <w:u w:val="none"/>
    </w:rPr>
  </w:style>
  <w:style w:type="character" w:customStyle="1" w:styleId="97">
    <w:name w:val="font71"/>
    <w:basedOn w:val="40"/>
    <w:qFormat/>
    <w:uiPriority w:val="0"/>
    <w:rPr>
      <w:rFonts w:ascii="Segoe UI" w:hAnsi="Segoe UI" w:eastAsia="Segoe UI" w:cs="Segoe UI"/>
      <w:color w:val="000000"/>
      <w:sz w:val="24"/>
      <w:szCs w:val="24"/>
      <w:u w:val="none"/>
    </w:rPr>
  </w:style>
  <w:style w:type="character" w:customStyle="1" w:styleId="98">
    <w:name w:val="font61"/>
    <w:basedOn w:val="40"/>
    <w:qFormat/>
    <w:uiPriority w:val="0"/>
    <w:rPr>
      <w:rFonts w:hint="eastAsia" w:ascii="宋体" w:hAnsi="宋体" w:eastAsia="宋体" w:cs="宋体"/>
      <w:color w:val="000000"/>
      <w:sz w:val="24"/>
      <w:szCs w:val="24"/>
      <w:u w:val="none"/>
    </w:rPr>
  </w:style>
  <w:style w:type="character" w:customStyle="1" w:styleId="99">
    <w:name w:val="font81"/>
    <w:basedOn w:val="40"/>
    <w:qFormat/>
    <w:uiPriority w:val="0"/>
    <w:rPr>
      <w:rFonts w:hint="default" w:ascii="Times New Roman" w:hAnsi="Times New Roman" w:cs="Times New Roman"/>
      <w:color w:val="000000"/>
      <w:sz w:val="24"/>
      <w:szCs w:val="24"/>
      <w:u w:val="none"/>
    </w:rPr>
  </w:style>
  <w:style w:type="character" w:customStyle="1" w:styleId="100">
    <w:name w:val="font51"/>
    <w:basedOn w:val="40"/>
    <w:qFormat/>
    <w:uiPriority w:val="0"/>
    <w:rPr>
      <w:rFonts w:hint="eastAsia" w:ascii="宋体" w:hAnsi="宋体" w:eastAsia="宋体" w:cs="宋体"/>
      <w:color w:val="000000"/>
      <w:sz w:val="24"/>
      <w:szCs w:val="24"/>
      <w:u w:val="none"/>
    </w:rPr>
  </w:style>
  <w:style w:type="character" w:customStyle="1" w:styleId="101">
    <w:name w:val="font112"/>
    <w:basedOn w:val="40"/>
    <w:qFormat/>
    <w:uiPriority w:val="0"/>
    <w:rPr>
      <w:rFonts w:hint="default" w:ascii="Times New Roman" w:hAnsi="Times New Roman" w:cs="Times New Roman"/>
      <w:color w:val="000000"/>
      <w:sz w:val="24"/>
      <w:szCs w:val="24"/>
      <w:u w:val="none"/>
    </w:rPr>
  </w:style>
  <w:style w:type="character" w:customStyle="1" w:styleId="102">
    <w:name w:val="font121"/>
    <w:basedOn w:val="40"/>
    <w:qFormat/>
    <w:uiPriority w:val="0"/>
    <w:rPr>
      <w:rFonts w:hint="eastAsia" w:ascii="宋体" w:hAnsi="宋体" w:eastAsia="宋体" w:cs="宋体"/>
      <w:b/>
      <w:bCs/>
      <w:color w:val="FF0000"/>
      <w:sz w:val="24"/>
      <w:szCs w:val="24"/>
      <w:u w:val="none"/>
    </w:rPr>
  </w:style>
  <w:style w:type="character" w:customStyle="1" w:styleId="103">
    <w:name w:val="font111"/>
    <w:basedOn w:val="40"/>
    <w:qFormat/>
    <w:uiPriority w:val="0"/>
    <w:rPr>
      <w:rFonts w:hint="eastAsia" w:ascii="宋体" w:hAnsi="宋体" w:eastAsia="宋体" w:cs="宋体"/>
      <w:b/>
      <w:bCs/>
      <w:color w:val="FF0000"/>
      <w:sz w:val="24"/>
      <w:szCs w:val="24"/>
      <w:u w:val="none"/>
    </w:rPr>
  </w:style>
  <w:style w:type="character" w:customStyle="1" w:styleId="104">
    <w:name w:val="font122"/>
    <w:basedOn w:val="40"/>
    <w:qFormat/>
    <w:uiPriority w:val="0"/>
    <w:rPr>
      <w:rFonts w:hint="eastAsia" w:ascii="宋体" w:hAnsi="宋体" w:eastAsia="宋体" w:cs="宋体"/>
      <w:color w:val="FF0000"/>
      <w:sz w:val="24"/>
      <w:szCs w:val="24"/>
      <w:u w:val="none"/>
    </w:rPr>
  </w:style>
  <w:style w:type="character" w:customStyle="1" w:styleId="105">
    <w:name w:val="16"/>
    <w:basedOn w:val="40"/>
    <w:qFormat/>
    <w:uiPriority w:val="0"/>
    <w:rPr>
      <w:rFonts w:hint="eastAsia" w:ascii="宋体" w:hAnsi="宋体" w:eastAsia="宋体" w:cs="宋体"/>
      <w:b/>
      <w:color w:val="000000"/>
      <w:sz w:val="21"/>
      <w:szCs w:val="21"/>
    </w:rPr>
  </w:style>
  <w:style w:type="character" w:customStyle="1" w:styleId="106">
    <w:name w:val="17"/>
    <w:basedOn w:val="40"/>
    <w:qFormat/>
    <w:uiPriority w:val="0"/>
    <w:rPr>
      <w:rFonts w:hint="default" w:ascii="新宋体" w:hAnsi="新宋体" w:eastAsia="新宋体" w:cs="新宋体"/>
      <w:color w:val="000000"/>
      <w:sz w:val="21"/>
      <w:szCs w:val="21"/>
    </w:rPr>
  </w:style>
  <w:style w:type="character" w:customStyle="1" w:styleId="107">
    <w:name w:val="15"/>
    <w:basedOn w:val="40"/>
    <w:qFormat/>
    <w:uiPriority w:val="0"/>
    <w:rPr>
      <w:rFonts w:hint="eastAsia" w:ascii="宋体" w:hAnsi="宋体" w:eastAsia="宋体" w:cs="宋体"/>
      <w:color w:val="000000"/>
      <w:sz w:val="21"/>
      <w:szCs w:val="21"/>
    </w:rPr>
  </w:style>
  <w:style w:type="character" w:customStyle="1" w:styleId="108">
    <w:name w:val="time"/>
    <w:basedOn w:val="40"/>
    <w:qFormat/>
    <w:uiPriority w:val="0"/>
  </w:style>
  <w:style w:type="character" w:customStyle="1" w:styleId="109">
    <w:name w:val="status"/>
    <w:basedOn w:val="40"/>
    <w:qFormat/>
    <w:uiPriority w:val="0"/>
    <w:rPr>
      <w:color w:val="0776DD"/>
    </w:rPr>
  </w:style>
  <w:style w:type="character" w:customStyle="1" w:styleId="110">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6833</Words>
  <Characters>7636</Characters>
  <Lines>224</Lines>
  <Paragraphs>63</Paragraphs>
  <TotalTime>2</TotalTime>
  <ScaleCrop>false</ScaleCrop>
  <LinksUpToDate>false</LinksUpToDate>
  <CharactersWithSpaces>7778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2024-03-16T00:41:00Z</dcterms:created>
  <dc:creator>Administrator</dc:creator>
  <cp:lastModifiedBy>姜韬</cp:lastModifiedBy>
  <cp:lastPrinted>2025-11-10T16:54:00Z</cp:lastPrinted>
  <dcterms:modified xsi:type="dcterms:W3CDTF">2026-01-06T07:46:22Z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F6DFAE7F73F8443A97648520956FB4C5_13</vt:lpwstr>
  </property>
  <property fmtid="{D5CDD505-2E9C-101B-9397-08002B2CF9AE}" pid="4" name="KSOTemplateDocerSaveRecord">
    <vt:lpwstr>eyJoZGlkIjoiOTcwZmZkNDM4NWFkZWZlYWYxNGMxZjhjYjZhODliOTMiLCJ1c2VySWQiOiIxNzY0OTk0Nzc4In0=</vt:lpwstr>
  </property>
</Properties>
</file>