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642B5">
      <w:pPr>
        <w:pStyle w:val="19"/>
        <w:snapToGrid w:val="0"/>
        <w:spacing w:before="120" w:after="120" w:line="360" w:lineRule="auto"/>
        <w:jc w:val="center"/>
        <w:rPr>
          <w:rFonts w:hint="eastAsia" w:hAnsi="宋体" w:cs="宋体"/>
          <w:b/>
          <w:bCs/>
          <w:color w:val="auto"/>
          <w:sz w:val="52"/>
          <w:szCs w:val="52"/>
          <w:highlight w:val="none"/>
          <w:lang w:val="en-US" w:eastAsia="zh-CN"/>
        </w:rPr>
      </w:pPr>
      <w:r>
        <w:rPr>
          <w:rFonts w:hint="eastAsia" w:hAnsi="宋体" w:cs="宋体"/>
          <w:sz w:val="52"/>
          <w:szCs w:val="52"/>
          <w:highlight w:val="none"/>
          <w:lang w:val="en-US" w:eastAsia="zh-CN"/>
        </w:rPr>
        <w:t xml:space="preserve"> </w:t>
      </w:r>
      <w:r>
        <w:rPr>
          <w:rFonts w:hint="eastAsia" w:hAnsi="宋体" w:cs="宋体"/>
          <w:b/>
          <w:bCs/>
          <w:color w:val="auto"/>
          <w:sz w:val="52"/>
          <w:szCs w:val="52"/>
          <w:highlight w:val="none"/>
          <w:lang w:val="en-US" w:eastAsia="zh-CN"/>
        </w:rPr>
        <w:t>义乌市水处理有限责任公司</w:t>
      </w:r>
    </w:p>
    <w:p w14:paraId="1047CEA7">
      <w:pPr>
        <w:pStyle w:val="19"/>
        <w:snapToGrid w:val="0"/>
        <w:spacing w:before="120" w:after="120" w:line="360" w:lineRule="auto"/>
        <w:jc w:val="center"/>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2026年度工业碳酸钠采购项目</w:t>
      </w:r>
    </w:p>
    <w:p w14:paraId="1904393F">
      <w:pPr>
        <w:pStyle w:val="19"/>
        <w:snapToGrid w:val="0"/>
        <w:spacing w:before="120" w:after="120" w:line="360" w:lineRule="auto"/>
        <w:jc w:val="center"/>
        <w:rPr>
          <w:rFonts w:hint="eastAsia"/>
          <w:b/>
          <w:color w:val="auto"/>
          <w:sz w:val="32"/>
          <w:szCs w:val="32"/>
          <w:highlight w:val="none"/>
        </w:rPr>
      </w:pPr>
    </w:p>
    <w:p w14:paraId="28EEF8A7">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0D6BBBAA">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0CE78B71">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424A265D">
      <w:pPr>
        <w:pStyle w:val="19"/>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13498B7F">
      <w:pPr>
        <w:pStyle w:val="19"/>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 xml:space="preserve">JYP-2026-CG004 </w:t>
      </w:r>
    </w:p>
    <w:p w14:paraId="5CA2CDFB">
      <w:pPr>
        <w:pStyle w:val="19"/>
        <w:snapToGrid w:val="0"/>
        <w:spacing w:before="120" w:after="120" w:line="360" w:lineRule="auto"/>
        <w:ind w:left="2137" w:hanging="2137" w:hangingChars="700"/>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b/>
          <w:color w:val="auto"/>
          <w:sz w:val="32"/>
          <w:szCs w:val="32"/>
          <w:highlight w:val="none"/>
          <w:u w:val="single"/>
          <w:lang w:val="en-US" w:eastAsia="zh-CN"/>
        </w:rPr>
        <w:t>义乌市水处理有限责任公司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065A507">
      <w:pPr>
        <w:pStyle w:val="19"/>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金华义产拍卖有限公司</w:t>
      </w:r>
      <w:r>
        <w:rPr>
          <w:rFonts w:hint="eastAsia" w:hAnsi="宋体"/>
          <w:b/>
          <w:color w:val="auto"/>
          <w:sz w:val="32"/>
          <w:szCs w:val="32"/>
          <w:highlight w:val="none"/>
          <w:u w:val="single"/>
        </w:rPr>
        <w:t>（盖章）</w:t>
      </w:r>
    </w:p>
    <w:p w14:paraId="4B38B1B7">
      <w:pPr>
        <w:pStyle w:val="19"/>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val="en-US" w:eastAsia="zh-CN"/>
        </w:rPr>
        <w:t>六</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一</w:t>
      </w:r>
      <w:r>
        <w:rPr>
          <w:rFonts w:hint="eastAsia" w:hAnsi="宋体"/>
          <w:b/>
          <w:color w:val="auto"/>
          <w:sz w:val="32"/>
          <w:szCs w:val="32"/>
          <w:highlight w:val="none"/>
          <w:u w:val="single"/>
        </w:rPr>
        <w:t>月</w:t>
      </w:r>
    </w:p>
    <w:p w14:paraId="3A9D2EB9">
      <w:pPr>
        <w:pStyle w:val="19"/>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2ACA4AA2">
      <w:pPr>
        <w:pStyle w:val="19"/>
        <w:snapToGrid w:val="0"/>
        <w:spacing w:before="120" w:after="120" w:line="360" w:lineRule="auto"/>
        <w:rPr>
          <w:rFonts w:hAnsi="宋体"/>
          <w:b/>
          <w:color w:val="auto"/>
          <w:sz w:val="32"/>
          <w:szCs w:val="32"/>
          <w:highlight w:val="none"/>
          <w:u w:val="single"/>
        </w:rPr>
      </w:pPr>
    </w:p>
    <w:p w14:paraId="36913A87">
      <w:pPr>
        <w:pStyle w:val="25"/>
        <w:tabs>
          <w:tab w:val="right" w:leader="dot" w:pos="8306"/>
        </w:tabs>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_Toc18522 </w:instrText>
      </w:r>
      <w:r>
        <w:rPr>
          <w:highlight w:val="none"/>
        </w:rPr>
        <w:fldChar w:fldCharType="separate"/>
      </w:r>
      <w:r>
        <w:rPr>
          <w:rFonts w:ascii="Times New Roman" w:hAnsi="Times New Roman" w:eastAsia="宋体" w:cs="Times New Roman"/>
          <w:bCs/>
          <w:kern w:val="44"/>
          <w:szCs w:val="44"/>
          <w:highlight w:val="none"/>
          <w:lang w:val="en-US" w:eastAsia="zh-CN" w:bidi="ar-SA"/>
        </w:rPr>
        <w:t>第一章</w:t>
      </w:r>
      <w:r>
        <w:rPr>
          <w:rFonts w:hint="eastAsia"/>
          <w:highlight w:val="none"/>
        </w:rPr>
        <w:t>　招标公告</w:t>
      </w:r>
      <w:r>
        <w:tab/>
      </w:r>
      <w:r>
        <w:fldChar w:fldCharType="begin"/>
      </w:r>
      <w:r>
        <w:instrText xml:space="preserve"> PAGEREF _Toc18522 \h </w:instrText>
      </w:r>
      <w:r>
        <w:fldChar w:fldCharType="separate"/>
      </w:r>
      <w:r>
        <w:t>3</w:t>
      </w:r>
      <w:r>
        <w:fldChar w:fldCharType="end"/>
      </w:r>
      <w:r>
        <w:rPr>
          <w:color w:val="auto"/>
          <w:highlight w:val="none"/>
        </w:rPr>
        <w:fldChar w:fldCharType="end"/>
      </w:r>
    </w:p>
    <w:p w14:paraId="40198057">
      <w:pPr>
        <w:pStyle w:val="25"/>
        <w:tabs>
          <w:tab w:val="right" w:leader="dot" w:pos="8306"/>
        </w:tabs>
      </w:pPr>
      <w:r>
        <w:rPr>
          <w:color w:val="auto"/>
          <w:szCs w:val="30"/>
          <w:highlight w:val="none"/>
        </w:rPr>
        <w:fldChar w:fldCharType="begin"/>
      </w:r>
      <w:r>
        <w:rPr>
          <w:szCs w:val="30"/>
          <w:highlight w:val="none"/>
        </w:rPr>
        <w:instrText xml:space="preserve"> HYPERLINK \l _Toc13544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第二章　投标须知和投标须知前附表</w:t>
      </w:r>
      <w:r>
        <w:tab/>
      </w:r>
      <w:r>
        <w:fldChar w:fldCharType="begin"/>
      </w:r>
      <w:r>
        <w:instrText xml:space="preserve"> PAGEREF _Toc13544 \h </w:instrText>
      </w:r>
      <w:r>
        <w:fldChar w:fldCharType="separate"/>
      </w:r>
      <w:r>
        <w:t>6</w:t>
      </w:r>
      <w:r>
        <w:fldChar w:fldCharType="end"/>
      </w:r>
      <w:r>
        <w:rPr>
          <w:color w:val="auto"/>
          <w:szCs w:val="30"/>
          <w:highlight w:val="none"/>
        </w:rPr>
        <w:fldChar w:fldCharType="end"/>
      </w:r>
    </w:p>
    <w:p w14:paraId="0E2E643B">
      <w:pPr>
        <w:pStyle w:val="25"/>
        <w:tabs>
          <w:tab w:val="right" w:leader="dot" w:pos="8306"/>
        </w:tabs>
      </w:pPr>
      <w:r>
        <w:rPr>
          <w:color w:val="auto"/>
          <w:szCs w:val="30"/>
          <w:highlight w:val="none"/>
        </w:rPr>
        <w:fldChar w:fldCharType="begin"/>
      </w:r>
      <w:r>
        <w:rPr>
          <w:szCs w:val="30"/>
          <w:highlight w:val="none"/>
        </w:rPr>
        <w:instrText xml:space="preserve"> HYPERLINK \l _Toc28523 </w:instrText>
      </w:r>
      <w:r>
        <w:rPr>
          <w:szCs w:val="30"/>
          <w:highlight w:val="none"/>
        </w:rPr>
        <w:fldChar w:fldCharType="separate"/>
      </w:r>
      <w:r>
        <w:rPr>
          <w:rFonts w:hint="eastAsia"/>
          <w:szCs w:val="32"/>
          <w:highlight w:val="none"/>
        </w:rPr>
        <w:t>投标须知</w:t>
      </w:r>
      <w:r>
        <w:tab/>
      </w:r>
      <w:r>
        <w:fldChar w:fldCharType="begin"/>
      </w:r>
      <w:r>
        <w:instrText xml:space="preserve"> PAGEREF _Toc28523 \h </w:instrText>
      </w:r>
      <w:r>
        <w:fldChar w:fldCharType="separate"/>
      </w:r>
      <w:r>
        <w:t>8</w:t>
      </w:r>
      <w:r>
        <w:fldChar w:fldCharType="end"/>
      </w:r>
      <w:r>
        <w:rPr>
          <w:color w:val="auto"/>
          <w:szCs w:val="30"/>
          <w:highlight w:val="none"/>
        </w:rPr>
        <w:fldChar w:fldCharType="end"/>
      </w:r>
    </w:p>
    <w:p w14:paraId="48BCB25C">
      <w:pPr>
        <w:pStyle w:val="29"/>
        <w:tabs>
          <w:tab w:val="right" w:leader="dot" w:pos="8306"/>
        </w:tabs>
      </w:pPr>
      <w:r>
        <w:rPr>
          <w:color w:val="auto"/>
          <w:szCs w:val="30"/>
          <w:highlight w:val="none"/>
        </w:rPr>
        <w:fldChar w:fldCharType="begin"/>
      </w:r>
      <w:r>
        <w:rPr>
          <w:szCs w:val="30"/>
          <w:highlight w:val="none"/>
        </w:rPr>
        <w:instrText xml:space="preserve"> HYPERLINK \l _Toc17807 </w:instrText>
      </w:r>
      <w:r>
        <w:rPr>
          <w:szCs w:val="30"/>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_Toc17807 \h </w:instrText>
      </w:r>
      <w:r>
        <w:fldChar w:fldCharType="separate"/>
      </w:r>
      <w:r>
        <w:t>8</w:t>
      </w:r>
      <w:r>
        <w:fldChar w:fldCharType="end"/>
      </w:r>
      <w:r>
        <w:rPr>
          <w:color w:val="auto"/>
          <w:szCs w:val="30"/>
          <w:highlight w:val="none"/>
        </w:rPr>
        <w:fldChar w:fldCharType="end"/>
      </w:r>
    </w:p>
    <w:p w14:paraId="21F48AFF">
      <w:pPr>
        <w:pStyle w:val="29"/>
        <w:tabs>
          <w:tab w:val="right" w:leader="dot" w:pos="8306"/>
        </w:tabs>
      </w:pPr>
      <w:r>
        <w:rPr>
          <w:color w:val="auto"/>
          <w:szCs w:val="30"/>
          <w:highlight w:val="none"/>
        </w:rPr>
        <w:fldChar w:fldCharType="begin"/>
      </w:r>
      <w:r>
        <w:rPr>
          <w:szCs w:val="30"/>
          <w:highlight w:val="none"/>
        </w:rPr>
        <w:instrText xml:space="preserve"> HYPERLINK \l _Toc24461 </w:instrText>
      </w:r>
      <w:r>
        <w:rPr>
          <w:szCs w:val="3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_Toc24461 \h </w:instrText>
      </w:r>
      <w:r>
        <w:fldChar w:fldCharType="separate"/>
      </w:r>
      <w:r>
        <w:t>9</w:t>
      </w:r>
      <w:r>
        <w:fldChar w:fldCharType="end"/>
      </w:r>
      <w:r>
        <w:rPr>
          <w:color w:val="auto"/>
          <w:szCs w:val="30"/>
          <w:highlight w:val="none"/>
        </w:rPr>
        <w:fldChar w:fldCharType="end"/>
      </w:r>
    </w:p>
    <w:p w14:paraId="383E2C2E">
      <w:pPr>
        <w:pStyle w:val="29"/>
        <w:tabs>
          <w:tab w:val="right" w:leader="dot" w:pos="8306"/>
        </w:tabs>
      </w:pPr>
      <w:r>
        <w:rPr>
          <w:color w:val="auto"/>
          <w:szCs w:val="30"/>
          <w:highlight w:val="none"/>
        </w:rPr>
        <w:fldChar w:fldCharType="begin"/>
      </w:r>
      <w:r>
        <w:rPr>
          <w:szCs w:val="30"/>
          <w:highlight w:val="none"/>
        </w:rPr>
        <w:instrText xml:space="preserve"> HYPERLINK \l _Toc29699 </w:instrText>
      </w:r>
      <w:r>
        <w:rPr>
          <w:szCs w:val="30"/>
          <w:highlight w:val="none"/>
        </w:rPr>
        <w:fldChar w:fldCharType="separate"/>
      </w:r>
      <w:r>
        <w:rPr>
          <w:rFonts w:hint="eastAsia" w:ascii="宋体" w:hAnsi="宋体" w:eastAsia="宋体" w:cs="宋体"/>
          <w:szCs w:val="21"/>
          <w:highlight w:val="none"/>
        </w:rPr>
        <w:t>三、投标文件</w:t>
      </w:r>
      <w:r>
        <w:tab/>
      </w:r>
      <w:r>
        <w:fldChar w:fldCharType="begin"/>
      </w:r>
      <w:r>
        <w:instrText xml:space="preserve"> PAGEREF _Toc29699 \h </w:instrText>
      </w:r>
      <w:r>
        <w:fldChar w:fldCharType="separate"/>
      </w:r>
      <w:r>
        <w:t>10</w:t>
      </w:r>
      <w:r>
        <w:fldChar w:fldCharType="end"/>
      </w:r>
      <w:r>
        <w:rPr>
          <w:color w:val="auto"/>
          <w:szCs w:val="30"/>
          <w:highlight w:val="none"/>
        </w:rPr>
        <w:fldChar w:fldCharType="end"/>
      </w:r>
    </w:p>
    <w:p w14:paraId="0E689A91">
      <w:pPr>
        <w:pStyle w:val="29"/>
        <w:tabs>
          <w:tab w:val="right" w:leader="dot" w:pos="8306"/>
        </w:tabs>
      </w:pPr>
      <w:r>
        <w:rPr>
          <w:color w:val="auto"/>
          <w:szCs w:val="30"/>
          <w:highlight w:val="none"/>
        </w:rPr>
        <w:fldChar w:fldCharType="begin"/>
      </w:r>
      <w:r>
        <w:rPr>
          <w:szCs w:val="30"/>
          <w:highlight w:val="none"/>
        </w:rPr>
        <w:instrText xml:space="preserve"> HYPERLINK \l _Toc10301 </w:instrText>
      </w:r>
      <w:r>
        <w:rPr>
          <w:szCs w:val="30"/>
          <w:highlight w:val="none"/>
        </w:rPr>
        <w:fldChar w:fldCharType="separate"/>
      </w:r>
      <w:r>
        <w:rPr>
          <w:rFonts w:hint="eastAsia" w:ascii="宋体" w:hAnsi="宋体" w:eastAsia="宋体" w:cs="宋体"/>
          <w:szCs w:val="21"/>
          <w:highlight w:val="none"/>
        </w:rPr>
        <w:t>四、投标文件的递交</w:t>
      </w:r>
      <w:r>
        <w:tab/>
      </w:r>
      <w:r>
        <w:fldChar w:fldCharType="begin"/>
      </w:r>
      <w:r>
        <w:instrText xml:space="preserve"> PAGEREF _Toc10301 \h </w:instrText>
      </w:r>
      <w:r>
        <w:fldChar w:fldCharType="separate"/>
      </w:r>
      <w:r>
        <w:t>12</w:t>
      </w:r>
      <w:r>
        <w:fldChar w:fldCharType="end"/>
      </w:r>
      <w:r>
        <w:rPr>
          <w:color w:val="auto"/>
          <w:szCs w:val="30"/>
          <w:highlight w:val="none"/>
        </w:rPr>
        <w:fldChar w:fldCharType="end"/>
      </w:r>
    </w:p>
    <w:p w14:paraId="52F426C9">
      <w:pPr>
        <w:pStyle w:val="29"/>
        <w:tabs>
          <w:tab w:val="right" w:leader="dot" w:pos="8306"/>
        </w:tabs>
      </w:pPr>
      <w:r>
        <w:rPr>
          <w:color w:val="auto"/>
          <w:szCs w:val="30"/>
          <w:highlight w:val="none"/>
        </w:rPr>
        <w:fldChar w:fldCharType="begin"/>
      </w:r>
      <w:r>
        <w:rPr>
          <w:szCs w:val="30"/>
          <w:highlight w:val="none"/>
        </w:rPr>
        <w:instrText xml:space="preserve"> HYPERLINK \l _Toc11244 </w:instrText>
      </w:r>
      <w:r>
        <w:rPr>
          <w:szCs w:val="30"/>
          <w:highlight w:val="none"/>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val="en-US" w:eastAsia="zh-CN"/>
        </w:rPr>
        <w:t>费用缴纳</w:t>
      </w:r>
      <w:r>
        <w:tab/>
      </w:r>
      <w:r>
        <w:fldChar w:fldCharType="begin"/>
      </w:r>
      <w:r>
        <w:instrText xml:space="preserve"> PAGEREF _Toc11244 \h </w:instrText>
      </w:r>
      <w:r>
        <w:fldChar w:fldCharType="separate"/>
      </w:r>
      <w:r>
        <w:t>13</w:t>
      </w:r>
      <w:r>
        <w:fldChar w:fldCharType="end"/>
      </w:r>
      <w:r>
        <w:rPr>
          <w:color w:val="auto"/>
          <w:szCs w:val="30"/>
          <w:highlight w:val="none"/>
        </w:rPr>
        <w:fldChar w:fldCharType="end"/>
      </w:r>
    </w:p>
    <w:p w14:paraId="7490E628">
      <w:pPr>
        <w:pStyle w:val="29"/>
        <w:tabs>
          <w:tab w:val="right" w:leader="dot" w:pos="8306"/>
        </w:tabs>
      </w:pPr>
      <w:r>
        <w:rPr>
          <w:color w:val="auto"/>
          <w:szCs w:val="30"/>
          <w:highlight w:val="none"/>
        </w:rPr>
        <w:fldChar w:fldCharType="begin"/>
      </w:r>
      <w:r>
        <w:rPr>
          <w:szCs w:val="30"/>
          <w:highlight w:val="none"/>
        </w:rPr>
        <w:instrText xml:space="preserve"> HYPERLINK \l _Toc8249 </w:instrText>
      </w:r>
      <w:r>
        <w:rPr>
          <w:szCs w:val="30"/>
          <w:highlight w:val="none"/>
        </w:rPr>
        <w:fldChar w:fldCharType="separate"/>
      </w:r>
      <w:r>
        <w:rPr>
          <w:rFonts w:hint="eastAsia" w:ascii="宋体" w:hAnsi="宋体" w:eastAsia="宋体" w:cs="宋体"/>
          <w:szCs w:val="21"/>
          <w:highlight w:val="none"/>
        </w:rPr>
        <w:t>六、</w:t>
      </w:r>
      <w:r>
        <w:rPr>
          <w:rFonts w:hint="eastAsia" w:ascii="宋体" w:hAnsi="宋体" w:eastAsia="宋体" w:cs="宋体"/>
          <w:szCs w:val="21"/>
          <w:highlight w:val="none"/>
          <w:lang w:eastAsia="zh-CN"/>
        </w:rPr>
        <w:t>其他</w:t>
      </w:r>
      <w:r>
        <w:tab/>
      </w:r>
      <w:r>
        <w:fldChar w:fldCharType="begin"/>
      </w:r>
      <w:r>
        <w:instrText xml:space="preserve"> PAGEREF _Toc8249 \h </w:instrText>
      </w:r>
      <w:r>
        <w:fldChar w:fldCharType="separate"/>
      </w:r>
      <w:r>
        <w:t>14</w:t>
      </w:r>
      <w:r>
        <w:fldChar w:fldCharType="end"/>
      </w:r>
      <w:r>
        <w:rPr>
          <w:color w:val="auto"/>
          <w:szCs w:val="30"/>
          <w:highlight w:val="none"/>
        </w:rPr>
        <w:fldChar w:fldCharType="end"/>
      </w:r>
    </w:p>
    <w:p w14:paraId="4C644250">
      <w:pPr>
        <w:pStyle w:val="25"/>
        <w:tabs>
          <w:tab w:val="right" w:leader="dot" w:pos="8306"/>
        </w:tabs>
      </w:pPr>
      <w:r>
        <w:rPr>
          <w:color w:val="auto"/>
          <w:szCs w:val="30"/>
          <w:highlight w:val="none"/>
        </w:rPr>
        <w:fldChar w:fldCharType="begin"/>
      </w:r>
      <w:r>
        <w:rPr>
          <w:szCs w:val="30"/>
          <w:highlight w:val="none"/>
        </w:rPr>
        <w:instrText xml:space="preserve"> HYPERLINK \l _Toc25593 </w:instrText>
      </w:r>
      <w:r>
        <w:rPr>
          <w:szCs w:val="30"/>
          <w:highlight w:val="none"/>
        </w:rPr>
        <w:fldChar w:fldCharType="separate"/>
      </w:r>
      <w:r>
        <w:rPr>
          <w:rFonts w:hint="eastAsia" w:ascii="Times New Roman" w:hAnsi="Times New Roman" w:eastAsia="宋体" w:cs="Times New Roman"/>
          <w:highlight w:val="none"/>
          <w:lang w:val="en-US" w:eastAsia="zh-CN"/>
        </w:rPr>
        <w:t>第三章  招标项目要求</w:t>
      </w:r>
      <w:r>
        <w:tab/>
      </w:r>
      <w:r>
        <w:fldChar w:fldCharType="begin"/>
      </w:r>
      <w:r>
        <w:instrText xml:space="preserve"> PAGEREF _Toc25593 \h </w:instrText>
      </w:r>
      <w:r>
        <w:fldChar w:fldCharType="separate"/>
      </w:r>
      <w:r>
        <w:t>15</w:t>
      </w:r>
      <w:r>
        <w:fldChar w:fldCharType="end"/>
      </w:r>
      <w:r>
        <w:rPr>
          <w:color w:val="auto"/>
          <w:szCs w:val="30"/>
          <w:highlight w:val="none"/>
        </w:rPr>
        <w:fldChar w:fldCharType="end"/>
      </w:r>
    </w:p>
    <w:p w14:paraId="2EB97955">
      <w:pPr>
        <w:pStyle w:val="29"/>
        <w:tabs>
          <w:tab w:val="right" w:leader="dot" w:pos="8306"/>
        </w:tabs>
      </w:pPr>
      <w:r>
        <w:rPr>
          <w:color w:val="auto"/>
          <w:szCs w:val="30"/>
          <w:highlight w:val="none"/>
        </w:rPr>
        <w:fldChar w:fldCharType="begin"/>
      </w:r>
      <w:r>
        <w:rPr>
          <w:szCs w:val="30"/>
          <w:highlight w:val="none"/>
        </w:rPr>
        <w:instrText xml:space="preserve"> HYPERLINK \l _Toc6831 </w:instrText>
      </w:r>
      <w:r>
        <w:rPr>
          <w:szCs w:val="30"/>
          <w:highlight w:val="none"/>
        </w:rPr>
        <w:fldChar w:fldCharType="separate"/>
      </w:r>
      <w:r>
        <w:rPr>
          <w:rFonts w:hint="eastAsia" w:ascii="宋体" w:hAnsi="宋体" w:eastAsia="宋体" w:cs="宋体"/>
          <w:szCs w:val="21"/>
          <w:highlight w:val="none"/>
          <w:lang w:val="en-US" w:eastAsia="zh-CN"/>
        </w:rPr>
        <w:t>一、项目内容</w:t>
      </w:r>
      <w:r>
        <w:tab/>
      </w:r>
      <w:r>
        <w:fldChar w:fldCharType="begin"/>
      </w:r>
      <w:r>
        <w:instrText xml:space="preserve"> PAGEREF _Toc6831 \h </w:instrText>
      </w:r>
      <w:r>
        <w:fldChar w:fldCharType="separate"/>
      </w:r>
      <w:r>
        <w:t>15</w:t>
      </w:r>
      <w:r>
        <w:fldChar w:fldCharType="end"/>
      </w:r>
      <w:r>
        <w:rPr>
          <w:color w:val="auto"/>
          <w:szCs w:val="30"/>
          <w:highlight w:val="none"/>
        </w:rPr>
        <w:fldChar w:fldCharType="end"/>
      </w:r>
    </w:p>
    <w:p w14:paraId="182E8882">
      <w:pPr>
        <w:pStyle w:val="29"/>
        <w:tabs>
          <w:tab w:val="right" w:leader="dot" w:pos="8306"/>
        </w:tabs>
      </w:pPr>
      <w:r>
        <w:rPr>
          <w:color w:val="auto"/>
          <w:szCs w:val="30"/>
          <w:highlight w:val="none"/>
        </w:rPr>
        <w:fldChar w:fldCharType="begin"/>
      </w:r>
      <w:r>
        <w:rPr>
          <w:szCs w:val="30"/>
          <w:highlight w:val="none"/>
        </w:rPr>
        <w:instrText xml:space="preserve"> HYPERLINK \l _Toc1241 </w:instrText>
      </w:r>
      <w:r>
        <w:rPr>
          <w:szCs w:val="30"/>
          <w:highlight w:val="none"/>
        </w:rPr>
        <w:fldChar w:fldCharType="separate"/>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药剂技术规范</w:t>
      </w:r>
      <w:r>
        <w:tab/>
      </w:r>
      <w:r>
        <w:fldChar w:fldCharType="begin"/>
      </w:r>
      <w:r>
        <w:instrText xml:space="preserve"> PAGEREF _Toc1241 \h </w:instrText>
      </w:r>
      <w:r>
        <w:fldChar w:fldCharType="separate"/>
      </w:r>
      <w:r>
        <w:t>15</w:t>
      </w:r>
      <w:r>
        <w:fldChar w:fldCharType="end"/>
      </w:r>
      <w:r>
        <w:rPr>
          <w:color w:val="auto"/>
          <w:szCs w:val="30"/>
          <w:highlight w:val="none"/>
        </w:rPr>
        <w:fldChar w:fldCharType="end"/>
      </w:r>
    </w:p>
    <w:p w14:paraId="7768BE4F">
      <w:pPr>
        <w:pStyle w:val="29"/>
        <w:tabs>
          <w:tab w:val="right" w:leader="dot" w:pos="8306"/>
        </w:tabs>
      </w:pPr>
      <w:r>
        <w:rPr>
          <w:color w:val="auto"/>
          <w:szCs w:val="30"/>
          <w:highlight w:val="none"/>
        </w:rPr>
        <w:fldChar w:fldCharType="begin"/>
      </w:r>
      <w:r>
        <w:rPr>
          <w:szCs w:val="30"/>
          <w:highlight w:val="none"/>
        </w:rPr>
        <w:instrText xml:space="preserve"> HYPERLINK \l _Toc7917 </w:instrText>
      </w:r>
      <w:r>
        <w:rPr>
          <w:szCs w:val="30"/>
          <w:highlight w:val="none"/>
        </w:rPr>
        <w:fldChar w:fldCharType="separate"/>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、商务要求</w:t>
      </w:r>
      <w:r>
        <w:tab/>
      </w:r>
      <w:r>
        <w:fldChar w:fldCharType="begin"/>
      </w:r>
      <w:r>
        <w:instrText xml:space="preserve"> PAGEREF _Toc7917 \h </w:instrText>
      </w:r>
      <w:r>
        <w:fldChar w:fldCharType="separate"/>
      </w:r>
      <w:r>
        <w:t>16</w:t>
      </w:r>
      <w:r>
        <w:fldChar w:fldCharType="end"/>
      </w:r>
      <w:r>
        <w:rPr>
          <w:color w:val="auto"/>
          <w:szCs w:val="30"/>
          <w:highlight w:val="none"/>
        </w:rPr>
        <w:fldChar w:fldCharType="end"/>
      </w:r>
    </w:p>
    <w:p w14:paraId="05D8A2E6">
      <w:pPr>
        <w:pStyle w:val="29"/>
        <w:tabs>
          <w:tab w:val="right" w:leader="dot" w:pos="8306"/>
        </w:tabs>
      </w:pPr>
      <w:r>
        <w:rPr>
          <w:color w:val="auto"/>
          <w:szCs w:val="30"/>
          <w:highlight w:val="none"/>
        </w:rPr>
        <w:fldChar w:fldCharType="begin"/>
      </w:r>
      <w:r>
        <w:rPr>
          <w:szCs w:val="30"/>
          <w:highlight w:val="none"/>
        </w:rPr>
        <w:instrText xml:space="preserve"> HYPERLINK \l _Toc31915 </w:instrText>
      </w:r>
      <w:r>
        <w:rPr>
          <w:szCs w:val="30"/>
          <w:highlight w:val="none"/>
        </w:rPr>
        <w:fldChar w:fldCharType="separate"/>
      </w:r>
      <w:r>
        <w:rPr>
          <w:rFonts w:hint="eastAsia" w:ascii="宋体" w:hAnsi="宋体" w:eastAsia="宋体" w:cs="宋体"/>
          <w:bCs/>
          <w:szCs w:val="21"/>
          <w:highlight w:val="none"/>
          <w:lang w:val="en-US" w:eastAsia="zh-CN"/>
        </w:rPr>
        <w:t>四</w:t>
      </w:r>
      <w:r>
        <w:rPr>
          <w:rFonts w:hint="eastAsia" w:ascii="宋体" w:hAnsi="宋体" w:eastAsia="宋体" w:cs="宋体"/>
          <w:bCs/>
          <w:szCs w:val="21"/>
          <w:highlight w:val="none"/>
        </w:rPr>
        <w:t>、其他说明</w:t>
      </w:r>
      <w:r>
        <w:tab/>
      </w:r>
      <w:r>
        <w:fldChar w:fldCharType="begin"/>
      </w:r>
      <w:r>
        <w:instrText xml:space="preserve"> PAGEREF _Toc31915 \h </w:instrText>
      </w:r>
      <w:r>
        <w:fldChar w:fldCharType="separate"/>
      </w:r>
      <w:r>
        <w:t>18</w:t>
      </w:r>
      <w:r>
        <w:fldChar w:fldCharType="end"/>
      </w:r>
      <w:r>
        <w:rPr>
          <w:color w:val="auto"/>
          <w:szCs w:val="30"/>
          <w:highlight w:val="none"/>
        </w:rPr>
        <w:fldChar w:fldCharType="end"/>
      </w:r>
    </w:p>
    <w:p w14:paraId="2240DF10">
      <w:pPr>
        <w:pStyle w:val="25"/>
        <w:tabs>
          <w:tab w:val="right" w:leader="dot" w:pos="8306"/>
        </w:tabs>
      </w:pPr>
      <w:r>
        <w:rPr>
          <w:color w:val="auto"/>
          <w:szCs w:val="30"/>
          <w:highlight w:val="none"/>
        </w:rPr>
        <w:fldChar w:fldCharType="begin"/>
      </w:r>
      <w:r>
        <w:rPr>
          <w:szCs w:val="30"/>
          <w:highlight w:val="none"/>
        </w:rPr>
        <w:instrText xml:space="preserve"> HYPERLINK \l _Toc32369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第四章</w:t>
      </w:r>
      <w:r>
        <w:rPr>
          <w:rFonts w:ascii="Times New Roman" w:hAnsi="Times New Roman" w:eastAsia="宋体" w:cs="Times New Roman"/>
          <w:bCs/>
          <w:kern w:val="44"/>
          <w:szCs w:val="44"/>
          <w:highlight w:val="none"/>
          <w:lang w:val="en-US" w:eastAsia="zh-CN" w:bidi="ar-SA"/>
        </w:rPr>
        <w:t xml:space="preserve">  </w:t>
      </w:r>
      <w:r>
        <w:rPr>
          <w:rFonts w:hint="eastAsia" w:ascii="Times New Roman" w:hAnsi="Times New Roman" w:eastAsia="宋体" w:cs="Times New Roman"/>
          <w:bCs/>
          <w:kern w:val="44"/>
          <w:szCs w:val="44"/>
          <w:highlight w:val="none"/>
          <w:lang w:val="en-US" w:eastAsia="zh-CN" w:bidi="ar-SA"/>
        </w:rPr>
        <w:t>开标、评标和定标须知</w:t>
      </w:r>
      <w:r>
        <w:tab/>
      </w:r>
      <w:r>
        <w:fldChar w:fldCharType="begin"/>
      </w:r>
      <w:r>
        <w:instrText xml:space="preserve"> PAGEREF _Toc32369 \h </w:instrText>
      </w:r>
      <w:r>
        <w:fldChar w:fldCharType="separate"/>
      </w:r>
      <w:r>
        <w:t>19</w:t>
      </w:r>
      <w:r>
        <w:fldChar w:fldCharType="end"/>
      </w:r>
      <w:r>
        <w:rPr>
          <w:color w:val="auto"/>
          <w:szCs w:val="30"/>
          <w:highlight w:val="none"/>
        </w:rPr>
        <w:fldChar w:fldCharType="end"/>
      </w:r>
    </w:p>
    <w:p w14:paraId="3CF13B79">
      <w:pPr>
        <w:pStyle w:val="29"/>
        <w:tabs>
          <w:tab w:val="right" w:leader="dot" w:pos="8306"/>
        </w:tabs>
      </w:pPr>
      <w:r>
        <w:rPr>
          <w:color w:val="auto"/>
          <w:szCs w:val="30"/>
          <w:highlight w:val="none"/>
        </w:rPr>
        <w:fldChar w:fldCharType="begin"/>
      </w:r>
      <w:r>
        <w:rPr>
          <w:szCs w:val="30"/>
          <w:highlight w:val="none"/>
        </w:rPr>
        <w:instrText xml:space="preserve"> HYPERLINK \l _Toc2898 </w:instrText>
      </w:r>
      <w:r>
        <w:rPr>
          <w:szCs w:val="30"/>
          <w:highlight w:val="none"/>
        </w:rPr>
        <w:fldChar w:fldCharType="separate"/>
      </w:r>
      <w:r>
        <w:rPr>
          <w:rFonts w:hint="eastAsia" w:ascii="宋体" w:hAnsi="宋体" w:eastAsia="宋体"/>
          <w:szCs w:val="21"/>
          <w:highlight w:val="none"/>
        </w:rPr>
        <w:t>一、开标</w:t>
      </w:r>
      <w:r>
        <w:tab/>
      </w:r>
      <w:r>
        <w:fldChar w:fldCharType="begin"/>
      </w:r>
      <w:r>
        <w:instrText xml:space="preserve"> PAGEREF _Toc2898 \h </w:instrText>
      </w:r>
      <w:r>
        <w:fldChar w:fldCharType="separate"/>
      </w:r>
      <w:r>
        <w:t>19</w:t>
      </w:r>
      <w:r>
        <w:fldChar w:fldCharType="end"/>
      </w:r>
      <w:r>
        <w:rPr>
          <w:color w:val="auto"/>
          <w:szCs w:val="30"/>
          <w:highlight w:val="none"/>
        </w:rPr>
        <w:fldChar w:fldCharType="end"/>
      </w:r>
    </w:p>
    <w:p w14:paraId="6AF13DAA">
      <w:pPr>
        <w:pStyle w:val="29"/>
        <w:tabs>
          <w:tab w:val="right" w:leader="dot" w:pos="8306"/>
        </w:tabs>
      </w:pPr>
      <w:r>
        <w:rPr>
          <w:color w:val="auto"/>
          <w:szCs w:val="30"/>
          <w:highlight w:val="none"/>
        </w:rPr>
        <w:fldChar w:fldCharType="begin"/>
      </w:r>
      <w:r>
        <w:rPr>
          <w:szCs w:val="30"/>
          <w:highlight w:val="none"/>
        </w:rPr>
        <w:instrText xml:space="preserve"> HYPERLINK \l _Toc17541 </w:instrText>
      </w:r>
      <w:r>
        <w:rPr>
          <w:szCs w:val="30"/>
          <w:highlight w:val="none"/>
        </w:rPr>
        <w:fldChar w:fldCharType="separate"/>
      </w:r>
      <w:r>
        <w:rPr>
          <w:rFonts w:hint="eastAsia" w:ascii="宋体" w:hAnsi="宋体" w:eastAsia="宋体" w:cs="宋体"/>
          <w:szCs w:val="21"/>
          <w:highlight w:val="none"/>
        </w:rPr>
        <w:t>二、评标</w:t>
      </w:r>
      <w:r>
        <w:tab/>
      </w:r>
      <w:r>
        <w:fldChar w:fldCharType="begin"/>
      </w:r>
      <w:r>
        <w:instrText xml:space="preserve"> PAGEREF _Toc17541 \h </w:instrText>
      </w:r>
      <w:r>
        <w:fldChar w:fldCharType="separate"/>
      </w:r>
      <w:r>
        <w:t>19</w:t>
      </w:r>
      <w:r>
        <w:fldChar w:fldCharType="end"/>
      </w:r>
      <w:r>
        <w:rPr>
          <w:color w:val="auto"/>
          <w:szCs w:val="30"/>
          <w:highlight w:val="none"/>
        </w:rPr>
        <w:fldChar w:fldCharType="end"/>
      </w:r>
    </w:p>
    <w:p w14:paraId="409B42E2">
      <w:pPr>
        <w:pStyle w:val="29"/>
        <w:tabs>
          <w:tab w:val="right" w:leader="dot" w:pos="8306"/>
        </w:tabs>
      </w:pPr>
      <w:r>
        <w:rPr>
          <w:color w:val="auto"/>
          <w:szCs w:val="30"/>
          <w:highlight w:val="none"/>
        </w:rPr>
        <w:fldChar w:fldCharType="begin"/>
      </w:r>
      <w:r>
        <w:rPr>
          <w:szCs w:val="30"/>
          <w:highlight w:val="none"/>
        </w:rPr>
        <w:instrText xml:space="preserve"> HYPERLINK \l _Toc30229 </w:instrText>
      </w:r>
      <w:r>
        <w:rPr>
          <w:szCs w:val="30"/>
          <w:highlight w:val="none"/>
        </w:rPr>
        <w:fldChar w:fldCharType="separate"/>
      </w:r>
      <w:r>
        <w:rPr>
          <w:rFonts w:hint="eastAsia" w:ascii="宋体" w:hAnsi="宋体" w:eastAsia="宋体" w:cs="宋体"/>
          <w:szCs w:val="21"/>
          <w:highlight w:val="none"/>
        </w:rPr>
        <w:t>三、定标</w:t>
      </w:r>
      <w:r>
        <w:tab/>
      </w:r>
      <w:r>
        <w:fldChar w:fldCharType="begin"/>
      </w:r>
      <w:r>
        <w:instrText xml:space="preserve"> PAGEREF _Toc30229 \h </w:instrText>
      </w:r>
      <w:r>
        <w:fldChar w:fldCharType="separate"/>
      </w:r>
      <w:r>
        <w:t>22</w:t>
      </w:r>
      <w:r>
        <w:fldChar w:fldCharType="end"/>
      </w:r>
      <w:r>
        <w:rPr>
          <w:color w:val="auto"/>
          <w:szCs w:val="30"/>
          <w:highlight w:val="none"/>
        </w:rPr>
        <w:fldChar w:fldCharType="end"/>
      </w:r>
    </w:p>
    <w:p w14:paraId="6CBBFBD1">
      <w:pPr>
        <w:pStyle w:val="25"/>
        <w:tabs>
          <w:tab w:val="right" w:leader="dot" w:pos="8306"/>
        </w:tabs>
      </w:pPr>
      <w:r>
        <w:rPr>
          <w:color w:val="auto"/>
          <w:szCs w:val="30"/>
          <w:highlight w:val="none"/>
        </w:rPr>
        <w:fldChar w:fldCharType="begin"/>
      </w:r>
      <w:r>
        <w:rPr>
          <w:szCs w:val="30"/>
          <w:highlight w:val="none"/>
        </w:rPr>
        <w:instrText xml:space="preserve"> HYPERLINK \l _Toc5081 </w:instrText>
      </w:r>
      <w:r>
        <w:rPr>
          <w:szCs w:val="30"/>
          <w:highlight w:val="none"/>
        </w:rPr>
        <w:fldChar w:fldCharType="separate"/>
      </w:r>
      <w:r>
        <w:rPr>
          <w:rFonts w:hint="eastAsia" w:hAnsi="宋体"/>
          <w:highlight w:val="none"/>
        </w:rPr>
        <w:t>第五章</w:t>
      </w:r>
      <w:r>
        <w:rPr>
          <w:rFonts w:hAnsi="宋体"/>
          <w:highlight w:val="none"/>
        </w:rPr>
        <w:t xml:space="preserve">  </w:t>
      </w:r>
      <w:r>
        <w:rPr>
          <w:rFonts w:hint="eastAsia" w:hAnsi="宋体"/>
          <w:highlight w:val="none"/>
        </w:rPr>
        <w:t>投标文件的有效性</w:t>
      </w:r>
      <w:r>
        <w:tab/>
      </w:r>
      <w:r>
        <w:fldChar w:fldCharType="begin"/>
      </w:r>
      <w:r>
        <w:instrText xml:space="preserve"> PAGEREF _Toc5081 \h </w:instrText>
      </w:r>
      <w:r>
        <w:fldChar w:fldCharType="separate"/>
      </w:r>
      <w:r>
        <w:t>24</w:t>
      </w:r>
      <w:r>
        <w:fldChar w:fldCharType="end"/>
      </w:r>
      <w:r>
        <w:rPr>
          <w:color w:val="auto"/>
          <w:szCs w:val="30"/>
          <w:highlight w:val="none"/>
        </w:rPr>
        <w:fldChar w:fldCharType="end"/>
      </w:r>
    </w:p>
    <w:p w14:paraId="54597C4F">
      <w:pPr>
        <w:pStyle w:val="25"/>
        <w:tabs>
          <w:tab w:val="right" w:leader="dot" w:pos="8306"/>
        </w:tabs>
      </w:pPr>
      <w:r>
        <w:rPr>
          <w:color w:val="auto"/>
          <w:szCs w:val="30"/>
          <w:highlight w:val="none"/>
        </w:rPr>
        <w:fldChar w:fldCharType="begin"/>
      </w:r>
      <w:r>
        <w:rPr>
          <w:szCs w:val="30"/>
          <w:highlight w:val="none"/>
        </w:rPr>
        <w:instrText xml:space="preserve"> HYPERLINK \l _Toc1380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tab/>
      </w:r>
      <w:r>
        <w:fldChar w:fldCharType="begin"/>
      </w:r>
      <w:r>
        <w:instrText xml:space="preserve"> PAGEREF _Toc1380 \h </w:instrText>
      </w:r>
      <w:r>
        <w:fldChar w:fldCharType="separate"/>
      </w:r>
      <w:r>
        <w:t>26</w:t>
      </w:r>
      <w:r>
        <w:fldChar w:fldCharType="end"/>
      </w:r>
      <w:r>
        <w:rPr>
          <w:color w:val="auto"/>
          <w:szCs w:val="30"/>
          <w:highlight w:val="none"/>
        </w:rPr>
        <w:fldChar w:fldCharType="end"/>
      </w:r>
    </w:p>
    <w:p w14:paraId="35B7906D">
      <w:pPr>
        <w:pStyle w:val="25"/>
        <w:tabs>
          <w:tab w:val="right" w:leader="dot" w:pos="8306"/>
        </w:tabs>
      </w:pPr>
      <w:r>
        <w:rPr>
          <w:color w:val="auto"/>
          <w:szCs w:val="30"/>
          <w:highlight w:val="none"/>
        </w:rPr>
        <w:fldChar w:fldCharType="begin"/>
      </w:r>
      <w:r>
        <w:rPr>
          <w:szCs w:val="30"/>
          <w:highlight w:val="none"/>
        </w:rPr>
        <w:instrText xml:space="preserve"> HYPERLINK \l _Toc27052 </w:instrText>
      </w:r>
      <w:r>
        <w:rPr>
          <w:szCs w:val="30"/>
          <w:highlight w:val="none"/>
        </w:rPr>
        <w:fldChar w:fldCharType="separate"/>
      </w:r>
      <w:r>
        <w:rPr>
          <w:rFonts w:hint="eastAsia"/>
          <w:highlight w:val="none"/>
          <w:lang w:val="en-US" w:eastAsia="zh-CN"/>
        </w:rPr>
        <w:t xml:space="preserve">第七章 </w:t>
      </w:r>
      <w:r>
        <w:rPr>
          <w:rFonts w:hint="eastAsia"/>
          <w:highlight w:val="none"/>
        </w:rPr>
        <w:t>合同</w:t>
      </w:r>
      <w:r>
        <w:tab/>
      </w:r>
      <w:r>
        <w:fldChar w:fldCharType="begin"/>
      </w:r>
      <w:r>
        <w:instrText xml:space="preserve"> PAGEREF _Toc27052 \h </w:instrText>
      </w:r>
      <w:r>
        <w:fldChar w:fldCharType="separate"/>
      </w:r>
      <w:r>
        <w:t>28</w:t>
      </w:r>
      <w:r>
        <w:fldChar w:fldCharType="end"/>
      </w:r>
      <w:r>
        <w:rPr>
          <w:color w:val="auto"/>
          <w:szCs w:val="30"/>
          <w:highlight w:val="none"/>
        </w:rPr>
        <w:fldChar w:fldCharType="end"/>
      </w:r>
    </w:p>
    <w:p w14:paraId="14081B7F">
      <w:pPr>
        <w:pStyle w:val="25"/>
        <w:tabs>
          <w:tab w:val="right" w:leader="dot" w:pos="8306"/>
        </w:tabs>
      </w:pPr>
      <w:r>
        <w:rPr>
          <w:color w:val="auto"/>
          <w:szCs w:val="30"/>
          <w:highlight w:val="none"/>
        </w:rPr>
        <w:fldChar w:fldCharType="begin"/>
      </w:r>
      <w:r>
        <w:rPr>
          <w:szCs w:val="30"/>
          <w:highlight w:val="none"/>
        </w:rPr>
        <w:instrText xml:space="preserve"> HYPERLINK \l _Toc1480 </w:instrText>
      </w:r>
      <w:r>
        <w:rPr>
          <w:szCs w:val="30"/>
          <w:highlight w:val="none"/>
        </w:rPr>
        <w:fldChar w:fldCharType="separate"/>
      </w:r>
      <w:r>
        <w:rPr>
          <w:rFonts w:hint="eastAsia" w:ascii="宋体" w:hAnsi="宋体" w:eastAsia="宋体" w:cs="Times New Roman"/>
          <w:szCs w:val="36"/>
          <w:highlight w:val="none"/>
        </w:rPr>
        <w:t>第</w:t>
      </w:r>
      <w:r>
        <w:rPr>
          <w:rFonts w:hint="eastAsia" w:ascii="宋体" w:hAnsi="宋体" w:cs="Times New Roman"/>
          <w:szCs w:val="36"/>
          <w:highlight w:val="none"/>
          <w:lang w:val="en-US" w:eastAsia="zh-CN"/>
        </w:rPr>
        <w:t>八</w:t>
      </w:r>
      <w:r>
        <w:rPr>
          <w:rFonts w:hint="eastAsia" w:ascii="宋体" w:hAnsi="宋体" w:eastAsia="宋体" w:cs="Times New Roman"/>
          <w:szCs w:val="36"/>
          <w:highlight w:val="none"/>
        </w:rPr>
        <w:t>章  投标文件部分格式</w:t>
      </w:r>
      <w:r>
        <w:tab/>
      </w:r>
      <w:r>
        <w:fldChar w:fldCharType="begin"/>
      </w:r>
      <w:r>
        <w:instrText xml:space="preserve"> PAGEREF _Toc1480 \h </w:instrText>
      </w:r>
      <w:r>
        <w:fldChar w:fldCharType="separate"/>
      </w:r>
      <w:r>
        <w:t>32</w:t>
      </w:r>
      <w:r>
        <w:fldChar w:fldCharType="end"/>
      </w:r>
      <w:r>
        <w:rPr>
          <w:color w:val="auto"/>
          <w:szCs w:val="30"/>
          <w:highlight w:val="none"/>
        </w:rPr>
        <w:fldChar w:fldCharType="end"/>
      </w:r>
    </w:p>
    <w:p w14:paraId="2E527D56">
      <w:pPr>
        <w:pStyle w:val="29"/>
        <w:tabs>
          <w:tab w:val="right" w:leader="dot" w:pos="8306"/>
        </w:tabs>
      </w:pPr>
      <w:r>
        <w:rPr>
          <w:color w:val="auto"/>
          <w:szCs w:val="30"/>
          <w:highlight w:val="none"/>
        </w:rPr>
        <w:fldChar w:fldCharType="begin"/>
      </w:r>
      <w:r>
        <w:rPr>
          <w:szCs w:val="30"/>
          <w:highlight w:val="none"/>
        </w:rPr>
        <w:instrText xml:space="preserve"> HYPERLINK \l _Toc15240 </w:instrText>
      </w:r>
      <w:r>
        <w:rPr>
          <w:szCs w:val="30"/>
          <w:highlight w:val="none"/>
        </w:rPr>
        <w:fldChar w:fldCharType="separate"/>
      </w:r>
      <w:r>
        <w:rPr>
          <w:rFonts w:hint="eastAsia" w:ascii="宋体" w:hAnsi="宋体" w:eastAsia="宋体" w:cs="宋体"/>
          <w:szCs w:val="21"/>
          <w:highlight w:val="none"/>
        </w:rPr>
        <w:t>一、资格响应文件、商务技术响应文件部分格式</w:t>
      </w:r>
      <w:r>
        <w:tab/>
      </w:r>
      <w:r>
        <w:fldChar w:fldCharType="begin"/>
      </w:r>
      <w:r>
        <w:instrText xml:space="preserve"> PAGEREF _Toc15240 \h </w:instrText>
      </w:r>
      <w:r>
        <w:fldChar w:fldCharType="separate"/>
      </w:r>
      <w:r>
        <w:t>32</w:t>
      </w:r>
      <w:r>
        <w:fldChar w:fldCharType="end"/>
      </w:r>
      <w:r>
        <w:rPr>
          <w:color w:val="auto"/>
          <w:szCs w:val="30"/>
          <w:highlight w:val="none"/>
        </w:rPr>
        <w:fldChar w:fldCharType="end"/>
      </w:r>
    </w:p>
    <w:p w14:paraId="59A209CE">
      <w:pPr>
        <w:pStyle w:val="29"/>
        <w:tabs>
          <w:tab w:val="right" w:leader="dot" w:pos="8306"/>
        </w:tabs>
      </w:pPr>
      <w:r>
        <w:rPr>
          <w:color w:val="auto"/>
          <w:szCs w:val="30"/>
          <w:highlight w:val="none"/>
        </w:rPr>
        <w:fldChar w:fldCharType="begin"/>
      </w:r>
      <w:r>
        <w:rPr>
          <w:szCs w:val="30"/>
          <w:highlight w:val="none"/>
        </w:rPr>
        <w:instrText xml:space="preserve"> HYPERLINK \l _Toc3392 </w:instrText>
      </w:r>
      <w:r>
        <w:rPr>
          <w:szCs w:val="30"/>
          <w:highlight w:val="none"/>
        </w:rPr>
        <w:fldChar w:fldCharType="separate"/>
      </w:r>
      <w:r>
        <w:rPr>
          <w:rFonts w:hint="eastAsia" w:ascii="宋体" w:hAnsi="宋体" w:eastAsia="宋体" w:cs="宋体"/>
          <w:szCs w:val="21"/>
          <w:highlight w:val="none"/>
        </w:rPr>
        <w:t>二、报价响应文件部分格式</w:t>
      </w:r>
      <w:r>
        <w:tab/>
      </w:r>
      <w:r>
        <w:fldChar w:fldCharType="begin"/>
      </w:r>
      <w:r>
        <w:instrText xml:space="preserve"> PAGEREF _Toc3392 \h </w:instrText>
      </w:r>
      <w:r>
        <w:fldChar w:fldCharType="separate"/>
      </w:r>
      <w:r>
        <w:t>32</w:t>
      </w:r>
      <w:r>
        <w:fldChar w:fldCharType="end"/>
      </w:r>
      <w:r>
        <w:rPr>
          <w:color w:val="auto"/>
          <w:szCs w:val="30"/>
          <w:highlight w:val="none"/>
        </w:rPr>
        <w:fldChar w:fldCharType="end"/>
      </w:r>
    </w:p>
    <w:p w14:paraId="5F42A46C">
      <w:pPr>
        <w:pStyle w:val="29"/>
        <w:tabs>
          <w:tab w:val="right" w:leader="dot" w:pos="8306"/>
        </w:tabs>
      </w:pPr>
      <w:r>
        <w:rPr>
          <w:color w:val="auto"/>
          <w:szCs w:val="30"/>
          <w:highlight w:val="none"/>
        </w:rPr>
        <w:fldChar w:fldCharType="begin"/>
      </w:r>
      <w:r>
        <w:rPr>
          <w:szCs w:val="30"/>
          <w:highlight w:val="none"/>
        </w:rPr>
        <w:instrText xml:space="preserve"> HYPERLINK \l _Toc19360 </w:instrText>
      </w:r>
      <w:r>
        <w:rPr>
          <w:szCs w:val="30"/>
          <w:highlight w:val="none"/>
        </w:rPr>
        <w:fldChar w:fldCharType="separate"/>
      </w:r>
      <w:r>
        <w:rPr>
          <w:rFonts w:hint="eastAsia" w:ascii="宋体" w:hAnsi="宋体" w:eastAsia="宋体" w:cs="宋体"/>
          <w:szCs w:val="21"/>
          <w:highlight w:val="none"/>
        </w:rPr>
        <w:t>三、质疑函范本</w:t>
      </w:r>
      <w:r>
        <w:tab/>
      </w:r>
      <w:r>
        <w:fldChar w:fldCharType="begin"/>
      </w:r>
      <w:r>
        <w:instrText xml:space="preserve"> PAGEREF _Toc19360 \h </w:instrText>
      </w:r>
      <w:r>
        <w:fldChar w:fldCharType="separate"/>
      </w:r>
      <w:r>
        <w:t>32</w:t>
      </w:r>
      <w:r>
        <w:fldChar w:fldCharType="end"/>
      </w:r>
      <w:r>
        <w:rPr>
          <w:color w:val="auto"/>
          <w:szCs w:val="30"/>
          <w:highlight w:val="none"/>
        </w:rPr>
        <w:fldChar w:fldCharType="end"/>
      </w:r>
    </w:p>
    <w:p w14:paraId="6C5D817C">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25F02D31">
      <w:pPr>
        <w:pStyle w:val="4"/>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13402"/>
      <w:bookmarkStart w:id="1" w:name="_Toc18522"/>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0389FF16">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4B3CE6C3">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Fonts w:hint="eastAsia" w:ascii="宋体" w:hAnsi="宋体" w:cs="宋体"/>
          <w:b w:val="0"/>
          <w:bCs/>
          <w:color w:val="auto"/>
          <w:highlight w:val="none"/>
        </w:rPr>
        <w:t>YWYGZC202601CG0024</w:t>
      </w:r>
      <w:r>
        <w:rPr>
          <w:rFonts w:hint="eastAsia" w:ascii="宋体" w:hAnsi="宋体" w:cs="宋体"/>
          <w:b/>
          <w:bCs w:val="0"/>
          <w:color w:val="auto"/>
          <w:highlight w:val="none"/>
          <w:lang w:eastAsia="zh-CN"/>
        </w:rPr>
        <w:t>（</w:t>
      </w:r>
      <w:r>
        <w:rPr>
          <w:rFonts w:hint="eastAsia" w:ascii="宋体" w:hAnsi="宋体" w:cs="宋体"/>
          <w:b w:val="0"/>
          <w:bCs/>
          <w:color w:val="auto"/>
          <w:highlight w:val="none"/>
          <w:lang w:val="en-US" w:eastAsia="zh-CN"/>
        </w:rPr>
        <w:t>JYP</w:t>
      </w:r>
      <w:r>
        <w:rPr>
          <w:rFonts w:hint="eastAsia" w:ascii="宋体" w:hAnsi="宋体" w:cs="宋体"/>
          <w:b w:val="0"/>
          <w:bCs/>
          <w:color w:val="auto"/>
          <w:highlight w:val="none"/>
        </w:rPr>
        <w:t>-202</w:t>
      </w:r>
      <w:r>
        <w:rPr>
          <w:rFonts w:hint="eastAsia" w:ascii="宋体" w:hAnsi="宋体" w:cs="宋体"/>
          <w:b w:val="0"/>
          <w:bCs/>
          <w:color w:val="auto"/>
          <w:highlight w:val="none"/>
          <w:lang w:val="en-US" w:eastAsia="zh-CN"/>
        </w:rPr>
        <w:t>6</w:t>
      </w:r>
      <w:r>
        <w:rPr>
          <w:rFonts w:hint="eastAsia" w:ascii="宋体" w:hAnsi="宋体" w:cs="宋体"/>
          <w:b w:val="0"/>
          <w:bCs/>
          <w:color w:val="auto"/>
          <w:highlight w:val="none"/>
        </w:rPr>
        <w:t>-CG</w:t>
      </w:r>
      <w:r>
        <w:rPr>
          <w:rFonts w:hint="eastAsia" w:ascii="宋体" w:hAnsi="宋体" w:cs="宋体"/>
          <w:b w:val="0"/>
          <w:bCs/>
          <w:color w:val="auto"/>
          <w:highlight w:val="none"/>
          <w:lang w:val="en-US" w:eastAsia="zh-CN"/>
        </w:rPr>
        <w:t>004</w:t>
      </w:r>
      <w:r>
        <w:rPr>
          <w:rFonts w:hint="eastAsia" w:ascii="宋体" w:hAnsi="宋体" w:cs="宋体"/>
          <w:b/>
          <w:bCs w:val="0"/>
          <w:color w:val="auto"/>
          <w:highlight w:val="none"/>
          <w:lang w:eastAsia="zh-CN"/>
        </w:rPr>
        <w:t>）</w:t>
      </w:r>
      <w:r>
        <w:rPr>
          <w:rFonts w:hint="eastAsia" w:ascii="宋体" w:hAnsi="宋体" w:cs="宋体"/>
          <w:b/>
          <w:bCs w:val="0"/>
          <w:color w:val="auto"/>
          <w:highlight w:val="none"/>
        </w:rPr>
        <w:t xml:space="preserve">  </w:t>
      </w:r>
    </w:p>
    <w:p w14:paraId="7291F4C8">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bCs w:val="0"/>
          <w:color w:val="auto"/>
          <w:highlight w:val="none"/>
        </w:rPr>
        <w:t>采购内容及数量：</w:t>
      </w:r>
      <w:r>
        <w:rPr>
          <w:rFonts w:hint="eastAsia" w:ascii="宋体" w:hAnsi="宋体" w:cs="宋体"/>
          <w:b w:val="0"/>
          <w:bCs/>
          <w:color w:val="auto"/>
          <w:highlight w:val="none"/>
          <w:lang w:val="en-US" w:eastAsia="zh-CN"/>
        </w:rPr>
        <w:t>义乌市水处理有限责任公司2026年度工业碳酸钠采购项目，供货期限12个月，具体详见第三章招标项目要求。</w:t>
      </w:r>
    </w:p>
    <w:p w14:paraId="0F298545">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bCs/>
          <w:color w:val="auto"/>
          <w:highlight w:val="none"/>
        </w:rPr>
        <w:t>采购预算</w:t>
      </w:r>
      <w:r>
        <w:rPr>
          <w:rFonts w:hint="eastAsia" w:ascii="宋体" w:hAnsi="宋体" w:cs="宋体"/>
          <w:b/>
          <w:bCs/>
          <w:color w:val="auto"/>
          <w:highlight w:val="none"/>
          <w:lang w:val="en-US" w:eastAsia="zh-CN"/>
        </w:rPr>
        <w:t>及最高限</w:t>
      </w:r>
      <w:r>
        <w:rPr>
          <w:rFonts w:hint="eastAsia" w:ascii="宋体" w:hAnsi="宋体" w:cs="宋体"/>
          <w:b/>
          <w:bCs/>
          <w:color w:val="auto"/>
          <w:highlight w:val="none"/>
        </w:rPr>
        <w:t>价</w:t>
      </w:r>
      <w:r>
        <w:rPr>
          <w:rFonts w:hint="eastAsia" w:ascii="宋体" w:hAnsi="宋体" w:cs="宋体"/>
          <w:color w:val="auto"/>
          <w:highlight w:val="none"/>
        </w:rPr>
        <w:t>：</w:t>
      </w:r>
      <w:r>
        <w:rPr>
          <w:rFonts w:hint="eastAsia" w:ascii="宋体" w:hAnsi="宋体" w:cs="宋体"/>
          <w:color w:val="auto"/>
          <w:highlight w:val="none"/>
          <w:lang w:val="en-US" w:eastAsia="zh-CN"/>
        </w:rPr>
        <w:t>预算419.75万元。</w:t>
      </w:r>
      <w:r>
        <w:rPr>
          <w:rFonts w:hint="eastAsia" w:ascii="宋体" w:hAnsi="宋体" w:cs="宋体"/>
          <w:b/>
          <w:bCs/>
          <w:color w:val="auto"/>
          <w:highlight w:val="none"/>
          <w:lang w:val="en-US" w:eastAsia="zh-CN"/>
        </w:rPr>
        <w:t>采购单价最高限价：2300元/吨</w:t>
      </w:r>
      <w:r>
        <w:rPr>
          <w:rFonts w:hint="eastAsia" w:ascii="宋体" w:hAnsi="宋体" w:cs="宋体"/>
          <w:color w:val="auto"/>
          <w:highlight w:val="none"/>
          <w:lang w:val="en-US" w:eastAsia="zh-CN"/>
        </w:rPr>
        <w:t>。投标人的投标报价超过</w:t>
      </w:r>
      <w:r>
        <w:rPr>
          <w:rFonts w:hint="eastAsia" w:ascii="宋体" w:hAnsi="宋体" w:cs="宋体"/>
          <w:b/>
          <w:bCs/>
          <w:color w:val="auto"/>
          <w:highlight w:val="none"/>
        </w:rPr>
        <w:t>采购预算</w:t>
      </w:r>
      <w:r>
        <w:rPr>
          <w:rFonts w:hint="eastAsia" w:ascii="宋体" w:hAnsi="宋体" w:cs="宋体"/>
          <w:b/>
          <w:bCs/>
          <w:color w:val="auto"/>
          <w:highlight w:val="none"/>
          <w:lang w:val="en-US" w:eastAsia="zh-CN"/>
        </w:rPr>
        <w:t>及最高限</w:t>
      </w:r>
      <w:r>
        <w:rPr>
          <w:rFonts w:hint="eastAsia" w:ascii="宋体" w:hAnsi="宋体" w:cs="宋体"/>
          <w:b/>
          <w:bCs/>
          <w:color w:val="auto"/>
          <w:highlight w:val="none"/>
        </w:rPr>
        <w:t>价</w:t>
      </w:r>
      <w:r>
        <w:rPr>
          <w:rFonts w:hint="eastAsia" w:ascii="宋体" w:hAnsi="宋体" w:cs="宋体"/>
          <w:b/>
          <w:bCs/>
          <w:color w:val="auto"/>
          <w:highlight w:val="none"/>
          <w:lang w:val="en-US" w:eastAsia="zh-CN"/>
        </w:rPr>
        <w:t>的作</w:t>
      </w:r>
      <w:r>
        <w:rPr>
          <w:rFonts w:hint="eastAsia" w:ascii="宋体" w:hAnsi="宋体" w:cs="宋体"/>
          <w:color w:val="auto"/>
          <w:highlight w:val="none"/>
          <w:lang w:val="en-US" w:eastAsia="zh-CN"/>
        </w:rPr>
        <w:t>无效标处理。</w:t>
      </w:r>
    </w:p>
    <w:p w14:paraId="57A3FA2C">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6BBBA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具有独立承担民事责任的能力；具有良好的商业信誉和健全的财务会计制度；具有履行合同所必需的设备和专业技术能力；有依法缴纳税收和社会保障资金的良好记录。 参加采购活动前三年内，在经营活动中没有重大违法记录。</w:t>
      </w:r>
    </w:p>
    <w:p w14:paraId="44B411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信用要求：①未被“信用中国”网站（</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"https://www.creditchina.gov.cn"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www.creditchina.gov.cn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）列入严重失信主体名单；②投标人或法定代表人自202</w:t>
      </w:r>
      <w:r>
        <w:rPr>
          <w:rFonts w:hint="eastAsia"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年1月1日以来在中国裁判文书网（</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https</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//we</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 xml:space="preserve"> </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nshu.court.gov.cn/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）上没有行贿犯罪记录情况（以行贿罪判决为准）；</w:t>
      </w:r>
    </w:p>
    <w:p w14:paraId="484735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3</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投标单位须为具有法人资格的</w:t>
      </w:r>
      <w:r>
        <w:rPr>
          <w:rFonts w:hint="eastAsia" w:ascii="Times New Roman" w:hAnsi="宋体" w:eastAsia="宋体" w:cs="Times New Roman"/>
          <w:b w:val="0"/>
          <w:bCs/>
          <w:color w:val="auto"/>
          <w:highlight w:val="none"/>
          <w:lang w:val="zh-CN" w:eastAsia="zh-CN"/>
        </w:rPr>
        <w:t>工业碳酸钠</w:t>
      </w:r>
      <w:r>
        <w:rPr>
          <w:rFonts w:hint="eastAsia" w:ascii="Times New Roman" w:hAnsi="宋体" w:eastAsia="宋体" w:cs="Times New Roman"/>
          <w:b w:val="0"/>
          <w:bCs/>
          <w:color w:val="auto"/>
          <w:highlight w:val="none"/>
          <w:lang w:val="zh-CN"/>
        </w:rPr>
        <w:t>的供应商</w:t>
      </w: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投标人为生产厂家的，</w:t>
      </w:r>
      <w:r>
        <w:rPr>
          <w:rFonts w:hint="eastAsia" w:ascii="Times New Roman" w:hAnsi="宋体" w:eastAsia="宋体" w:cs="Times New Roman"/>
          <w:b w:val="0"/>
          <w:bCs/>
          <w:color w:val="auto"/>
          <w:highlight w:val="none"/>
          <w:lang w:val="zh-CN"/>
        </w:rPr>
        <w:t>需提供有效的营业执照、环评验收报告</w:t>
      </w: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或环评批复</w:t>
      </w: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zh-CN"/>
        </w:rPr>
        <w:t>并加盖电子签章</w:t>
      </w: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zh-CN"/>
        </w:rPr>
        <w:t>投标人为销售代理单位的，需提供有效的营业执照，还需提供生产厂家的</w:t>
      </w:r>
      <w:r>
        <w:rPr>
          <w:rFonts w:hint="eastAsia" w:ascii="Times New Roman" w:hAnsi="宋体" w:eastAsia="宋体" w:cs="Times New Roman"/>
          <w:b w:val="0"/>
          <w:bCs/>
          <w:color w:val="auto"/>
          <w:highlight w:val="none"/>
          <w:lang w:val="en-US" w:eastAsia="zh-CN"/>
        </w:rPr>
        <w:t>环评验收报告（或环评批复）和</w:t>
      </w:r>
      <w:r>
        <w:rPr>
          <w:rFonts w:hint="eastAsia" w:ascii="Times New Roman" w:hAnsi="宋体" w:eastAsia="宋体" w:cs="Times New Roman"/>
          <w:b w:val="0"/>
          <w:bCs/>
          <w:color w:val="auto"/>
          <w:highlight w:val="none"/>
          <w:lang w:val="zh-CN"/>
        </w:rPr>
        <w:t>长期供货合同</w:t>
      </w: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zh-CN"/>
        </w:rPr>
        <w:t>并加盖电子签章</w:t>
      </w:r>
      <w:r>
        <w:rPr>
          <w:rFonts w:hint="eastAsia" w:ascii="Times New Roman" w:hAnsi="宋体" w:eastAsia="宋体" w:cs="Times New Roman"/>
          <w:b w:val="0"/>
          <w:bCs/>
          <w:color w:val="auto"/>
          <w:highlight w:val="none"/>
          <w:lang w:val="zh-CN" w:eastAsia="zh-CN"/>
        </w:rPr>
        <w:t>。</w:t>
      </w:r>
    </w:p>
    <w:p w14:paraId="5FB86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hAnsi="宋体" w:cs="Times New Roman"/>
          <w:b w:val="0"/>
          <w:bCs/>
          <w:color w:val="auto"/>
          <w:highlight w:val="none"/>
          <w:lang w:val="en-US" w:eastAsia="zh-CN"/>
        </w:rPr>
        <w:t>4</w:t>
      </w:r>
      <w:r>
        <w:rPr>
          <w:rFonts w:hint="eastAsia" w:ascii="Times New Roman" w:hAnsi="宋体" w:eastAsia="宋体" w:cs="Times New Roman"/>
          <w:b w:val="0"/>
          <w:bCs/>
          <w:color w:val="auto"/>
          <w:highlight w:val="none"/>
          <w:lang w:val="en-US" w:eastAsia="zh-CN"/>
        </w:rPr>
        <w:t>）</w:t>
      </w:r>
      <w:r>
        <w:rPr>
          <w:rFonts w:hint="eastAsia" w:ascii="Times New Roman" w:hAnsi="宋体" w:eastAsia="宋体" w:cs="Times New Roman"/>
          <w:b w:val="0"/>
          <w:bCs/>
          <w:color w:val="auto"/>
          <w:highlight w:val="none"/>
          <w:lang w:val="zh-CN"/>
        </w:rPr>
        <w:t>本项目不得转包（如有转包，</w:t>
      </w:r>
      <w:r>
        <w:rPr>
          <w:rFonts w:hint="eastAsia" w:ascii="Times New Roman" w:hAnsi="宋体" w:eastAsia="宋体" w:cs="Times New Roman"/>
          <w:b w:val="0"/>
          <w:bCs/>
          <w:color w:val="auto"/>
          <w:highlight w:val="none"/>
          <w:lang w:val="en-US" w:eastAsia="zh-CN"/>
        </w:rPr>
        <w:t>解除</w:t>
      </w:r>
      <w:r>
        <w:rPr>
          <w:rFonts w:hint="eastAsia" w:ascii="Times New Roman" w:hAnsi="宋体" w:eastAsia="宋体" w:cs="Times New Roman"/>
          <w:b w:val="0"/>
          <w:bCs/>
          <w:color w:val="auto"/>
          <w:highlight w:val="none"/>
          <w:lang w:val="zh-CN"/>
        </w:rPr>
        <w:t>合同），不接受联合体投标。</w:t>
      </w:r>
    </w:p>
    <w:p w14:paraId="33FC4FC5">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1672D2AD">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w:t>
      </w:r>
      <w:r>
        <w:rPr>
          <w:rFonts w:hint="eastAsia" w:ascii="宋体" w:hAnsi="宋体" w:eastAsia="宋体" w:cs="宋体"/>
          <w:color w:val="auto"/>
          <w:highlight w:val="none"/>
        </w:rPr>
        <w:t>时间：公告发布时间起至投标截止时间止。</w:t>
      </w:r>
    </w:p>
    <w:p w14:paraId="347C969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地点：义乌市阳光招标采购平台</w:t>
      </w:r>
      <w:r>
        <w:rPr>
          <w:rFonts w:hint="eastAsia" w:ascii="宋体" w:hAnsi="宋体" w:cs="宋体"/>
          <w:color w:val="auto"/>
          <w:highlight w:val="none"/>
          <w:lang w:eastAsia="zh-CN"/>
        </w:rPr>
        <w:t>（</w:t>
      </w:r>
      <w:r>
        <w:rPr>
          <w:rFonts w:hint="eastAsia" w:ascii="宋体" w:hAnsi="宋体" w:eastAsia="宋体" w:cs="宋体"/>
          <w:color w:val="auto"/>
          <w:highlight w:val="none"/>
        </w:rPr>
        <w:t>www.ywygzc.com</w:t>
      </w:r>
      <w:r>
        <w:rPr>
          <w:rFonts w:hint="eastAsia" w:ascii="宋体" w:hAnsi="宋体" w:cs="宋体"/>
          <w:color w:val="auto"/>
          <w:highlight w:val="none"/>
          <w:lang w:eastAsia="zh-CN"/>
        </w:rPr>
        <w:t>）</w:t>
      </w:r>
      <w:r>
        <w:rPr>
          <w:rFonts w:hint="eastAsia" w:ascii="宋体" w:hAnsi="宋体" w:eastAsia="宋体" w:cs="宋体"/>
          <w:color w:val="auto"/>
          <w:highlight w:val="none"/>
        </w:rPr>
        <w:t>、义乌产权交易网（www.ywcq.com）。</w:t>
      </w:r>
    </w:p>
    <w:p w14:paraId="463B2ED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rPr>
        <w:t>方式：登录义乌市阳光招标采购平台账号获取或直接在招标公告下方获取。</w:t>
      </w:r>
    </w:p>
    <w:p w14:paraId="724CB33C">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52CB5141">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乌市水处理有限责任公司：吴先生（0579-85319722）</w:t>
      </w:r>
      <w:r>
        <w:rPr>
          <w:rFonts w:hint="eastAsia" w:ascii="宋体" w:hAnsi="宋体" w:cs="宋体"/>
          <w:color w:val="auto"/>
          <w:highlight w:val="none"/>
        </w:rPr>
        <w:t>和</w:t>
      </w:r>
      <w:r>
        <w:rPr>
          <w:rFonts w:hint="eastAsia" w:ascii="宋体" w:hAnsi="宋体" w:cs="宋体"/>
          <w:color w:val="auto"/>
          <w:highlight w:val="none"/>
          <w:lang w:eastAsia="zh-CN"/>
        </w:rPr>
        <w:t>金华义产拍卖有限公司</w:t>
      </w:r>
      <w:r>
        <w:rPr>
          <w:rFonts w:hint="eastAsia" w:ascii="宋体" w:hAnsi="宋体" w:cs="宋体"/>
          <w:color w:val="auto"/>
          <w:highlight w:val="none"/>
        </w:rPr>
        <w:t>：王小姐（0579-89903039，ywcqztb001@ywcq.com），并致电采购代理机构确认。书面文件邮寄地址：义乌市北苑街道望道路300号405</w:t>
      </w:r>
      <w:r>
        <w:rPr>
          <w:rFonts w:hint="eastAsia" w:ascii="宋体" w:hAnsi="宋体" w:cs="宋体"/>
          <w:color w:val="auto"/>
          <w:highlight w:val="none"/>
          <w:lang w:val="en-US" w:eastAsia="zh-CN"/>
        </w:rPr>
        <w:t>1。</w:t>
      </w:r>
    </w:p>
    <w:p w14:paraId="69963116">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bookmarkStart w:id="2" w:name="_Toc4701"/>
      <w:r>
        <w:rPr>
          <w:rFonts w:hint="eastAsia" w:ascii="Times New Roman" w:hAnsi="宋体" w:eastAsia="宋体" w:cs="Times New Roman"/>
          <w:b/>
          <w:bCs w:val="0"/>
          <w:color w:val="auto"/>
          <w:highlight w:val="none"/>
          <w:lang w:val="zh-CN"/>
        </w:rPr>
        <w:t>投标截止时间及地点：</w:t>
      </w:r>
      <w:bookmarkEnd w:id="2"/>
    </w:p>
    <w:p w14:paraId="7111E57D">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提交投标文件截止时间：</w:t>
      </w:r>
      <w:r>
        <w:rPr>
          <w:rFonts w:hint="eastAsia" w:ascii="宋体" w:hAnsi="宋体" w:cs="宋体"/>
          <w:color w:val="auto"/>
          <w:highlight w:val="none"/>
          <w:lang w:val="en-US" w:eastAsia="zh-CN"/>
        </w:rPr>
        <w:t>2026年1月21日9:00</w:t>
      </w:r>
      <w:r>
        <w:rPr>
          <w:rFonts w:hint="eastAsia" w:ascii="宋体" w:hAnsi="宋体" w:eastAsia="宋体" w:cs="宋体"/>
          <w:color w:val="auto"/>
          <w:highlight w:val="none"/>
        </w:rPr>
        <w:t>（北京时间）</w:t>
      </w:r>
    </w:p>
    <w:p w14:paraId="139485B5">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2）</w:t>
      </w:r>
      <w:r>
        <w:rPr>
          <w:rFonts w:hint="eastAsia" w:ascii="宋体" w:hAnsi="宋体" w:cs="Courier New"/>
          <w:color w:val="auto"/>
          <w:highlight w:val="none"/>
        </w:rPr>
        <w:t>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50D1B390">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3）</w:t>
      </w:r>
      <w:r>
        <w:rPr>
          <w:rFonts w:hint="eastAsia" w:ascii="宋体" w:hAnsi="宋体" w:cs="Courier New"/>
          <w:color w:val="auto"/>
          <w:highlight w:val="none"/>
        </w:rPr>
        <w:t>开标时间：</w:t>
      </w:r>
      <w:r>
        <w:rPr>
          <w:rFonts w:hint="eastAsia" w:ascii="宋体" w:hAnsi="宋体" w:cs="宋体"/>
          <w:color w:val="auto"/>
          <w:highlight w:val="none"/>
          <w:lang w:val="en-US" w:eastAsia="zh-CN"/>
        </w:rPr>
        <w:t>2026年1月 21日9:00</w:t>
      </w:r>
    </w:p>
    <w:p w14:paraId="1F95EA98">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4）</w:t>
      </w:r>
      <w:r>
        <w:rPr>
          <w:rFonts w:hint="eastAsia" w:ascii="宋体" w:hAnsi="宋体" w:cs="Courier New"/>
          <w:color w:val="auto"/>
          <w:highlight w:val="none"/>
        </w:rPr>
        <w:t>开标地点：“义乌市阳光招标采购平台”（www.ywygzc.com）</w:t>
      </w:r>
    </w:p>
    <w:p w14:paraId="0215B744">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15F2D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标前准备：本项目通过“义乌市阳光招标采购平台”实行在线投标（电子投标），各供应商在投标前应确保成为义乌市阳光招标采购平台正式注册入库供应商，并完成CA数字证书办理。【供应商入库办理流程：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下载中心</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义乌市阳光招标采购平台供应商入库申报操作手册；CA办理操作流程：义乌市阳光招标采购平台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办事指南-CA在线办理”（目前“义乌市阳光招标采购平台”仅支持天谷CA锁）】。因未注册入库、未办理CA数字证书等原因造成无法投标或投标失败等后果由供应商自行承担。</w:t>
      </w:r>
    </w:p>
    <w:p w14:paraId="769F4D5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下载中心</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义乌市阳光招标采购平台投标人操作手册”以获取最新操作指南。</w:t>
      </w:r>
    </w:p>
    <w:p w14:paraId="39CE3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投标文件上传：投标人应在投标截止时间（</w:t>
      </w:r>
      <w:r>
        <w:rPr>
          <w:rFonts w:hint="eastAsia" w:ascii="宋体" w:hAnsi="宋体" w:cs="宋体"/>
          <w:color w:val="auto"/>
          <w:highlight w:val="none"/>
          <w:lang w:val="en-US" w:eastAsia="zh-CN"/>
        </w:rPr>
        <w:t>2026年1月21日9:00</w:t>
      </w:r>
      <w:r>
        <w:rPr>
          <w:rFonts w:hint="eastAsia" w:ascii="Times New Roman" w:hAnsi="宋体" w:eastAsia="宋体" w:cs="Times New Roman"/>
          <w:b w:val="0"/>
          <w:bCs/>
          <w:color w:val="auto"/>
          <w:highlight w:val="none"/>
          <w:lang w:val="zh-CN"/>
        </w:rPr>
        <w:t>）之前上传投标文件。</w:t>
      </w:r>
    </w:p>
    <w:p w14:paraId="0067C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4）</w:t>
      </w:r>
      <w:r>
        <w:rPr>
          <w:rFonts w:hint="eastAsia" w:ascii="Times New Roman" w:hAnsi="宋体" w:eastAsia="宋体" w:cs="Times New Roman"/>
          <w:b w:val="0"/>
          <w:bCs/>
          <w:color w:val="auto"/>
          <w:highlight w:val="none"/>
          <w:lang w:val="zh-CN"/>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D75E7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782C26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①</w:t>
      </w:r>
      <w:r>
        <w:rPr>
          <w:rFonts w:hint="eastAsia" w:ascii="Times New Roman" w:hAnsi="宋体" w:eastAsia="宋体" w:cs="Times New Roman"/>
          <w:b w:val="0"/>
          <w:bCs/>
          <w:color w:val="auto"/>
          <w:highlight w:val="none"/>
          <w:lang w:val="zh-CN"/>
        </w:rPr>
        <w:t>该电脑未安装CA驱动，无法读取CA锁——重新下载安装驱动</w:t>
      </w:r>
      <w:r>
        <w:rPr>
          <w:rFonts w:hint="eastAsia" w:hAnsi="宋体" w:cs="Times New Roman"/>
          <w:b w:val="0"/>
          <w:bCs/>
          <w:color w:val="auto"/>
          <w:highlight w:val="none"/>
          <w:lang w:val="en-US" w:eastAsia="zh-CN"/>
        </w:rPr>
        <w:t>；</w:t>
      </w:r>
    </w:p>
    <w:p w14:paraId="183720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②</w:t>
      </w:r>
      <w:r>
        <w:rPr>
          <w:rFonts w:hint="eastAsia" w:ascii="Times New Roman" w:hAnsi="宋体" w:eastAsia="宋体" w:cs="Times New Roman"/>
          <w:b w:val="0"/>
          <w:bCs/>
          <w:color w:val="auto"/>
          <w:highlight w:val="none"/>
          <w:lang w:val="zh-CN"/>
        </w:rPr>
        <w:t>电脑长时间未关机应用程序未响应，导致无法读取CA锁——重启电脑或重新安装驱动</w:t>
      </w:r>
      <w:r>
        <w:rPr>
          <w:rFonts w:hint="eastAsia" w:hAnsi="宋体" w:cs="Times New Roman"/>
          <w:b w:val="0"/>
          <w:bCs/>
          <w:color w:val="auto"/>
          <w:highlight w:val="none"/>
          <w:lang w:val="en-US" w:eastAsia="zh-CN"/>
        </w:rPr>
        <w:t>；</w:t>
      </w:r>
    </w:p>
    <w:p w14:paraId="2317F3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③</w:t>
      </w:r>
      <w:r>
        <w:rPr>
          <w:rFonts w:hint="eastAsia" w:ascii="Times New Roman" w:hAnsi="宋体" w:eastAsia="宋体" w:cs="Times New Roman"/>
          <w:b w:val="0"/>
          <w:bCs/>
          <w:color w:val="auto"/>
          <w:highlight w:val="none"/>
          <w:lang w:val="zh-CN"/>
        </w:rPr>
        <w:t>浏览器版本过低导致无法识别——更换</w:t>
      </w:r>
      <w:bookmarkStart w:id="82" w:name="_GoBack"/>
      <w:bookmarkEnd w:id="82"/>
      <w:r>
        <w:rPr>
          <w:rFonts w:hint="eastAsia" w:hAnsi="宋体" w:cs="Times New Roman"/>
          <w:b w:val="0"/>
          <w:bCs/>
          <w:color w:val="auto"/>
          <w:highlight w:val="none"/>
          <w:lang w:val="zh-CN"/>
        </w:rPr>
        <w:t>Edge</w:t>
      </w:r>
      <w:r>
        <w:rPr>
          <w:rFonts w:hint="eastAsia" w:ascii="Times New Roman" w:hAnsi="宋体" w:eastAsia="宋体" w:cs="Times New Roman"/>
          <w:b w:val="0"/>
          <w:bCs/>
          <w:color w:val="auto"/>
          <w:highlight w:val="none"/>
          <w:lang w:val="zh-CN"/>
        </w:rPr>
        <w:t>、谷歌浏览器</w:t>
      </w:r>
      <w:r>
        <w:rPr>
          <w:rFonts w:hint="eastAsia" w:hAnsi="宋体" w:cs="Times New Roman"/>
          <w:b w:val="0"/>
          <w:bCs/>
          <w:color w:val="auto"/>
          <w:highlight w:val="none"/>
          <w:lang w:val="en-US" w:eastAsia="zh-CN"/>
        </w:rPr>
        <w:t>；</w:t>
      </w:r>
    </w:p>
    <w:p w14:paraId="17EE8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④</w:t>
      </w:r>
      <w:r>
        <w:rPr>
          <w:rFonts w:hint="eastAsia" w:ascii="Times New Roman" w:hAnsi="宋体" w:eastAsia="宋体" w:cs="Times New Roman"/>
          <w:b w:val="0"/>
          <w:bCs/>
          <w:color w:val="auto"/>
          <w:highlight w:val="none"/>
          <w:lang w:val="zh-CN"/>
        </w:rPr>
        <w:t>密码多次输入错误导致无法解密——打开CA工具进行检测密码是否正确</w:t>
      </w:r>
      <w:r>
        <w:rPr>
          <w:rFonts w:hint="eastAsia" w:hAnsi="宋体" w:cs="Times New Roman"/>
          <w:b w:val="0"/>
          <w:bCs/>
          <w:color w:val="auto"/>
          <w:highlight w:val="none"/>
          <w:lang w:val="en-US" w:eastAsia="zh-CN"/>
        </w:rPr>
        <w:t>；</w:t>
      </w:r>
    </w:p>
    <w:p w14:paraId="0FD19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⑤因杀毒软件检测导致无法识别CA锁——关闭杀毒软件</w:t>
      </w:r>
      <w:r>
        <w:rPr>
          <w:rFonts w:hint="eastAsia" w:hAnsi="宋体" w:cs="Times New Roman"/>
          <w:b w:val="0"/>
          <w:bCs/>
          <w:color w:val="auto"/>
          <w:highlight w:val="none"/>
          <w:lang w:val="en-US" w:eastAsia="zh-CN"/>
        </w:rPr>
        <w:t>；</w:t>
      </w:r>
    </w:p>
    <w:p w14:paraId="169B7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微软雅黑" w:hAnsi="微软雅黑" w:eastAsia="微软雅黑" w:cs="微软雅黑"/>
          <w:b w:val="0"/>
          <w:bCs/>
          <w:color w:val="auto"/>
          <w:highlight w:val="none"/>
          <w:lang w:val="zh-CN"/>
        </w:rPr>
        <w:t>⑥</w:t>
      </w:r>
      <w:r>
        <w:rPr>
          <w:rFonts w:hint="eastAsia" w:ascii="Times New Roman" w:hAnsi="宋体" w:eastAsia="宋体" w:cs="Times New Roman"/>
          <w:b w:val="0"/>
          <w:bCs/>
          <w:color w:val="auto"/>
          <w:highlight w:val="none"/>
          <w:lang w:val="zh-CN"/>
        </w:rPr>
        <w:t>因系统安装多版本驱动导致无法识别CA锁——卸载其他驱动或更换其他电脑安装驱动。</w:t>
      </w:r>
    </w:p>
    <w:p w14:paraId="645297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5）</w:t>
      </w:r>
      <w:r>
        <w:rPr>
          <w:rFonts w:hint="eastAsia" w:ascii="Times New Roman" w:hAnsi="宋体" w:eastAsia="宋体" w:cs="Times New Roman"/>
          <w:b w:val="0"/>
          <w:bCs/>
          <w:color w:val="auto"/>
          <w:highlight w:val="none"/>
          <w:lang w:val="zh-CN"/>
        </w:rPr>
        <w:t>参与在线投标时如遇平台技术问题详询：0579-89920081，电子投标制作问题详询：</w:t>
      </w:r>
      <w:r>
        <w:rPr>
          <w:rFonts w:hint="eastAsia" w:hAnsi="宋体"/>
          <w:color w:val="auto"/>
          <w:highlight w:val="none"/>
          <w:lang w:val="en-US" w:eastAsia="zh-CN"/>
        </w:rPr>
        <w:t>姜先生</w:t>
      </w:r>
      <w:r>
        <w:rPr>
          <w:rFonts w:hint="eastAsia" w:ascii="宋体" w:hAnsi="宋体" w:cs="宋体"/>
          <w:color w:val="auto"/>
          <w:szCs w:val="21"/>
          <w:highlight w:val="none"/>
        </w:rPr>
        <w:t xml:space="preserve"> </w:t>
      </w:r>
      <w:r>
        <w:rPr>
          <w:rFonts w:hint="eastAsia" w:ascii="Times New Roman" w:hAnsi="宋体" w:eastAsia="宋体" w:cs="Times New Roman"/>
          <w:b w:val="0"/>
          <w:bCs/>
          <w:color w:val="auto"/>
          <w:highlight w:val="none"/>
          <w:lang w:val="zh-CN"/>
        </w:rPr>
        <w:t>0579-</w:t>
      </w:r>
      <w:r>
        <w:rPr>
          <w:rFonts w:hint="eastAsia" w:ascii="Times New Roman" w:hAnsi="宋体" w:eastAsia="宋体" w:cs="Times New Roman"/>
          <w:b w:val="0"/>
          <w:bCs/>
          <w:color w:val="auto"/>
          <w:highlight w:val="none"/>
          <w:lang w:val="en-US" w:eastAsia="zh-CN"/>
        </w:rPr>
        <w:t>89919879</w:t>
      </w:r>
      <w:r>
        <w:rPr>
          <w:rFonts w:hint="eastAsia" w:ascii="Times New Roman" w:hAnsi="宋体" w:eastAsia="宋体" w:cs="Times New Roman"/>
          <w:b w:val="0"/>
          <w:bCs/>
          <w:color w:val="auto"/>
          <w:highlight w:val="none"/>
          <w:lang w:val="zh-CN"/>
        </w:rPr>
        <w:t>。</w:t>
      </w:r>
    </w:p>
    <w:p w14:paraId="33AA040A">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31F06F90">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06ED83BA">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Times New Roman"/>
          <w:color w:val="auto"/>
          <w:highlight w:val="none"/>
          <w:lang w:eastAsia="zh-CN"/>
        </w:rPr>
      </w:pPr>
      <w:r>
        <w:rPr>
          <w:rFonts w:hint="eastAsia" w:ascii="宋体" w:hAnsi="宋体" w:cs="Times New Roman"/>
          <w:color w:val="auto"/>
          <w:highlight w:val="none"/>
          <w:lang w:eastAsia="zh-CN"/>
        </w:rPr>
        <w:t>义乌市水处理有限责任公司： 吴先生 0579-85319722</w:t>
      </w:r>
    </w:p>
    <w:p w14:paraId="090BFF72">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default" w:ascii="宋体" w:hAnsi="宋体" w:cs="宋体"/>
          <w:color w:val="auto"/>
          <w:szCs w:val="21"/>
          <w:highlight w:val="none"/>
          <w:lang w:val="en-US"/>
        </w:rPr>
      </w:pPr>
      <w:r>
        <w:rPr>
          <w:rFonts w:hint="eastAsia" w:hAnsi="宋体"/>
          <w:color w:val="auto"/>
          <w:highlight w:val="none"/>
          <w:lang w:eastAsia="zh-CN"/>
        </w:rPr>
        <w:t>金华义产拍卖有限公司：</w:t>
      </w:r>
      <w:r>
        <w:rPr>
          <w:rFonts w:hint="eastAsia" w:hAnsi="宋体"/>
          <w:color w:val="auto"/>
          <w:highlight w:val="none"/>
          <w:lang w:val="en-US" w:eastAsia="zh-CN"/>
        </w:rPr>
        <w:t xml:space="preserve">姜先生 </w:t>
      </w:r>
      <w:r>
        <w:rPr>
          <w:rFonts w:hint="eastAsia" w:ascii="宋体" w:hAnsi="宋体" w:cs="宋体"/>
          <w:color w:val="auto"/>
          <w:szCs w:val="21"/>
          <w:highlight w:val="none"/>
        </w:rPr>
        <w:t xml:space="preserve">  0579-</w:t>
      </w:r>
      <w:r>
        <w:rPr>
          <w:rFonts w:hint="eastAsia" w:ascii="宋体" w:hAnsi="宋体" w:cs="Times New Roman"/>
          <w:color w:val="auto"/>
          <w:highlight w:val="none"/>
          <w:lang w:val="en-US" w:eastAsia="zh-CN"/>
        </w:rPr>
        <w:t xml:space="preserve">89919879 </w:t>
      </w:r>
    </w:p>
    <w:p w14:paraId="59622A5E">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宋体"/>
          <w:color w:val="auto"/>
          <w:szCs w:val="21"/>
          <w:highlight w:val="none"/>
        </w:rPr>
      </w:pPr>
    </w:p>
    <w:p w14:paraId="474DA927">
      <w:pPr>
        <w:pStyle w:val="36"/>
        <w:rPr>
          <w:rFonts w:hint="eastAsia"/>
          <w:color w:val="auto"/>
          <w:highlight w:val="none"/>
        </w:rPr>
      </w:pPr>
    </w:p>
    <w:p w14:paraId="268668B8">
      <w:pPr>
        <w:pStyle w:val="19"/>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hAnsi="宋体" w:cs="Times New Roman"/>
          <w:color w:val="auto"/>
          <w:highlight w:val="none"/>
          <w:lang w:eastAsia="zh-CN"/>
        </w:rPr>
      </w:pPr>
      <w:r>
        <w:rPr>
          <w:rFonts w:hint="eastAsia" w:hAnsi="宋体" w:cs="Times New Roman"/>
          <w:color w:val="auto"/>
          <w:highlight w:val="none"/>
          <w:lang w:eastAsia="zh-CN"/>
        </w:rPr>
        <w:t>义乌市水处理有限责任公司</w:t>
      </w:r>
    </w:p>
    <w:p w14:paraId="44419238">
      <w:pPr>
        <w:pStyle w:val="19"/>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hAnsi="宋体" w:eastAsia="宋体"/>
          <w:color w:val="auto"/>
          <w:highlight w:val="none"/>
          <w:lang w:eastAsia="zh-CN"/>
        </w:rPr>
      </w:pPr>
      <w:r>
        <w:rPr>
          <w:rFonts w:hint="eastAsia" w:hAnsi="宋体"/>
          <w:color w:val="auto"/>
          <w:highlight w:val="none"/>
          <w:lang w:eastAsia="zh-CN"/>
        </w:rPr>
        <w:t>金华义产拍卖有限公司</w:t>
      </w:r>
    </w:p>
    <w:p w14:paraId="4C49FE0A">
      <w:pPr>
        <w:pStyle w:val="19"/>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eastAsia" w:hAnsi="宋体"/>
          <w:color w:val="auto"/>
          <w:sz w:val="24"/>
          <w:highlight w:val="none"/>
        </w:rPr>
      </w:pPr>
      <w:r>
        <w:rPr>
          <w:rFonts w:hint="eastAsia" w:hAnsi="宋体"/>
          <w:color w:val="auto"/>
          <w:highlight w:val="none"/>
        </w:rPr>
        <w:t>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1</w:t>
      </w:r>
      <w:r>
        <w:rPr>
          <w:rFonts w:hint="eastAsia" w:hAnsi="宋体"/>
          <w:color w:val="auto"/>
          <w:highlight w:val="none"/>
        </w:rPr>
        <w:t>月</w:t>
      </w:r>
      <w:r>
        <w:rPr>
          <w:rFonts w:hint="eastAsia" w:hAnsi="宋体"/>
          <w:color w:val="auto"/>
          <w:highlight w:val="none"/>
          <w:lang w:val="en-US" w:eastAsia="zh-CN"/>
        </w:rPr>
        <w:t>9</w:t>
      </w:r>
      <w:r>
        <w:rPr>
          <w:rFonts w:hint="eastAsia" w:hAnsi="宋体"/>
          <w:color w:val="auto"/>
          <w:highlight w:val="none"/>
        </w:rPr>
        <w:t>日</w:t>
      </w:r>
    </w:p>
    <w:p w14:paraId="7796E3F8">
      <w:pPr>
        <w:pStyle w:val="19"/>
        <w:adjustRightInd w:val="0"/>
        <w:snapToGrid w:val="0"/>
        <w:spacing w:line="360" w:lineRule="auto"/>
        <w:jc w:val="right"/>
        <w:rPr>
          <w:rFonts w:hint="eastAsia" w:hAnsi="宋体"/>
          <w:color w:val="auto"/>
          <w:sz w:val="24"/>
          <w:highlight w:val="none"/>
        </w:rPr>
      </w:pPr>
    </w:p>
    <w:p w14:paraId="6B1135AB">
      <w:pPr>
        <w:pStyle w:val="19"/>
        <w:adjustRightInd w:val="0"/>
        <w:snapToGrid w:val="0"/>
        <w:spacing w:line="360" w:lineRule="auto"/>
        <w:jc w:val="right"/>
        <w:rPr>
          <w:rFonts w:hint="eastAsia" w:hAnsi="宋体"/>
          <w:color w:val="auto"/>
          <w:sz w:val="24"/>
          <w:highlight w:val="none"/>
        </w:rPr>
      </w:pPr>
    </w:p>
    <w:p w14:paraId="586B18AF">
      <w:pPr>
        <w:pStyle w:val="19"/>
        <w:adjustRightInd w:val="0"/>
        <w:snapToGrid w:val="0"/>
        <w:spacing w:line="400" w:lineRule="exact"/>
        <w:jc w:val="right"/>
        <w:rPr>
          <w:rFonts w:hint="eastAsia" w:hAnsi="宋体"/>
          <w:color w:val="auto"/>
          <w:sz w:val="24"/>
          <w:highlight w:val="none"/>
        </w:rPr>
      </w:pPr>
    </w:p>
    <w:p w14:paraId="7ED7D8F6">
      <w:pPr>
        <w:pStyle w:val="19"/>
        <w:adjustRightInd w:val="0"/>
        <w:snapToGrid w:val="0"/>
        <w:spacing w:line="400" w:lineRule="exact"/>
        <w:jc w:val="right"/>
        <w:rPr>
          <w:rFonts w:hint="eastAsia" w:hAnsi="宋体"/>
          <w:color w:val="auto"/>
          <w:sz w:val="24"/>
          <w:highlight w:val="none"/>
        </w:rPr>
      </w:pPr>
    </w:p>
    <w:p w14:paraId="57CA975D">
      <w:pPr>
        <w:pStyle w:val="19"/>
        <w:adjustRightInd w:val="0"/>
        <w:snapToGrid w:val="0"/>
        <w:spacing w:line="400" w:lineRule="exact"/>
        <w:jc w:val="right"/>
        <w:rPr>
          <w:rFonts w:hint="eastAsia" w:hAnsi="宋体"/>
          <w:color w:val="auto"/>
          <w:sz w:val="24"/>
          <w:highlight w:val="none"/>
        </w:rPr>
      </w:pPr>
    </w:p>
    <w:p w14:paraId="341E215F">
      <w:pPr>
        <w:pStyle w:val="19"/>
        <w:adjustRightInd w:val="0"/>
        <w:snapToGrid w:val="0"/>
        <w:spacing w:line="400" w:lineRule="exact"/>
        <w:jc w:val="right"/>
        <w:rPr>
          <w:rFonts w:hint="eastAsia" w:hAnsi="宋体"/>
          <w:color w:val="auto"/>
          <w:sz w:val="24"/>
          <w:highlight w:val="none"/>
        </w:rPr>
      </w:pPr>
    </w:p>
    <w:p w14:paraId="602697E7">
      <w:pPr>
        <w:pStyle w:val="19"/>
        <w:adjustRightInd w:val="0"/>
        <w:snapToGrid w:val="0"/>
        <w:spacing w:line="400" w:lineRule="exact"/>
        <w:jc w:val="right"/>
        <w:rPr>
          <w:rFonts w:hint="eastAsia" w:hAnsi="宋体"/>
          <w:color w:val="auto"/>
          <w:sz w:val="24"/>
          <w:highlight w:val="none"/>
        </w:rPr>
      </w:pPr>
    </w:p>
    <w:p w14:paraId="615D0FD7">
      <w:pPr>
        <w:pStyle w:val="19"/>
        <w:adjustRightInd w:val="0"/>
        <w:snapToGrid w:val="0"/>
        <w:spacing w:line="400" w:lineRule="exact"/>
        <w:jc w:val="right"/>
        <w:rPr>
          <w:rFonts w:hAnsi="宋体"/>
          <w:color w:val="auto"/>
          <w:highlight w:val="none"/>
        </w:rPr>
      </w:pPr>
    </w:p>
    <w:p w14:paraId="20A54470">
      <w:pPr>
        <w:pStyle w:val="19"/>
        <w:adjustRightInd w:val="0"/>
        <w:snapToGrid w:val="0"/>
        <w:spacing w:line="400" w:lineRule="exact"/>
        <w:jc w:val="right"/>
        <w:rPr>
          <w:rFonts w:hAnsi="宋体"/>
          <w:color w:val="auto"/>
          <w:highlight w:val="none"/>
        </w:rPr>
      </w:pPr>
    </w:p>
    <w:p w14:paraId="0ABA6B3A">
      <w:pPr>
        <w:pStyle w:val="4"/>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13544"/>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08BD9214">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6A2F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0372B0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76B9BE53">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1CDE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56022DF">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8EAC1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50FB79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498941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项目名称：</w:t>
            </w:r>
            <w:r>
              <w:rPr>
                <w:rFonts w:hint="eastAsia" w:ascii="宋体" w:hAnsi="宋体" w:eastAsia="宋体" w:cs="宋体"/>
                <w:color w:val="auto"/>
                <w:sz w:val="21"/>
                <w:szCs w:val="21"/>
                <w:highlight w:val="none"/>
                <w:lang w:val="en-US" w:eastAsia="zh-CN"/>
              </w:rPr>
              <w:t>义乌市水处理有限责任公司2026年度工业碳酸钠采购项目</w:t>
            </w:r>
          </w:p>
          <w:p w14:paraId="046CA0C2">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采购内容</w:t>
            </w:r>
            <w:r>
              <w:rPr>
                <w:rFonts w:hint="eastAsia" w:ascii="宋体" w:hAnsi="宋体" w:eastAsia="宋体" w:cs="宋体"/>
                <w:b/>
                <w:bCs/>
                <w:color w:val="auto"/>
                <w:szCs w:val="21"/>
                <w:highlight w:val="none"/>
                <w:lang w:val="en-US" w:eastAsia="zh-CN"/>
              </w:rPr>
              <w:t>及数量</w:t>
            </w:r>
            <w:r>
              <w:rPr>
                <w:rFonts w:hint="eastAsia" w:ascii="宋体" w:hAnsi="宋体" w:eastAsia="宋体" w:cs="宋体"/>
                <w:b/>
                <w:bCs/>
                <w:color w:val="auto"/>
                <w:szCs w:val="21"/>
                <w:highlight w:val="none"/>
                <w:lang w:eastAsia="zh-CN"/>
              </w:rPr>
              <w:t>：</w:t>
            </w:r>
            <w:r>
              <w:rPr>
                <w:rFonts w:hint="eastAsia" w:ascii="宋体" w:hAnsi="宋体" w:eastAsia="宋体" w:cs="宋体"/>
                <w:color w:val="auto"/>
                <w:sz w:val="21"/>
                <w:szCs w:val="21"/>
                <w:highlight w:val="none"/>
                <w:lang w:val="en-US" w:eastAsia="zh-CN"/>
              </w:rPr>
              <w:t>2026年度工业碳酸钠采购</w:t>
            </w:r>
            <w:r>
              <w:rPr>
                <w:rFonts w:hint="eastAsia" w:ascii="宋体" w:hAnsi="宋体" w:cs="宋体"/>
                <w:color w:val="auto"/>
                <w:sz w:val="21"/>
                <w:szCs w:val="21"/>
                <w:highlight w:val="none"/>
                <w:lang w:val="en-US" w:eastAsia="zh-CN"/>
              </w:rPr>
              <w:t>，</w:t>
            </w:r>
            <w:r>
              <w:rPr>
                <w:rFonts w:hint="eastAsia" w:ascii="宋体" w:hAnsi="宋体" w:eastAsia="宋体" w:cs="Times New Roman"/>
                <w:color w:val="auto"/>
                <w:highlight w:val="none"/>
                <w:lang w:eastAsia="zh-CN"/>
              </w:rPr>
              <w:t>具体</w:t>
            </w:r>
            <w:r>
              <w:rPr>
                <w:rFonts w:hint="eastAsia" w:ascii="宋体" w:hAnsi="宋体" w:cs="Times New Roman"/>
                <w:color w:val="auto"/>
                <w:highlight w:val="none"/>
                <w:lang w:val="en-US" w:eastAsia="zh-CN"/>
              </w:rPr>
              <w:t>内容</w:t>
            </w:r>
            <w:r>
              <w:rPr>
                <w:rFonts w:hint="eastAsia" w:ascii="宋体" w:hAnsi="宋体" w:eastAsia="宋体" w:cs="Times New Roman"/>
                <w:color w:val="auto"/>
                <w:highlight w:val="none"/>
                <w:lang w:eastAsia="zh-CN"/>
              </w:rPr>
              <w:t>详见第三章招标项目要求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2DC3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0FD4B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9CE157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02F88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3EF6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7BF464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D5093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投标人</w:t>
            </w:r>
          </w:p>
          <w:p w14:paraId="3343A15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4EDB82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4286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A0C1BA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4E9CE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70ABC05">
            <w:pPr>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最低评标价法</w:t>
            </w:r>
          </w:p>
        </w:tc>
      </w:tr>
      <w:tr w14:paraId="63EE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B9D8E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799CBF3">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CB11E8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10E3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1E2DB9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59258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C61A74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9D1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6A74E8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61648E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962A765">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r>
              <w:rPr>
                <w:rFonts w:hint="eastAsia" w:ascii="宋体" w:hAnsi="宋体" w:eastAsia="宋体" w:cs="宋体"/>
                <w:color w:val="auto"/>
                <w:sz w:val="21"/>
                <w:szCs w:val="21"/>
                <w:highlight w:val="none"/>
              </w:rPr>
              <w:t>。</w:t>
            </w:r>
          </w:p>
        </w:tc>
      </w:tr>
      <w:tr w14:paraId="5E2D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8CA3D1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AAE403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31587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日前以书面形式向采购人和采购代理机构提出质疑。质疑以书面方式分别提交至义乌市水处理有限责任公司： 吴先生</w:t>
            </w:r>
            <w:r>
              <w:rPr>
                <w:rFonts w:hint="eastAsia" w:ascii="宋体" w:hAnsi="宋体" w:cs="宋体"/>
                <w:color w:val="auto"/>
                <w:highlight w:val="none"/>
                <w:lang w:eastAsia="zh-CN"/>
              </w:rPr>
              <w:t>（</w:t>
            </w:r>
            <w:r>
              <w:rPr>
                <w:rFonts w:hint="eastAsia" w:ascii="宋体" w:hAnsi="宋体" w:cs="宋体"/>
                <w:color w:val="auto"/>
                <w:highlight w:val="none"/>
              </w:rPr>
              <w:t>0579-85319722</w:t>
            </w:r>
            <w:r>
              <w:rPr>
                <w:rFonts w:hint="eastAsia" w:ascii="宋体" w:hAnsi="宋体" w:cs="宋体"/>
                <w:color w:val="auto"/>
                <w:highlight w:val="none"/>
                <w:lang w:eastAsia="zh-CN"/>
              </w:rPr>
              <w:t>）</w:t>
            </w:r>
            <w:r>
              <w:rPr>
                <w:rFonts w:hint="eastAsia" w:ascii="宋体" w:hAnsi="宋体" w:cs="宋体"/>
                <w:color w:val="auto"/>
                <w:highlight w:val="none"/>
              </w:rPr>
              <w:t>和</w:t>
            </w:r>
            <w:r>
              <w:rPr>
                <w:rFonts w:hint="eastAsia" w:ascii="宋体" w:hAnsi="宋体" w:cs="宋体"/>
                <w:color w:val="auto"/>
                <w:highlight w:val="none"/>
                <w:lang w:eastAsia="zh-CN"/>
              </w:rPr>
              <w:t>金华义产拍卖有限公司</w:t>
            </w:r>
            <w:r>
              <w:rPr>
                <w:rFonts w:hint="eastAsia" w:ascii="宋体" w:hAnsi="宋体" w:cs="宋体"/>
                <w:color w:val="auto"/>
                <w:highlight w:val="none"/>
              </w:rPr>
              <w:t>：王小姐（0579-89903039，ywcqztb001@ywcq.com），并致电采购代理机构确认。书面文件邮寄地址：义乌市北苑街道望道路300号405</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p>
        </w:tc>
      </w:tr>
      <w:tr w14:paraId="563A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AB9F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14A81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F5715F">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4B6D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293BB2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E47FA4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B11DF9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2026年1月21日9:00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66F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B49C68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6D99CD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6C03C2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color w:val="auto"/>
                <w:highlight w:val="none"/>
                <w:lang w:val="en-US" w:eastAsia="zh-CN"/>
              </w:rPr>
              <w:t>2026年1月21日9:00</w:t>
            </w:r>
          </w:p>
          <w:p w14:paraId="46BD6181">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2F6D9C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223FA68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F6500C5">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24FB2979">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4DD3DD9A">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w:t>
            </w:r>
            <w:r>
              <w:rPr>
                <w:rFonts w:hint="eastAsia" w:ascii="宋体" w:hAnsi="宋体" w:cs="宋体"/>
                <w:color w:val="auto"/>
                <w:highlight w:val="none"/>
                <w:lang w:eastAsia="zh-CN"/>
              </w:rPr>
              <w:t>Edge</w:t>
            </w:r>
            <w:r>
              <w:rPr>
                <w:rFonts w:hint="eastAsia" w:ascii="宋体" w:hAnsi="宋体" w:cs="宋体"/>
                <w:color w:val="auto"/>
                <w:highlight w:val="none"/>
              </w:rPr>
              <w:t>、谷歌浏览器</w:t>
            </w:r>
            <w:r>
              <w:rPr>
                <w:rFonts w:hint="eastAsia" w:ascii="宋体" w:hAnsi="宋体" w:cs="宋体"/>
                <w:color w:val="auto"/>
                <w:highlight w:val="none"/>
                <w:lang w:eastAsia="zh-CN"/>
              </w:rPr>
              <w:t>；</w:t>
            </w:r>
          </w:p>
          <w:p w14:paraId="5FD7380C">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49D36D9E">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0C6D01AE">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1408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A6323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DA40C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DCE11B0">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3AFF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B6485B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316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4AA8C6">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0143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16AE7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E46BE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66CEFE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52B4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6A19E0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0E0439A">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5881C9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54883E8C">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1AFD820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2BE62F4B">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7ADFEA3D">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090E0A4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6C1D5C2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754FF0E1">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464B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093E58">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46B5C4E">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32B707B">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Cs w:val="21"/>
                <w:highlight w:val="none"/>
              </w:rPr>
              <w:t>本项目设有采购预算及最高限价，投标报价超过采购预算及最高限价的，其投标为无效标。</w:t>
            </w:r>
          </w:p>
          <w:p w14:paraId="35C52B5A">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555DA573">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2AFD8957">
      <w:pPr>
        <w:pStyle w:val="4"/>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32581"/>
      <w:bookmarkStart w:id="6" w:name="_Toc8496"/>
      <w:bookmarkStart w:id="7" w:name="_Toc28523"/>
      <w:r>
        <w:rPr>
          <w:rFonts w:hint="eastAsia"/>
          <w:color w:val="auto"/>
          <w:sz w:val="32"/>
          <w:szCs w:val="32"/>
          <w:highlight w:val="none"/>
        </w:rPr>
        <w:t>投标须知</w:t>
      </w:r>
      <w:bookmarkEnd w:id="5"/>
      <w:bookmarkEnd w:id="6"/>
      <w:bookmarkEnd w:id="7"/>
    </w:p>
    <w:p w14:paraId="0AB95E06">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362250687"/>
      <w:bookmarkStart w:id="9" w:name="_Toc27843"/>
      <w:bookmarkStart w:id="10" w:name="_Toc17807"/>
      <w:bookmarkStart w:id="11" w:name="_Toc20416"/>
      <w:bookmarkStart w:id="12" w:name="_Toc274303229"/>
      <w:r>
        <w:rPr>
          <w:rFonts w:hint="eastAsia" w:ascii="宋体" w:hAnsi="宋体" w:eastAsia="宋体" w:cs="宋体"/>
          <w:color w:val="auto"/>
          <w:sz w:val="21"/>
          <w:szCs w:val="21"/>
          <w:highlight w:val="none"/>
        </w:rPr>
        <w:t>一、说明</w:t>
      </w:r>
      <w:bookmarkEnd w:id="8"/>
      <w:bookmarkEnd w:id="9"/>
      <w:bookmarkEnd w:id="10"/>
      <w:bookmarkEnd w:id="11"/>
      <w:bookmarkEnd w:id="12"/>
    </w:p>
    <w:p w14:paraId="3356B87E">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7A2D6081">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12501106">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400FB4EC">
      <w:pPr>
        <w:pStyle w:val="19"/>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eastAsia="zh-CN"/>
        </w:rPr>
        <w:t>义乌市水处理有限责任公司</w:t>
      </w:r>
      <w:r>
        <w:rPr>
          <w:rFonts w:hint="eastAsia" w:ascii="宋体" w:hAnsi="宋体" w:eastAsia="宋体" w:cs="宋体"/>
          <w:color w:val="auto"/>
          <w:sz w:val="21"/>
          <w:szCs w:val="21"/>
          <w:highlight w:val="none"/>
        </w:rPr>
        <w:t>。</w:t>
      </w:r>
    </w:p>
    <w:p w14:paraId="2702A2FF">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w:t>
      </w:r>
      <w:r>
        <w:rPr>
          <w:rFonts w:hint="eastAsia" w:ascii="宋体" w:hAnsi="宋体" w:cs="宋体"/>
          <w:color w:val="auto"/>
          <w:sz w:val="21"/>
          <w:szCs w:val="21"/>
          <w:highlight w:val="none"/>
          <w:lang w:eastAsia="zh-CN"/>
        </w:rPr>
        <w:t>金华义产拍卖有限公司</w:t>
      </w:r>
      <w:r>
        <w:rPr>
          <w:rFonts w:hint="eastAsia" w:ascii="宋体" w:hAnsi="宋体" w:eastAsia="宋体" w:cs="宋体"/>
          <w:color w:val="auto"/>
          <w:sz w:val="21"/>
          <w:szCs w:val="21"/>
          <w:highlight w:val="none"/>
        </w:rPr>
        <w:t>。</w:t>
      </w:r>
    </w:p>
    <w:p w14:paraId="406426B0">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6EF4F6AC">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0706E4D1">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752BE8D7">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43701DCA">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55492433">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4AD9338E">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3772311B">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5B2017A0">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3.1符合招标公告中要求的条件</w:t>
      </w:r>
      <w:r>
        <w:rPr>
          <w:rFonts w:hint="eastAsia" w:ascii="宋体" w:hAnsi="宋体" w:cs="宋体"/>
          <w:color w:val="auto"/>
          <w:sz w:val="21"/>
          <w:szCs w:val="21"/>
          <w:highlight w:val="none"/>
          <w:lang w:eastAsia="zh-CN"/>
        </w:rPr>
        <w:t>。</w:t>
      </w:r>
    </w:p>
    <w:p w14:paraId="2C89C3C7">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62AC2ED6">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应保证所提交给招标机构和采购人的资料和数据是真实的。</w:t>
      </w:r>
    </w:p>
    <w:p w14:paraId="0FF008F8">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55DE74A2">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68244B46">
      <w:pPr>
        <w:pStyle w:val="19"/>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79759E3F">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66F5E1D0">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在考察过程中发生的各类事件及所发生的各项费用，均由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自行承担。采购人和代理机构概不负责。</w:t>
      </w:r>
    </w:p>
    <w:p w14:paraId="2766CA9F">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提供的有关现场的数据和资料，是采购人现有的能被投标人利用的资料，采购人对投标人据此做出的任何推论、理解和结论不负责任。</w:t>
      </w:r>
    </w:p>
    <w:p w14:paraId="005A7985">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37911604">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3B042B26">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680EB499">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0632406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3B70FF22">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74303230"/>
      <w:bookmarkStart w:id="14" w:name="_Toc362250688"/>
      <w:bookmarkStart w:id="15" w:name="_Toc12737"/>
      <w:bookmarkStart w:id="16" w:name="_Toc24461"/>
      <w:bookmarkStart w:id="17" w:name="_Toc29212"/>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442310DA">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0576CB85">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0140167C">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54B11246">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130B587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708D7CF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79F392C4">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71E73807">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5E0C03B0">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58E983F1">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7F4498B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522F0C3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3D2D7F0F">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应认真阅读投标须知、合同条件、规定格式、项目要求、报价要求等招标文件所有的内容。如果</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的投标文件不能符合招标文件的要求，责任由</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自负。实质上不响应招标文件要求的投标文件将被拒绝。</w:t>
      </w:r>
    </w:p>
    <w:p w14:paraId="58B66F52">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60938BA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41AC2AE0">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1A9751E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43102A3F">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在前附表规定时间未提交疑问的，视作默认对本次招标过程中招标文件无异议，采购人对其提出的问题可以不作解释。</w:t>
      </w:r>
    </w:p>
    <w:p w14:paraId="62D543FC">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6B27C7D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2283AF9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663A7DB0">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16783"/>
      <w:bookmarkStart w:id="19" w:name="_Toc31250"/>
      <w:bookmarkStart w:id="20" w:name="_Toc362250689"/>
      <w:bookmarkStart w:id="21" w:name="_Toc274303231"/>
      <w:bookmarkStart w:id="22" w:name="_Toc29699"/>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0C737421">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4D3474AF">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681B721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0801A23F">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091B9EF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458638F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7D1E735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48E713D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42B75E5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41A59C93">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2EADE85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7686C8C0">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709190F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10BFD164">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w:t>
      </w:r>
      <w:r>
        <w:rPr>
          <w:rFonts w:hint="eastAsia" w:ascii="宋体" w:hAnsi="宋体" w:cs="宋体"/>
          <w:b/>
          <w:bCs/>
          <w:color w:val="auto"/>
          <w:sz w:val="21"/>
          <w:szCs w:val="21"/>
          <w:highlight w:val="none"/>
          <w:lang w:val="en-US" w:eastAsia="zh-CN"/>
        </w:rPr>
        <w:t>部分</w:t>
      </w:r>
      <w:r>
        <w:rPr>
          <w:rFonts w:hint="eastAsia" w:ascii="宋体" w:hAnsi="宋体" w:eastAsia="宋体" w:cs="宋体"/>
          <w:b/>
          <w:bCs/>
          <w:color w:val="auto"/>
          <w:sz w:val="21"/>
          <w:szCs w:val="21"/>
          <w:highlight w:val="none"/>
        </w:rPr>
        <w:t>格式中的表格；</w:t>
      </w:r>
    </w:p>
    <w:p w14:paraId="6258F2F0">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35787D41">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0DC5C32B">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64BD820C">
      <w:pP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r>
        <w:rPr>
          <w:rFonts w:hint="eastAsia" w:ascii="宋体" w:hAnsi="宋体" w:cs="宋体"/>
          <w:color w:val="auto"/>
          <w:sz w:val="21"/>
          <w:szCs w:val="21"/>
          <w:highlight w:val="none"/>
          <w:lang w:eastAsia="zh-CN"/>
        </w:rPr>
        <w:t>；</w:t>
      </w:r>
    </w:p>
    <w:p w14:paraId="21C94F81">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★（4）投标人为生产厂家的，需提供环评验收报告（或环评批复）并加盖电子签章。投标人为销售代理单位的，需提供生产厂家的环评验收报告（或环评批复）和长期供货合同，并加盖电子签章。</w:t>
      </w:r>
    </w:p>
    <w:p w14:paraId="60F05A74">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057D8612">
      <w:pPr>
        <w:pStyle w:val="19"/>
        <w:pageBreakBefore w:val="0"/>
        <w:widowControl w:val="0"/>
        <w:numPr>
          <w:ilvl w:val="0"/>
          <w:numId w:val="0"/>
        </w:numPr>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（1）货物简要说明一览表；</w:t>
      </w:r>
    </w:p>
    <w:p w14:paraId="51BBFDC4">
      <w:pPr>
        <w:pStyle w:val="19"/>
        <w:pageBreakBefore w:val="0"/>
        <w:widowControl w:val="0"/>
        <w:numPr>
          <w:ilvl w:val="0"/>
          <w:numId w:val="0"/>
        </w:numPr>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（2）产品质量保证承诺书和售后服务承诺书；</w:t>
      </w:r>
    </w:p>
    <w:p w14:paraId="51684F3E">
      <w:pPr>
        <w:pStyle w:val="19"/>
        <w:pageBreakBefore w:val="0"/>
        <w:widowControl w:val="0"/>
        <w:numPr>
          <w:ilvl w:val="0"/>
          <w:numId w:val="0"/>
        </w:numPr>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★（3）投标产品第三方检测公司出具的CMA检测报告复印件；</w:t>
      </w:r>
    </w:p>
    <w:p w14:paraId="54469B03">
      <w:pPr>
        <w:pStyle w:val="19"/>
        <w:pageBreakBefore w:val="0"/>
        <w:widowControl w:val="0"/>
        <w:numPr>
          <w:ilvl w:val="0"/>
          <w:numId w:val="0"/>
        </w:numPr>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（4）相关业绩证明材料复印件；</w:t>
      </w:r>
    </w:p>
    <w:p w14:paraId="413702E4">
      <w:pPr>
        <w:pStyle w:val="19"/>
        <w:pageBreakBefore w:val="0"/>
        <w:widowControl w:val="0"/>
        <w:numPr>
          <w:ilvl w:val="0"/>
          <w:numId w:val="0"/>
        </w:numPr>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（5）针对本项目制定的详细方案；</w:t>
      </w:r>
    </w:p>
    <w:p w14:paraId="2F0C2397">
      <w:pPr>
        <w:pStyle w:val="19"/>
        <w:pageBreakBefore w:val="0"/>
        <w:widowControl w:val="0"/>
        <w:numPr>
          <w:ilvl w:val="0"/>
          <w:numId w:val="0"/>
        </w:numPr>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（6）根据评审需要、招标文件要求等，投标人自行考虑需提供的资料。</w:t>
      </w:r>
    </w:p>
    <w:p w14:paraId="1CCD2021">
      <w:pPr>
        <w:pStyle w:val="19"/>
        <w:pageBreakBefore w:val="0"/>
        <w:widowControl w:val="0"/>
        <w:numPr>
          <w:ilvl w:val="0"/>
          <w:numId w:val="0"/>
        </w:numPr>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4DF6AC51">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6C1D982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51040FEE">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22BA0FC7">
      <w:pPr>
        <w:pStyle w:val="16"/>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09AE25D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568E18BE">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672111F7">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7447C16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2BCAF92B">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6DD51744">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6EF256E0">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62EADEAD">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00F4EF5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1EB9914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2C622CC3">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5FBE3AC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0F45152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w:t>
      </w:r>
      <w:r>
        <w:rPr>
          <w:rFonts w:hint="eastAsia" w:hAnsi="宋体" w:cs="宋体"/>
          <w:color w:val="auto"/>
          <w:sz w:val="21"/>
          <w:szCs w:val="21"/>
          <w:highlight w:val="none"/>
          <w:lang w:eastAsia="zh-CN"/>
        </w:rPr>
        <w:t>作出</w:t>
      </w:r>
      <w:r>
        <w:rPr>
          <w:rFonts w:hint="eastAsia" w:ascii="宋体" w:hAnsi="宋体" w:eastAsia="宋体" w:cs="宋体"/>
          <w:color w:val="auto"/>
          <w:sz w:val="21"/>
          <w:szCs w:val="21"/>
          <w:highlight w:val="none"/>
        </w:rPr>
        <w:t>对投标人的误判，责任由投标人自己承担。</w:t>
      </w:r>
    </w:p>
    <w:p w14:paraId="7979949C">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5B8F21A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1DCD434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362250690"/>
      <w:bookmarkStart w:id="24" w:name="_Toc274303232"/>
      <w:bookmarkStart w:id="25" w:name="_Toc27009"/>
      <w:bookmarkStart w:id="26" w:name="_Toc8254"/>
    </w:p>
    <w:p w14:paraId="0DCE01E0">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10301"/>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6ED8A19E">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3381EED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lang w:eastAsia="zh-CN"/>
        </w:rPr>
        <w:t>日9:00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1662A9D2">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731CC424">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3888E5A0">
      <w:pPr>
        <w:pStyle w:val="16"/>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51A6A009">
      <w:pPr>
        <w:pStyle w:val="19"/>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6DFF0C28">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39DA6CA0">
      <w:pPr>
        <w:pStyle w:val="19"/>
        <w:spacing w:line="360" w:lineRule="auto"/>
        <w:ind w:firstLine="480"/>
        <w:rPr>
          <w:rFonts w:hint="eastAsia" w:hAnsi="宋体" w:cs="宋体"/>
          <w:color w:val="auto"/>
          <w:highlight w:val="none"/>
        </w:rPr>
      </w:pPr>
      <w:r>
        <w:rPr>
          <w:rFonts w:hint="eastAsia" w:ascii="Times New Roman" w:hAnsi="宋体" w:eastAsia="宋体" w:cs="Times New Roman"/>
          <w:b w:val="0"/>
          <w:bCs/>
          <w:color w:val="auto"/>
          <w:highlight w:val="none"/>
          <w:lang w:val="zh-CN"/>
        </w:rPr>
        <w:t>本项目采用不见面开标方式</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F0E75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74E4CD2">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51D7A44E">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572D27FD">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w:t>
      </w:r>
      <w:r>
        <w:rPr>
          <w:rFonts w:hint="eastAsia" w:ascii="宋体" w:hAnsi="宋体" w:cs="宋体"/>
          <w:color w:val="auto"/>
          <w:highlight w:val="none"/>
          <w:lang w:eastAsia="zh-CN"/>
        </w:rPr>
        <w:t>Edge</w:t>
      </w:r>
      <w:r>
        <w:rPr>
          <w:rFonts w:hint="eastAsia" w:ascii="宋体" w:hAnsi="宋体" w:cs="宋体"/>
          <w:color w:val="auto"/>
          <w:highlight w:val="none"/>
        </w:rPr>
        <w:t>、谷歌浏览器</w:t>
      </w:r>
      <w:r>
        <w:rPr>
          <w:rFonts w:hint="eastAsia" w:ascii="宋体" w:hAnsi="宋体" w:cs="宋体"/>
          <w:color w:val="auto"/>
          <w:highlight w:val="none"/>
          <w:lang w:eastAsia="zh-CN"/>
        </w:rPr>
        <w:t>；</w:t>
      </w:r>
    </w:p>
    <w:p w14:paraId="0FE4DDA0">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3C74A2F6">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407F801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（6）因系统安装多版本驱动导致无法识别CA锁——卸载其他驱动或更换其他电脑安装驱动。</w:t>
      </w:r>
    </w:p>
    <w:p w14:paraId="7F5ACF69">
      <w:pPr>
        <w:pStyle w:val="5"/>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11244"/>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641D7B76">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金额向中标方收取。单宗招标服务费不足3000元按3000元收取。</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5444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14:paraId="32DF30A6">
            <w:pPr>
              <w:spacing w:line="340" w:lineRule="exact"/>
              <w:jc w:val="left"/>
              <w:rPr>
                <w:rFonts w:ascii="宋体"/>
                <w:highlight w:val="none"/>
              </w:rPr>
            </w:pPr>
            <w:r>
              <w:rPr>
                <w:rFonts w:hint="eastAsia" w:ascii="宋体" w:hAnsi="宋体" w:cs="宋体"/>
                <w:highlight w:val="none"/>
              </w:rPr>
              <w:t>中标金额（万元）</w:t>
            </w:r>
          </w:p>
        </w:tc>
        <w:tc>
          <w:tcPr>
            <w:tcW w:w="1384" w:type="dxa"/>
            <w:noWrap w:val="0"/>
            <w:vAlign w:val="center"/>
          </w:tcPr>
          <w:p w14:paraId="3799693D">
            <w:pPr>
              <w:spacing w:line="340" w:lineRule="exact"/>
              <w:jc w:val="left"/>
              <w:rPr>
                <w:rFonts w:ascii="宋体"/>
                <w:highlight w:val="none"/>
              </w:rPr>
            </w:pPr>
            <w:r>
              <w:rPr>
                <w:rFonts w:hint="eastAsia" w:ascii="宋体" w:hAnsi="宋体" w:cs="宋体"/>
                <w:highlight w:val="none"/>
              </w:rPr>
              <w:t>收费标准</w:t>
            </w:r>
          </w:p>
        </w:tc>
        <w:tc>
          <w:tcPr>
            <w:tcW w:w="4048" w:type="dxa"/>
            <w:noWrap w:val="0"/>
            <w:vAlign w:val="center"/>
          </w:tcPr>
          <w:p w14:paraId="1DC17A27">
            <w:pPr>
              <w:spacing w:line="340" w:lineRule="exact"/>
              <w:jc w:val="center"/>
              <w:rPr>
                <w:rFonts w:ascii="宋体"/>
                <w:highlight w:val="none"/>
              </w:rPr>
            </w:pPr>
            <w:r>
              <w:rPr>
                <w:rFonts w:hint="eastAsia" w:ascii="宋体" w:hAnsi="宋体" w:cs="宋体"/>
                <w:highlight w:val="none"/>
              </w:rPr>
              <w:t>备注</w:t>
            </w:r>
          </w:p>
        </w:tc>
      </w:tr>
      <w:tr w14:paraId="4D5B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14:paraId="355F41FD">
            <w:pPr>
              <w:spacing w:line="340" w:lineRule="exact"/>
              <w:rPr>
                <w:rFonts w:ascii="宋体"/>
                <w:highlight w:val="none"/>
              </w:rPr>
            </w:pPr>
            <w:r>
              <w:rPr>
                <w:rFonts w:ascii="宋体" w:hAnsi="宋体" w:cs="宋体"/>
                <w:highlight w:val="none"/>
              </w:rPr>
              <w:t>100</w:t>
            </w:r>
            <w:r>
              <w:rPr>
                <w:rFonts w:hint="eastAsia" w:ascii="宋体" w:hAnsi="宋体" w:cs="宋体"/>
                <w:highlight w:val="none"/>
              </w:rPr>
              <w:t>以下</w:t>
            </w:r>
          </w:p>
        </w:tc>
        <w:tc>
          <w:tcPr>
            <w:tcW w:w="1384" w:type="dxa"/>
            <w:noWrap w:val="0"/>
            <w:vAlign w:val="center"/>
          </w:tcPr>
          <w:p w14:paraId="40E93813">
            <w:pPr>
              <w:spacing w:line="340" w:lineRule="exact"/>
              <w:rPr>
                <w:highlight w:val="none"/>
              </w:rPr>
            </w:pPr>
            <w:r>
              <w:rPr>
                <w:rFonts w:ascii="宋体" w:hAnsi="宋体" w:cs="宋体"/>
                <w:highlight w:val="none"/>
              </w:rPr>
              <w:t>1.5%</w:t>
            </w:r>
          </w:p>
        </w:tc>
        <w:tc>
          <w:tcPr>
            <w:tcW w:w="4048" w:type="dxa"/>
            <w:vMerge w:val="restart"/>
            <w:noWrap w:val="0"/>
            <w:vAlign w:val="center"/>
          </w:tcPr>
          <w:p w14:paraId="104BBE2D">
            <w:pPr>
              <w:spacing w:line="340" w:lineRule="exact"/>
              <w:rPr>
                <w:rFonts w:ascii="宋体"/>
                <w:highlight w:val="none"/>
              </w:rPr>
            </w:pPr>
            <w:r>
              <w:rPr>
                <w:rFonts w:hint="eastAsia" w:ascii="宋体" w:hAnsi="宋体" w:cs="宋体"/>
                <w:highlight w:val="none"/>
              </w:rPr>
              <w:t>招标服务费采用差额定率累进法计算，向采购方或中标方单向收取。</w:t>
            </w:r>
          </w:p>
          <w:p w14:paraId="4578B125">
            <w:pPr>
              <w:spacing w:line="340" w:lineRule="exact"/>
              <w:rPr>
                <w:rFonts w:ascii="宋体"/>
                <w:highlight w:val="none"/>
              </w:rPr>
            </w:pPr>
            <w:r>
              <w:rPr>
                <w:rFonts w:hint="eastAsia" w:ascii="宋体" w:hAnsi="宋体" w:cs="宋体"/>
                <w:highlight w:val="none"/>
              </w:rPr>
              <w:t>例：中标金额为</w:t>
            </w:r>
            <w:r>
              <w:rPr>
                <w:rFonts w:ascii="宋体" w:hAnsi="宋体" w:cs="宋体"/>
                <w:highlight w:val="none"/>
              </w:rPr>
              <w:t>1000</w:t>
            </w:r>
            <w:r>
              <w:rPr>
                <w:rFonts w:hint="eastAsia" w:ascii="宋体" w:hAnsi="宋体" w:cs="宋体"/>
                <w:highlight w:val="none"/>
              </w:rPr>
              <w:t>万。服务费</w:t>
            </w:r>
            <w:r>
              <w:rPr>
                <w:rFonts w:ascii="宋体" w:hAnsi="宋体" w:cs="宋体"/>
                <w:highlight w:val="none"/>
              </w:rPr>
              <w:t>=100</w:t>
            </w:r>
            <w:r>
              <w:rPr>
                <w:rFonts w:hint="eastAsia" w:ascii="宋体" w:hAnsi="宋体" w:cs="宋体"/>
                <w:highlight w:val="none"/>
              </w:rPr>
              <w:t>万×</w:t>
            </w:r>
            <w:r>
              <w:rPr>
                <w:rFonts w:ascii="宋体" w:hAnsi="宋体" w:cs="宋体"/>
                <w:highlight w:val="none"/>
              </w:rPr>
              <w:t>1.5%+400</w:t>
            </w:r>
            <w:r>
              <w:rPr>
                <w:rFonts w:hint="eastAsia" w:ascii="宋体" w:hAnsi="宋体" w:cs="宋体"/>
                <w:highlight w:val="none"/>
              </w:rPr>
              <w:t>万×</w:t>
            </w:r>
            <w:r>
              <w:rPr>
                <w:rFonts w:ascii="宋体" w:hAnsi="宋体" w:cs="宋体"/>
                <w:highlight w:val="none"/>
              </w:rPr>
              <w:t>1.1%+500</w:t>
            </w:r>
            <w:r>
              <w:rPr>
                <w:rFonts w:hint="eastAsia" w:ascii="宋体" w:hAnsi="宋体" w:cs="宋体"/>
                <w:highlight w:val="none"/>
              </w:rPr>
              <w:t>万×</w:t>
            </w:r>
            <w:r>
              <w:rPr>
                <w:rFonts w:ascii="宋体" w:hAnsi="宋体" w:cs="宋体"/>
                <w:highlight w:val="none"/>
              </w:rPr>
              <w:t>0.8%=9.9</w:t>
            </w:r>
            <w:r>
              <w:rPr>
                <w:rFonts w:hint="eastAsia" w:ascii="宋体" w:hAnsi="宋体" w:cs="宋体"/>
                <w:highlight w:val="none"/>
              </w:rPr>
              <w:t>万</w:t>
            </w:r>
          </w:p>
        </w:tc>
      </w:tr>
      <w:tr w14:paraId="3403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14:paraId="6437D94F">
            <w:pPr>
              <w:spacing w:line="340" w:lineRule="exact"/>
              <w:rPr>
                <w:rFonts w:ascii="宋体"/>
                <w:highlight w:val="none"/>
              </w:rPr>
            </w:pPr>
            <w:r>
              <w:rPr>
                <w:rFonts w:ascii="宋体" w:hAnsi="宋体" w:cs="宋体"/>
                <w:highlight w:val="none"/>
              </w:rPr>
              <w:t>100-500</w:t>
            </w:r>
          </w:p>
        </w:tc>
        <w:tc>
          <w:tcPr>
            <w:tcW w:w="1384" w:type="dxa"/>
            <w:noWrap w:val="0"/>
            <w:vAlign w:val="center"/>
          </w:tcPr>
          <w:p w14:paraId="0B8134D9">
            <w:pPr>
              <w:spacing w:line="340" w:lineRule="exact"/>
              <w:rPr>
                <w:rFonts w:ascii="宋体"/>
                <w:highlight w:val="none"/>
              </w:rPr>
            </w:pPr>
            <w:r>
              <w:rPr>
                <w:rFonts w:ascii="宋体" w:hAnsi="宋体" w:cs="宋体"/>
                <w:highlight w:val="none"/>
              </w:rPr>
              <w:t>1.1%</w:t>
            </w:r>
          </w:p>
        </w:tc>
        <w:tc>
          <w:tcPr>
            <w:tcW w:w="4048" w:type="dxa"/>
            <w:vMerge w:val="continue"/>
            <w:noWrap w:val="0"/>
            <w:vAlign w:val="top"/>
          </w:tcPr>
          <w:p w14:paraId="5C0C3967">
            <w:pPr>
              <w:spacing w:line="340" w:lineRule="exact"/>
              <w:rPr>
                <w:rFonts w:ascii="宋体"/>
                <w:highlight w:val="none"/>
              </w:rPr>
            </w:pPr>
          </w:p>
        </w:tc>
      </w:tr>
      <w:tr w14:paraId="244E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14:paraId="5C15330E">
            <w:pPr>
              <w:spacing w:line="340" w:lineRule="exact"/>
              <w:rPr>
                <w:rFonts w:ascii="宋体"/>
                <w:highlight w:val="none"/>
              </w:rPr>
            </w:pPr>
            <w:r>
              <w:rPr>
                <w:rFonts w:ascii="宋体" w:hAnsi="宋体" w:cs="宋体"/>
                <w:highlight w:val="none"/>
              </w:rPr>
              <w:t>500-1000</w:t>
            </w:r>
          </w:p>
        </w:tc>
        <w:tc>
          <w:tcPr>
            <w:tcW w:w="1384" w:type="dxa"/>
            <w:noWrap w:val="0"/>
            <w:vAlign w:val="center"/>
          </w:tcPr>
          <w:p w14:paraId="510F96FE">
            <w:pPr>
              <w:spacing w:line="340" w:lineRule="exact"/>
              <w:rPr>
                <w:rFonts w:ascii="宋体"/>
                <w:highlight w:val="none"/>
              </w:rPr>
            </w:pPr>
            <w:r>
              <w:rPr>
                <w:rFonts w:ascii="宋体" w:hAnsi="宋体" w:cs="宋体"/>
                <w:highlight w:val="none"/>
              </w:rPr>
              <w:t>0.8%</w:t>
            </w:r>
          </w:p>
        </w:tc>
        <w:tc>
          <w:tcPr>
            <w:tcW w:w="4048" w:type="dxa"/>
            <w:vMerge w:val="continue"/>
            <w:noWrap w:val="0"/>
            <w:vAlign w:val="top"/>
          </w:tcPr>
          <w:p w14:paraId="42ADCC0F">
            <w:pPr>
              <w:spacing w:line="340" w:lineRule="exact"/>
              <w:rPr>
                <w:rFonts w:ascii="宋体"/>
                <w:highlight w:val="none"/>
              </w:rPr>
            </w:pPr>
          </w:p>
        </w:tc>
      </w:tr>
      <w:tr w14:paraId="6545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14:paraId="56DD2BD9">
            <w:pPr>
              <w:spacing w:line="340" w:lineRule="exact"/>
              <w:rPr>
                <w:rFonts w:ascii="宋体"/>
                <w:highlight w:val="none"/>
              </w:rPr>
            </w:pPr>
            <w:r>
              <w:rPr>
                <w:rFonts w:ascii="宋体" w:hAnsi="宋体" w:cs="宋体"/>
                <w:highlight w:val="none"/>
              </w:rPr>
              <w:t>1000-5000</w:t>
            </w:r>
          </w:p>
        </w:tc>
        <w:tc>
          <w:tcPr>
            <w:tcW w:w="1384" w:type="dxa"/>
            <w:noWrap w:val="0"/>
            <w:vAlign w:val="center"/>
          </w:tcPr>
          <w:p w14:paraId="66F6C78A">
            <w:pPr>
              <w:spacing w:line="340" w:lineRule="exact"/>
              <w:rPr>
                <w:rFonts w:ascii="宋体"/>
                <w:highlight w:val="none"/>
              </w:rPr>
            </w:pPr>
            <w:r>
              <w:rPr>
                <w:rFonts w:ascii="宋体" w:hAnsi="宋体" w:cs="宋体"/>
                <w:highlight w:val="none"/>
              </w:rPr>
              <w:t>0.5%</w:t>
            </w:r>
          </w:p>
        </w:tc>
        <w:tc>
          <w:tcPr>
            <w:tcW w:w="4048" w:type="dxa"/>
            <w:vMerge w:val="continue"/>
            <w:noWrap w:val="0"/>
            <w:vAlign w:val="top"/>
          </w:tcPr>
          <w:p w14:paraId="5056DA60">
            <w:pPr>
              <w:spacing w:line="340" w:lineRule="exact"/>
              <w:rPr>
                <w:rFonts w:ascii="宋体"/>
                <w:highlight w:val="none"/>
              </w:rPr>
            </w:pPr>
          </w:p>
        </w:tc>
      </w:tr>
      <w:tr w14:paraId="5CBA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14:paraId="73D38E0E">
            <w:pPr>
              <w:spacing w:line="340" w:lineRule="exact"/>
              <w:rPr>
                <w:rFonts w:ascii="宋体"/>
                <w:highlight w:val="none"/>
              </w:rPr>
            </w:pPr>
            <w:r>
              <w:rPr>
                <w:rFonts w:ascii="宋体" w:hAnsi="宋体" w:cs="宋体"/>
                <w:highlight w:val="none"/>
              </w:rPr>
              <w:t>5000-10000</w:t>
            </w:r>
          </w:p>
        </w:tc>
        <w:tc>
          <w:tcPr>
            <w:tcW w:w="1384" w:type="dxa"/>
            <w:noWrap w:val="0"/>
            <w:vAlign w:val="center"/>
          </w:tcPr>
          <w:p w14:paraId="32962BA4">
            <w:pPr>
              <w:spacing w:line="340" w:lineRule="exact"/>
              <w:rPr>
                <w:rFonts w:ascii="宋体"/>
                <w:highlight w:val="none"/>
              </w:rPr>
            </w:pPr>
            <w:r>
              <w:rPr>
                <w:rFonts w:ascii="宋体" w:hAnsi="宋体" w:cs="宋体"/>
                <w:highlight w:val="none"/>
              </w:rPr>
              <w:t>0.25%</w:t>
            </w:r>
          </w:p>
        </w:tc>
        <w:tc>
          <w:tcPr>
            <w:tcW w:w="4048" w:type="dxa"/>
            <w:vMerge w:val="continue"/>
            <w:noWrap w:val="0"/>
            <w:vAlign w:val="top"/>
          </w:tcPr>
          <w:p w14:paraId="65831F3C">
            <w:pPr>
              <w:spacing w:line="340" w:lineRule="exact"/>
              <w:rPr>
                <w:rFonts w:ascii="宋体"/>
                <w:highlight w:val="none"/>
              </w:rPr>
            </w:pPr>
          </w:p>
        </w:tc>
      </w:tr>
      <w:tr w14:paraId="7E6C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14:paraId="02DFF43C">
            <w:pPr>
              <w:spacing w:line="340" w:lineRule="exact"/>
              <w:rPr>
                <w:rFonts w:ascii="宋体"/>
                <w:highlight w:val="none"/>
              </w:rPr>
            </w:pPr>
            <w:r>
              <w:rPr>
                <w:rFonts w:ascii="宋体" w:hAnsi="宋体" w:cs="宋体"/>
                <w:highlight w:val="none"/>
              </w:rPr>
              <w:t>10000</w:t>
            </w:r>
            <w:r>
              <w:rPr>
                <w:rFonts w:hint="eastAsia" w:ascii="宋体" w:hAnsi="宋体" w:cs="宋体"/>
                <w:highlight w:val="none"/>
              </w:rPr>
              <w:t>以上</w:t>
            </w:r>
          </w:p>
        </w:tc>
        <w:tc>
          <w:tcPr>
            <w:tcW w:w="1384" w:type="dxa"/>
            <w:noWrap w:val="0"/>
            <w:vAlign w:val="center"/>
          </w:tcPr>
          <w:p w14:paraId="18EF3A90">
            <w:pPr>
              <w:spacing w:line="340" w:lineRule="exact"/>
              <w:rPr>
                <w:rFonts w:ascii="宋体"/>
                <w:highlight w:val="none"/>
              </w:rPr>
            </w:pPr>
            <w:r>
              <w:rPr>
                <w:rFonts w:ascii="宋体" w:hAnsi="宋体" w:cs="宋体"/>
                <w:highlight w:val="none"/>
              </w:rPr>
              <w:t>0.05%</w:t>
            </w:r>
          </w:p>
        </w:tc>
        <w:tc>
          <w:tcPr>
            <w:tcW w:w="4048" w:type="dxa"/>
            <w:vMerge w:val="continue"/>
            <w:noWrap w:val="0"/>
            <w:vAlign w:val="top"/>
          </w:tcPr>
          <w:p w14:paraId="4A9CFFD5">
            <w:pPr>
              <w:spacing w:line="340" w:lineRule="exact"/>
              <w:rPr>
                <w:rFonts w:ascii="宋体"/>
                <w:highlight w:val="none"/>
              </w:rPr>
            </w:pPr>
          </w:p>
        </w:tc>
      </w:tr>
    </w:tbl>
    <w:p w14:paraId="643C3AC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0FC567E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银行账号名称：</w:t>
      </w:r>
      <w:r>
        <w:rPr>
          <w:rFonts w:hint="eastAsia" w:ascii="宋体" w:hAnsi="宋体" w:cs="宋体"/>
          <w:b/>
          <w:bCs/>
          <w:color w:val="auto"/>
          <w:sz w:val="21"/>
          <w:szCs w:val="21"/>
          <w:highlight w:val="none"/>
          <w:lang w:eastAsia="zh-CN"/>
        </w:rPr>
        <w:t>金华义产拍卖有限公司</w:t>
      </w:r>
    </w:p>
    <w:p w14:paraId="4DC39FB9">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银行账号：工商银行义乌分行 </w:t>
      </w:r>
    </w:p>
    <w:p w14:paraId="16125BEC">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开户银行：1208020009092868552</w:t>
      </w:r>
    </w:p>
    <w:p w14:paraId="7D94C8EA">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6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3573"/>
      </w:tblGrid>
      <w:tr w14:paraId="67F1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F9043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573" w:type="dxa"/>
            <w:noWrap w:val="0"/>
            <w:vAlign w:val="center"/>
          </w:tcPr>
          <w:p w14:paraId="29D54EF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730D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63F623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3573" w:type="dxa"/>
            <w:noWrap w:val="0"/>
            <w:vAlign w:val="center"/>
          </w:tcPr>
          <w:p w14:paraId="109DFF2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5820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95952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3573" w:type="dxa"/>
            <w:noWrap w:val="0"/>
            <w:vAlign w:val="center"/>
          </w:tcPr>
          <w:p w14:paraId="630614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3A40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BCCEF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3573" w:type="dxa"/>
            <w:noWrap w:val="0"/>
            <w:vAlign w:val="center"/>
          </w:tcPr>
          <w:p w14:paraId="5ACD7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24A2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45E225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3573" w:type="dxa"/>
            <w:noWrap w:val="0"/>
            <w:vAlign w:val="center"/>
          </w:tcPr>
          <w:p w14:paraId="6856C9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17A9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05C54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3573" w:type="dxa"/>
            <w:noWrap w:val="0"/>
            <w:vAlign w:val="center"/>
          </w:tcPr>
          <w:p w14:paraId="4DA36B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3EBF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8DD43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3573" w:type="dxa"/>
            <w:noWrap w:val="0"/>
            <w:vAlign w:val="center"/>
          </w:tcPr>
          <w:p w14:paraId="7C2044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36BF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2CE384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3573" w:type="dxa"/>
            <w:noWrap w:val="0"/>
            <w:vAlign w:val="center"/>
          </w:tcPr>
          <w:p w14:paraId="26CD42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7F22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D709FD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3573" w:type="dxa"/>
            <w:noWrap w:val="0"/>
            <w:vAlign w:val="center"/>
          </w:tcPr>
          <w:p w14:paraId="1B9E71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49D224B0">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w:t>
      </w:r>
      <w:r>
        <w:rPr>
          <w:rFonts w:hint="eastAsia" w:ascii="宋体" w:hAnsi="宋体" w:cs="宋体"/>
          <w:color w:val="auto"/>
          <w:spacing w:val="-6"/>
          <w:szCs w:val="21"/>
          <w:highlight w:val="none"/>
          <w:lang w:val="en-US" w:eastAsia="zh-CN"/>
        </w:rPr>
        <w:t>向</w:t>
      </w:r>
      <w:r>
        <w:rPr>
          <w:rFonts w:hint="eastAsia" w:ascii="宋体" w:hAnsi="宋体" w:cs="宋体"/>
          <w:color w:val="auto"/>
          <w:spacing w:val="-6"/>
          <w:szCs w:val="21"/>
          <w:highlight w:val="none"/>
        </w:rPr>
        <w:t>中标单位收取交易服务费1000元/次；2）以上收费不包含作为</w:t>
      </w:r>
      <w:r>
        <w:rPr>
          <w:rFonts w:hint="eastAsia" w:ascii="宋体" w:hAnsi="宋体" w:cs="宋体"/>
          <w:color w:val="auto"/>
          <w:spacing w:val="-6"/>
          <w:szCs w:val="21"/>
          <w:highlight w:val="none"/>
          <w:lang w:eastAsia="zh-CN"/>
        </w:rPr>
        <w:t>投标人</w:t>
      </w:r>
      <w:r>
        <w:rPr>
          <w:rFonts w:hint="eastAsia" w:ascii="宋体" w:hAnsi="宋体" w:cs="宋体"/>
          <w:color w:val="auto"/>
          <w:spacing w:val="-6"/>
          <w:szCs w:val="21"/>
          <w:highlight w:val="none"/>
          <w:lang w:val="en-US" w:eastAsia="zh-CN"/>
        </w:rPr>
        <w:t>缴</w:t>
      </w:r>
      <w:r>
        <w:rPr>
          <w:rFonts w:hint="eastAsia" w:ascii="宋体" w:hAnsi="宋体" w:cs="宋体"/>
          <w:color w:val="auto"/>
          <w:spacing w:val="-6"/>
          <w:szCs w:val="21"/>
          <w:highlight w:val="none"/>
        </w:rPr>
        <w:t>纳的150元技术服务费；3）具体操作流程详见“义乌市阳光招标采购平台</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下载中心</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义乌市阳光招标采购平台投标人操作手册”</w:t>
      </w:r>
      <w:r>
        <w:rPr>
          <w:rFonts w:hint="eastAsia" w:ascii="宋体" w:hAnsi="宋体" w:cs="宋体"/>
          <w:color w:val="auto"/>
          <w:spacing w:val="-6"/>
          <w:szCs w:val="21"/>
          <w:highlight w:val="none"/>
          <w:lang w:eastAsia="zh-CN"/>
        </w:rPr>
        <w:t>。</w:t>
      </w:r>
    </w:p>
    <w:p w14:paraId="383D04B3">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8249"/>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其他</w:t>
      </w:r>
      <w:bookmarkEnd w:id="31"/>
    </w:p>
    <w:p w14:paraId="3A4DC83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宋体"/>
          <w:b/>
          <w:bCs/>
          <w:color w:val="auto"/>
          <w:sz w:val="21"/>
          <w:szCs w:val="21"/>
          <w:highlight w:val="none"/>
        </w:rPr>
        <w:t>本招标文件解释权归采购人。</w:t>
      </w:r>
    </w:p>
    <w:p w14:paraId="081F57E3">
      <w:pPr>
        <w:pStyle w:val="4"/>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bookmarkStart w:id="32" w:name="_Toc25593"/>
      <w:r>
        <w:rPr>
          <w:rFonts w:hint="eastAsia" w:ascii="Times New Roman" w:hAnsi="Times New Roman" w:eastAsia="宋体" w:cs="Times New Roman"/>
          <w:color w:val="auto"/>
          <w:sz w:val="36"/>
          <w:highlight w:val="none"/>
          <w:lang w:val="en-US" w:eastAsia="zh-CN"/>
        </w:rPr>
        <w:t>第三章  招标项目要求</w:t>
      </w:r>
      <w:bookmarkEnd w:id="32"/>
    </w:p>
    <w:p w14:paraId="446D0029">
      <w:pPr>
        <w:pStyle w:val="5"/>
        <w:spacing w:before="120" w:after="120" w:line="240" w:lineRule="auto"/>
        <w:ind w:firstLine="0" w:firstLineChars="0"/>
        <w:rPr>
          <w:rFonts w:hint="eastAsia" w:ascii="宋体" w:hAnsi="宋体" w:eastAsia="宋体" w:cs="宋体"/>
          <w:color w:val="auto"/>
          <w:sz w:val="21"/>
          <w:szCs w:val="21"/>
          <w:highlight w:val="none"/>
          <w:lang w:val="en-US" w:eastAsia="zh-CN"/>
        </w:rPr>
      </w:pPr>
      <w:bookmarkStart w:id="33" w:name="_Toc6831"/>
      <w:bookmarkStart w:id="34" w:name="_Toc7717"/>
      <w:r>
        <w:rPr>
          <w:rFonts w:hint="eastAsia" w:ascii="宋体" w:hAnsi="宋体" w:eastAsia="宋体" w:cs="宋体"/>
          <w:color w:val="auto"/>
          <w:sz w:val="21"/>
          <w:szCs w:val="21"/>
          <w:highlight w:val="none"/>
          <w:lang w:val="en-US" w:eastAsia="zh-CN"/>
        </w:rPr>
        <w:t>一、项目内容：</w:t>
      </w:r>
      <w:bookmarkEnd w:id="33"/>
    </w:p>
    <w:p w14:paraId="269A1932">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rPr>
        <w:t>义乌市水处理有限责任公司</w:t>
      </w:r>
      <w:r>
        <w:rPr>
          <w:rFonts w:hint="eastAsia" w:hAnsi="Courier New" w:eastAsia="宋体" w:cs="Courier New"/>
          <w:b w:val="0"/>
          <w:bCs w:val="0"/>
          <w:color w:val="auto"/>
          <w:highlight w:val="none"/>
          <w:lang w:eastAsia="zh-CN"/>
        </w:rPr>
        <w:t>202</w:t>
      </w:r>
      <w:r>
        <w:rPr>
          <w:rFonts w:hint="eastAsia" w:hAnsi="Courier New" w:eastAsia="宋体" w:cs="Courier New"/>
          <w:b w:val="0"/>
          <w:bCs w:val="0"/>
          <w:color w:val="auto"/>
          <w:highlight w:val="none"/>
          <w:lang w:val="en-US" w:eastAsia="zh-CN"/>
        </w:rPr>
        <w:t>6</w:t>
      </w:r>
      <w:r>
        <w:rPr>
          <w:rFonts w:hint="eastAsia" w:hAnsi="Courier New" w:eastAsia="宋体" w:cs="Courier New"/>
          <w:b w:val="0"/>
          <w:bCs w:val="0"/>
          <w:color w:val="auto"/>
          <w:highlight w:val="none"/>
        </w:rPr>
        <w:t>年度</w:t>
      </w:r>
      <w:r>
        <w:rPr>
          <w:rFonts w:hint="eastAsia" w:hAnsi="Courier New" w:eastAsia="宋体" w:cs="Courier New"/>
          <w:b w:val="0"/>
          <w:bCs w:val="0"/>
          <w:color w:val="auto"/>
          <w:highlight w:val="none"/>
          <w:lang w:eastAsia="zh-CN"/>
        </w:rPr>
        <w:t>工业碳酸钠</w:t>
      </w:r>
      <w:r>
        <w:rPr>
          <w:rFonts w:hint="eastAsia" w:hAnsi="Courier New" w:eastAsia="宋体" w:cs="Courier New"/>
          <w:b w:val="0"/>
          <w:bCs w:val="0"/>
          <w:color w:val="auto"/>
          <w:highlight w:val="none"/>
        </w:rPr>
        <w:t>采购，预计采购数量约1825吨</w:t>
      </w:r>
      <w:r>
        <w:rPr>
          <w:rFonts w:hint="eastAsia" w:hAnsi="Courier New" w:eastAsia="宋体" w:cs="Courier New"/>
          <w:b w:val="0"/>
          <w:bCs w:val="0"/>
          <w:color w:val="auto"/>
          <w:highlight w:val="none"/>
          <w:lang w:eastAsia="zh-CN"/>
        </w:rPr>
        <w:t>（</w:t>
      </w:r>
      <w:r>
        <w:rPr>
          <w:rFonts w:hint="eastAsia" w:hAnsi="Courier New" w:eastAsia="宋体" w:cs="Courier New"/>
          <w:b w:val="0"/>
          <w:bCs w:val="0"/>
          <w:color w:val="auto"/>
          <w:highlight w:val="none"/>
          <w:lang w:val="en-US" w:eastAsia="zh-CN"/>
        </w:rPr>
        <w:t>该数量仅作为预估用量，不作为结算依据，采购量以实际供货为准，后期如有工艺上的调整，采购数量也会相应增减</w:t>
      </w:r>
      <w:r>
        <w:rPr>
          <w:rFonts w:hint="eastAsia" w:hAnsi="Courier New" w:eastAsia="宋体" w:cs="Courier New"/>
          <w:b w:val="0"/>
          <w:bCs w:val="0"/>
          <w:color w:val="auto"/>
          <w:highlight w:val="none"/>
          <w:lang w:eastAsia="zh-CN"/>
        </w:rPr>
        <w:t>）</w:t>
      </w:r>
      <w:r>
        <w:rPr>
          <w:rFonts w:hint="eastAsia" w:hAnsi="Courier New" w:eastAsia="宋体" w:cs="Courier New"/>
          <w:b w:val="0"/>
          <w:bCs w:val="0"/>
          <w:color w:val="auto"/>
          <w:highlight w:val="none"/>
        </w:rPr>
        <w:t>。</w:t>
      </w:r>
    </w:p>
    <w:p w14:paraId="5C66C55E">
      <w:pPr>
        <w:pStyle w:val="5"/>
        <w:spacing w:before="120" w:after="120" w:line="240" w:lineRule="auto"/>
        <w:ind w:firstLine="0" w:firstLineChars="0"/>
        <w:rPr>
          <w:rFonts w:hint="eastAsia" w:ascii="宋体" w:hAnsi="宋体" w:eastAsia="宋体" w:cs="宋体"/>
          <w:color w:val="auto"/>
          <w:sz w:val="21"/>
          <w:szCs w:val="21"/>
          <w:highlight w:val="none"/>
        </w:rPr>
      </w:pPr>
      <w:bookmarkStart w:id="35" w:name="_Toc1241"/>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药剂技术规范</w:t>
      </w:r>
      <w:bookmarkEnd w:id="35"/>
    </w:p>
    <w:p w14:paraId="691543C6">
      <w:pPr>
        <w:pStyle w:val="19"/>
        <w:adjustRightInd w:val="0"/>
        <w:snapToGrid w:val="0"/>
        <w:spacing w:line="480" w:lineRule="exact"/>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1、投标人提供的产品工业碳酸钠总碱量≥98.0%，分类为轻质碳酸钠（白色结晶粉末）；符合中华人民共和国推荐性国家标准GB/T 210-2022工业碳酸钠中的“Ⅱ（一般工业用碳酸钠—合格品）”要求，详细技术指标说明详见下表：</w:t>
      </w:r>
    </w:p>
    <w:tbl>
      <w:tblPr>
        <w:tblStyle w:val="38"/>
        <w:tblW w:w="4995" w:type="pct"/>
        <w:jc w:val="center"/>
        <w:tblLayout w:type="autofit"/>
        <w:tblCellMar>
          <w:top w:w="0" w:type="dxa"/>
          <w:left w:w="108" w:type="dxa"/>
          <w:bottom w:w="0" w:type="dxa"/>
          <w:right w:w="108" w:type="dxa"/>
        </w:tblCellMar>
      </w:tblPr>
      <w:tblGrid>
        <w:gridCol w:w="4787"/>
        <w:gridCol w:w="4773"/>
      </w:tblGrid>
      <w:tr w14:paraId="2505B79B">
        <w:tblPrEx>
          <w:tblCellMar>
            <w:top w:w="0" w:type="dxa"/>
            <w:left w:w="108" w:type="dxa"/>
            <w:bottom w:w="0" w:type="dxa"/>
            <w:right w:w="108" w:type="dxa"/>
          </w:tblCellMar>
        </w:tblPrEx>
        <w:trPr>
          <w:trHeight w:val="784" w:hRule="atLeast"/>
          <w:jc w:val="center"/>
        </w:trPr>
        <w:tc>
          <w:tcPr>
            <w:tcW w:w="2503" w:type="pct"/>
            <w:tcBorders>
              <w:top w:val="single" w:color="auto" w:sz="8" w:space="0"/>
              <w:left w:val="single" w:color="auto" w:sz="4" w:space="0"/>
              <w:bottom w:val="single" w:color="auto" w:sz="4" w:space="0"/>
              <w:right w:val="single" w:color="auto" w:sz="4" w:space="0"/>
            </w:tcBorders>
            <w:noWrap/>
            <w:vAlign w:val="center"/>
          </w:tcPr>
          <w:p w14:paraId="02EBFF91">
            <w:pPr>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w:t>
            </w:r>
          </w:p>
        </w:tc>
        <w:tc>
          <w:tcPr>
            <w:tcW w:w="2496" w:type="pct"/>
            <w:tcBorders>
              <w:top w:val="single" w:color="auto" w:sz="8" w:space="0"/>
              <w:left w:val="nil"/>
              <w:bottom w:val="single" w:color="auto" w:sz="4" w:space="0"/>
              <w:right w:val="single" w:color="auto" w:sz="8" w:space="0"/>
            </w:tcBorders>
            <w:noWrap/>
            <w:vAlign w:val="center"/>
          </w:tcPr>
          <w:p w14:paraId="6A4916FC">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技术指标</w:t>
            </w:r>
          </w:p>
        </w:tc>
      </w:tr>
      <w:tr w14:paraId="41408CB3">
        <w:tblPrEx>
          <w:tblCellMar>
            <w:top w:w="0" w:type="dxa"/>
            <w:left w:w="108" w:type="dxa"/>
            <w:bottom w:w="0" w:type="dxa"/>
            <w:right w:w="108" w:type="dxa"/>
          </w:tblCellMar>
        </w:tblPrEx>
        <w:trPr>
          <w:trHeight w:val="761" w:hRule="atLeast"/>
          <w:jc w:val="center"/>
        </w:trPr>
        <w:tc>
          <w:tcPr>
            <w:tcW w:w="2503" w:type="pct"/>
            <w:tcBorders>
              <w:top w:val="single" w:color="auto" w:sz="4" w:space="0"/>
              <w:left w:val="single" w:color="auto" w:sz="4" w:space="0"/>
              <w:bottom w:val="single" w:color="auto" w:sz="4" w:space="0"/>
              <w:right w:val="single" w:color="auto" w:sz="4" w:space="0"/>
            </w:tcBorders>
            <w:noWrap/>
            <w:vAlign w:val="center"/>
          </w:tcPr>
          <w:p w14:paraId="35D36A8B">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总碱量(以Na</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CO</w:t>
            </w:r>
            <w:r>
              <w:rPr>
                <w:rFonts w:hint="eastAsia" w:ascii="宋体" w:hAnsi="宋体" w:eastAsia="宋体" w:cs="宋体"/>
                <w:color w:val="auto"/>
                <w:kern w:val="0"/>
                <w:sz w:val="22"/>
                <w:szCs w:val="22"/>
                <w:highlight w:val="none"/>
                <w:vertAlign w:val="subscript"/>
              </w:rPr>
              <w:t>3</w:t>
            </w:r>
            <w:r>
              <w:rPr>
                <w:rFonts w:hint="eastAsia" w:ascii="宋体" w:hAnsi="宋体" w:eastAsia="宋体" w:cs="宋体"/>
                <w:color w:val="auto"/>
                <w:kern w:val="0"/>
                <w:sz w:val="22"/>
                <w:szCs w:val="22"/>
                <w:highlight w:val="none"/>
              </w:rPr>
              <w:t>计,以干基计)ω/ %</w:t>
            </w:r>
          </w:p>
        </w:tc>
        <w:tc>
          <w:tcPr>
            <w:tcW w:w="2496" w:type="pct"/>
            <w:tcBorders>
              <w:top w:val="single" w:color="auto" w:sz="4" w:space="0"/>
              <w:left w:val="nil"/>
              <w:bottom w:val="single" w:color="auto" w:sz="4" w:space="0"/>
              <w:right w:val="single" w:color="auto" w:sz="8" w:space="0"/>
            </w:tcBorders>
            <w:noWrap/>
            <w:vAlign w:val="center"/>
          </w:tcPr>
          <w:p w14:paraId="7FB7BCB9">
            <w:pPr>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≥98</w:t>
            </w:r>
            <w:r>
              <w:rPr>
                <w:rFonts w:hint="eastAsia" w:ascii="宋体" w:hAnsi="宋体" w:eastAsia="宋体" w:cs="宋体"/>
                <w:color w:val="auto"/>
                <w:kern w:val="0"/>
                <w:sz w:val="22"/>
                <w:szCs w:val="22"/>
                <w:highlight w:val="none"/>
                <w:lang w:val="en-US" w:eastAsia="zh-CN"/>
              </w:rPr>
              <w:t>.0</w:t>
            </w:r>
          </w:p>
        </w:tc>
      </w:tr>
      <w:tr w14:paraId="71893AC7">
        <w:tblPrEx>
          <w:tblCellMar>
            <w:top w:w="0" w:type="dxa"/>
            <w:left w:w="108" w:type="dxa"/>
            <w:bottom w:w="0" w:type="dxa"/>
            <w:right w:w="108" w:type="dxa"/>
          </w:tblCellMar>
        </w:tblPrEx>
        <w:trPr>
          <w:trHeight w:val="761" w:hRule="atLeast"/>
          <w:jc w:val="center"/>
        </w:trPr>
        <w:tc>
          <w:tcPr>
            <w:tcW w:w="2503" w:type="pct"/>
            <w:tcBorders>
              <w:top w:val="nil"/>
              <w:left w:val="single" w:color="auto" w:sz="4" w:space="0"/>
              <w:bottom w:val="single" w:color="auto" w:sz="4" w:space="0"/>
              <w:right w:val="single" w:color="auto" w:sz="4" w:space="0"/>
            </w:tcBorders>
            <w:noWrap/>
            <w:vAlign w:val="center"/>
          </w:tcPr>
          <w:p w14:paraId="4B803C6A">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氯化钠(以 NaCl计,以干基计)ω / %</w:t>
            </w:r>
          </w:p>
        </w:tc>
        <w:tc>
          <w:tcPr>
            <w:tcW w:w="2496" w:type="pct"/>
            <w:tcBorders>
              <w:top w:val="nil"/>
              <w:left w:val="nil"/>
              <w:bottom w:val="single" w:color="auto" w:sz="4" w:space="0"/>
              <w:right w:val="single" w:color="auto" w:sz="8" w:space="0"/>
            </w:tcBorders>
            <w:noWrap/>
            <w:vAlign w:val="center"/>
          </w:tcPr>
          <w:p w14:paraId="0A1BD574">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≤1.20</w:t>
            </w:r>
          </w:p>
        </w:tc>
      </w:tr>
      <w:tr w14:paraId="137233D7">
        <w:tblPrEx>
          <w:tblCellMar>
            <w:top w:w="0" w:type="dxa"/>
            <w:left w:w="108" w:type="dxa"/>
            <w:bottom w:w="0" w:type="dxa"/>
            <w:right w:w="108" w:type="dxa"/>
          </w:tblCellMar>
        </w:tblPrEx>
        <w:trPr>
          <w:trHeight w:val="761" w:hRule="atLeast"/>
          <w:jc w:val="center"/>
        </w:trPr>
        <w:tc>
          <w:tcPr>
            <w:tcW w:w="2503" w:type="pct"/>
            <w:tcBorders>
              <w:top w:val="nil"/>
              <w:left w:val="single" w:color="auto" w:sz="4" w:space="0"/>
              <w:bottom w:val="single" w:color="auto" w:sz="4" w:space="0"/>
              <w:right w:val="single" w:color="auto" w:sz="4" w:space="0"/>
            </w:tcBorders>
            <w:noWrap/>
            <w:vAlign w:val="center"/>
          </w:tcPr>
          <w:p w14:paraId="6A242A7C">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铁(Fe,以干基计)ω / %</w:t>
            </w:r>
          </w:p>
        </w:tc>
        <w:tc>
          <w:tcPr>
            <w:tcW w:w="2496" w:type="pct"/>
            <w:tcBorders>
              <w:top w:val="nil"/>
              <w:left w:val="nil"/>
              <w:bottom w:val="single" w:color="auto" w:sz="4" w:space="0"/>
              <w:right w:val="single" w:color="auto" w:sz="8" w:space="0"/>
            </w:tcBorders>
            <w:noWrap/>
            <w:vAlign w:val="center"/>
          </w:tcPr>
          <w:p w14:paraId="5E5110F2">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≤0.0085</w:t>
            </w:r>
          </w:p>
        </w:tc>
      </w:tr>
      <w:tr w14:paraId="1995B8E9">
        <w:tblPrEx>
          <w:tblCellMar>
            <w:top w:w="0" w:type="dxa"/>
            <w:left w:w="108" w:type="dxa"/>
            <w:bottom w:w="0" w:type="dxa"/>
            <w:right w:w="108" w:type="dxa"/>
          </w:tblCellMar>
        </w:tblPrEx>
        <w:trPr>
          <w:trHeight w:val="761" w:hRule="atLeast"/>
          <w:jc w:val="center"/>
        </w:trPr>
        <w:tc>
          <w:tcPr>
            <w:tcW w:w="2503" w:type="pct"/>
            <w:tcBorders>
              <w:top w:val="nil"/>
              <w:left w:val="single" w:color="auto" w:sz="4" w:space="0"/>
              <w:bottom w:val="single" w:color="auto" w:sz="4" w:space="0"/>
              <w:right w:val="single" w:color="auto" w:sz="4" w:space="0"/>
            </w:tcBorders>
            <w:noWrap/>
            <w:vAlign w:val="center"/>
          </w:tcPr>
          <w:p w14:paraId="73FACA69">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水不溶物ω/ %</w:t>
            </w:r>
          </w:p>
        </w:tc>
        <w:tc>
          <w:tcPr>
            <w:tcW w:w="2496" w:type="pct"/>
            <w:tcBorders>
              <w:top w:val="nil"/>
              <w:left w:val="nil"/>
              <w:bottom w:val="single" w:color="auto" w:sz="4" w:space="0"/>
              <w:right w:val="single" w:color="auto" w:sz="8" w:space="0"/>
            </w:tcBorders>
            <w:noWrap/>
            <w:vAlign w:val="center"/>
          </w:tcPr>
          <w:p w14:paraId="5A963DB6">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≤0.15</w:t>
            </w:r>
          </w:p>
        </w:tc>
      </w:tr>
    </w:tbl>
    <w:p w14:paraId="01C80F17">
      <w:pPr>
        <w:pStyle w:val="19"/>
        <w:spacing w:line="480" w:lineRule="exact"/>
        <w:ind w:firstLine="422" w:firstLineChars="200"/>
        <w:rPr>
          <w:rFonts w:hint="eastAsia" w:hAnsi="Courier New" w:eastAsia="宋体" w:cs="Courier New"/>
          <w:b/>
          <w:bCs/>
          <w:color w:val="auto"/>
          <w:highlight w:val="none"/>
        </w:rPr>
      </w:pPr>
      <w:bookmarkStart w:id="36" w:name="_Toc11751"/>
      <w:r>
        <w:rPr>
          <w:rFonts w:hint="eastAsia" w:hAnsi="Courier New" w:eastAsia="宋体" w:cs="Courier New"/>
          <w:b/>
          <w:bCs/>
          <w:color w:val="auto"/>
          <w:highlight w:val="none"/>
        </w:rPr>
        <w:t>★注：投标人提供投标产品的第三方检测公司出具的</w:t>
      </w:r>
      <w:r>
        <w:rPr>
          <w:rFonts w:hint="eastAsia" w:hAnsi="Courier New" w:eastAsia="宋体" w:cs="Courier New"/>
          <w:b/>
          <w:bCs/>
          <w:color w:val="auto"/>
          <w:highlight w:val="none"/>
          <w:lang w:val="en-US" w:eastAsia="zh-CN"/>
        </w:rPr>
        <w:t>CMA</w:t>
      </w:r>
      <w:r>
        <w:rPr>
          <w:rFonts w:hint="eastAsia" w:hAnsi="Courier New" w:eastAsia="宋体" w:cs="Courier New"/>
          <w:b/>
          <w:bCs/>
          <w:color w:val="auto"/>
          <w:highlight w:val="none"/>
        </w:rPr>
        <w:t>检测报告，检测报告需达到以上所有技术指标的要求，否则作无效标处理。</w:t>
      </w:r>
    </w:p>
    <w:p w14:paraId="188A1568">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rPr>
        <w:t>投标人所提供的产品不得含有影响后续工艺正常运行的有害物质。</w:t>
      </w:r>
    </w:p>
    <w:p w14:paraId="513C39B8">
      <w:pPr>
        <w:pStyle w:val="19"/>
        <w:spacing w:line="480" w:lineRule="exact"/>
        <w:ind w:firstLine="422" w:firstLineChars="200"/>
        <w:rPr>
          <w:rFonts w:hint="eastAsia" w:hAnsi="Courier New" w:eastAsia="宋体" w:cs="Courier New"/>
          <w:b/>
          <w:bCs/>
          <w:color w:val="auto"/>
          <w:highlight w:val="none"/>
        </w:rPr>
      </w:pPr>
      <w:r>
        <w:rPr>
          <w:rFonts w:hint="eastAsia" w:hAnsi="Courier New" w:eastAsia="宋体" w:cs="Courier New"/>
          <w:b/>
          <w:bCs/>
          <w:color w:val="auto"/>
          <w:highlight w:val="none"/>
          <w:lang w:val="en-US" w:eastAsia="zh-CN"/>
        </w:rPr>
        <w:t>本产品在本项目中作为水处理除硬药剂，</w:t>
      </w:r>
      <w:r>
        <w:rPr>
          <w:rFonts w:hint="eastAsia" w:hAnsi="Courier New" w:eastAsia="宋体" w:cs="Courier New"/>
          <w:b/>
          <w:bCs/>
          <w:color w:val="auto"/>
          <w:highlight w:val="none"/>
        </w:rPr>
        <w:t>由于产品的质量问题导致采购人出水水质超标，而引发的污染环境罪或罚款，采购人除依法追究中标方法律责任外，环保及相关部门处罚产生的罚款及未来三年内采购人无法退税的金额，全部由中标方承担。</w:t>
      </w:r>
    </w:p>
    <w:p w14:paraId="0E2EBAEC">
      <w:pPr>
        <w:pStyle w:val="19"/>
        <w:spacing w:line="480" w:lineRule="exact"/>
        <w:ind w:firstLine="420" w:firstLineChars="200"/>
        <w:rPr>
          <w:rFonts w:hint="eastAsia" w:hAnsi="Courier New" w:eastAsia="宋体" w:cs="Courier New"/>
          <w:b/>
          <w:bCs/>
          <w:color w:val="FF0000"/>
          <w:highlight w:val="none"/>
        </w:rPr>
      </w:pPr>
      <w:r>
        <w:rPr>
          <w:rFonts w:hint="eastAsia" w:hAnsi="宋体" w:eastAsia="宋体" w:cs="Times New Roman"/>
          <w:color w:val="auto"/>
          <w:highlight w:val="none"/>
          <w:lang w:val="en-US" w:eastAsia="zh-CN"/>
        </w:rPr>
        <w:t>2、要求</w:t>
      </w:r>
      <w:r>
        <w:rPr>
          <w:rFonts w:hint="eastAsia" w:hAnsi="宋体" w:eastAsia="宋体" w:cs="Times New Roman"/>
          <w:b/>
          <w:bCs/>
          <w:color w:val="auto"/>
          <w:highlight w:val="none"/>
          <w:lang w:val="en-US" w:eastAsia="zh-CN"/>
        </w:rPr>
        <w:t>散装，罐车运输</w:t>
      </w:r>
      <w:r>
        <w:rPr>
          <w:rFonts w:hint="eastAsia" w:hAnsi="宋体" w:eastAsia="宋体" w:cs="Times New Roman"/>
          <w:color w:val="auto"/>
          <w:highlight w:val="none"/>
        </w:rPr>
        <w:t>，</w:t>
      </w:r>
      <w:r>
        <w:rPr>
          <w:rFonts w:hint="eastAsia" w:hAnsi="宋体" w:eastAsia="宋体" w:cs="Times New Roman"/>
          <w:color w:val="auto"/>
          <w:highlight w:val="none"/>
          <w:lang w:val="en-US" w:eastAsia="zh-CN"/>
        </w:rPr>
        <w:t>自带卸料泵，</w:t>
      </w:r>
      <w:r>
        <w:rPr>
          <w:rFonts w:hint="eastAsia" w:hAnsi="宋体" w:eastAsia="宋体" w:cs="Times New Roman"/>
          <w:b/>
          <w:bCs/>
          <w:color w:val="auto"/>
          <w:highlight w:val="none"/>
          <w:lang w:val="en-US" w:eastAsia="zh-CN"/>
        </w:rPr>
        <w:t>现场卸料泵入3个各100m</w:t>
      </w:r>
      <w:r>
        <w:rPr>
          <w:rFonts w:hint="eastAsia" w:hAnsi="宋体" w:eastAsia="宋体" w:cs="Times New Roman"/>
          <w:b/>
          <w:bCs/>
          <w:color w:val="auto"/>
          <w:highlight w:val="none"/>
          <w:vertAlign w:val="superscript"/>
          <w:lang w:val="en-US" w:eastAsia="zh-CN"/>
        </w:rPr>
        <w:t>3</w:t>
      </w:r>
      <w:r>
        <w:rPr>
          <w:rFonts w:hint="eastAsia" w:hAnsi="宋体" w:eastAsia="宋体" w:cs="Times New Roman"/>
          <w:b/>
          <w:bCs/>
          <w:color w:val="auto"/>
          <w:highlight w:val="none"/>
          <w:lang w:val="en-US" w:eastAsia="zh-CN"/>
        </w:rPr>
        <w:t>的料仓，</w:t>
      </w:r>
      <w:r>
        <w:rPr>
          <w:rFonts w:hint="eastAsia" w:hAnsi="宋体" w:eastAsia="宋体" w:cs="Times New Roman"/>
          <w:b/>
          <w:bCs/>
          <w:color w:val="auto"/>
          <w:highlight w:val="none"/>
        </w:rPr>
        <w:t>必须能流畅</w:t>
      </w:r>
      <w:r>
        <w:rPr>
          <w:rFonts w:hint="eastAsia" w:hAnsi="宋体" w:cs="Times New Roman"/>
          <w:b/>
          <w:bCs/>
          <w:color w:val="auto"/>
          <w:highlight w:val="none"/>
          <w:lang w:eastAsia="zh-CN"/>
        </w:rPr>
        <w:t>地</w:t>
      </w:r>
      <w:r>
        <w:rPr>
          <w:rFonts w:hint="eastAsia" w:hAnsi="宋体" w:eastAsia="宋体" w:cs="Times New Roman"/>
          <w:b/>
          <w:bCs/>
          <w:color w:val="auto"/>
          <w:highlight w:val="none"/>
        </w:rPr>
        <w:t>通过料仓进料口过滤器（筛网孔径为1cm）</w:t>
      </w:r>
      <w:r>
        <w:rPr>
          <w:rFonts w:hint="eastAsia" w:hAnsi="宋体" w:eastAsia="宋体" w:cs="Times New Roman"/>
          <w:color w:val="auto"/>
          <w:highlight w:val="none"/>
          <w:lang w:eastAsia="zh-CN"/>
        </w:rPr>
        <w:t>；</w:t>
      </w:r>
    </w:p>
    <w:p w14:paraId="657430A3">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3</w:t>
      </w:r>
      <w:r>
        <w:rPr>
          <w:rFonts w:hint="eastAsia" w:hAnsi="Courier New" w:eastAsia="宋体" w:cs="Courier New"/>
          <w:b w:val="0"/>
          <w:bCs w:val="0"/>
          <w:color w:val="auto"/>
          <w:highlight w:val="none"/>
        </w:rPr>
        <w:t>、生产工艺要求：生产过程符合国家相关技术规范要求和技术标准，须提供产品主要技术指标、生产工艺、质量水平等相关文件（加盖投标人公章），且不得向水中释放任何超标污染物，一经发现</w:t>
      </w:r>
      <w:r>
        <w:rPr>
          <w:rFonts w:hint="eastAsia" w:hAnsi="Courier New" w:eastAsia="宋体" w:cs="Courier New"/>
          <w:b w:val="0"/>
          <w:bCs w:val="0"/>
          <w:color w:val="auto"/>
          <w:highlight w:val="none"/>
          <w:lang w:eastAsia="zh-CN"/>
        </w:rPr>
        <w:t>，</w:t>
      </w:r>
      <w:r>
        <w:rPr>
          <w:rFonts w:hint="eastAsia" w:hAnsi="Courier New" w:eastAsia="宋体" w:cs="Courier New"/>
          <w:b w:val="0"/>
          <w:bCs w:val="0"/>
          <w:color w:val="auto"/>
          <w:highlight w:val="none"/>
        </w:rPr>
        <w:t>采购人有权终止合同。</w:t>
      </w:r>
    </w:p>
    <w:p w14:paraId="3432730A">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4</w:t>
      </w:r>
      <w:r>
        <w:rPr>
          <w:rFonts w:hint="eastAsia" w:hAnsi="Courier New" w:eastAsia="宋体" w:cs="Courier New"/>
          <w:b w:val="0"/>
          <w:bCs w:val="0"/>
          <w:color w:val="auto"/>
          <w:highlight w:val="none"/>
        </w:rPr>
        <w:t>、合格的产品和服务</w:t>
      </w:r>
    </w:p>
    <w:p w14:paraId="44B220B2">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4</w:t>
      </w:r>
      <w:r>
        <w:rPr>
          <w:rFonts w:hint="eastAsia" w:hAnsi="Courier New" w:eastAsia="宋体" w:cs="Courier New"/>
          <w:b w:val="0"/>
          <w:bCs w:val="0"/>
          <w:color w:val="auto"/>
          <w:highlight w:val="none"/>
        </w:rPr>
        <w:t>.1投标人提供的所有产品必须是全新的，所涉及的技术、设计、技术培训和技术服务应来自于中华人民共和国或与中华人民共和国有正常贸易往来的国家或地区。</w:t>
      </w:r>
    </w:p>
    <w:p w14:paraId="7D520315">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4</w:t>
      </w:r>
      <w:r>
        <w:rPr>
          <w:rFonts w:hint="eastAsia" w:hAnsi="Courier New" w:eastAsia="宋体" w:cs="Courier New"/>
          <w:b w:val="0"/>
          <w:bCs w:val="0"/>
          <w:color w:val="auto"/>
          <w:highlight w:val="none"/>
        </w:rPr>
        <w:t>.2投标人应保证招标人在本项目招标过程中以及招标结束后在使用该产品或产品的任何一部分时，免受投标人或第三方提出的侵犯其专利权、商标权、著作权或其它知识产权的起诉。</w:t>
      </w:r>
    </w:p>
    <w:p w14:paraId="6B5992E5">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5</w:t>
      </w:r>
      <w:r>
        <w:rPr>
          <w:rFonts w:hint="eastAsia" w:hAnsi="Courier New" w:eastAsia="宋体" w:cs="Courier New"/>
          <w:b w:val="0"/>
          <w:bCs w:val="0"/>
          <w:color w:val="auto"/>
          <w:highlight w:val="none"/>
        </w:rPr>
        <w:t>、质量检验</w:t>
      </w:r>
    </w:p>
    <w:p w14:paraId="60B0AF0B">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5</w:t>
      </w:r>
      <w:r>
        <w:rPr>
          <w:rFonts w:hint="eastAsia" w:hAnsi="Courier New" w:eastAsia="宋体" w:cs="Courier New"/>
          <w:b w:val="0"/>
          <w:bCs w:val="0"/>
          <w:color w:val="auto"/>
          <w:highlight w:val="none"/>
        </w:rPr>
        <w:t>.1日常抽检和季度抽检</w:t>
      </w:r>
    </w:p>
    <w:p w14:paraId="4E54EB5F">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rPr>
        <w:t>产品质量检验采用日常抽检及季度抽检的形式。需方有权对供方提供的</w:t>
      </w:r>
      <w:r>
        <w:rPr>
          <w:rFonts w:hint="eastAsia" w:hAnsi="Courier New" w:eastAsia="宋体" w:cs="Courier New"/>
          <w:b w:val="0"/>
          <w:bCs w:val="0"/>
          <w:color w:val="auto"/>
          <w:highlight w:val="none"/>
          <w:lang w:eastAsia="zh-CN"/>
        </w:rPr>
        <w:t>工业碳酸钠</w:t>
      </w:r>
      <w:r>
        <w:rPr>
          <w:rFonts w:hint="eastAsia" w:hAnsi="Courier New" w:eastAsia="宋体" w:cs="Courier New"/>
          <w:b w:val="0"/>
          <w:bCs w:val="0"/>
          <w:color w:val="auto"/>
          <w:highlight w:val="none"/>
        </w:rPr>
        <w:t>（</w:t>
      </w:r>
      <w:r>
        <w:rPr>
          <w:rFonts w:hint="eastAsia" w:hAnsi="Courier New" w:eastAsia="宋体" w:cs="Courier New"/>
          <w:b w:val="0"/>
          <w:bCs w:val="0"/>
          <w:color w:val="auto"/>
          <w:highlight w:val="none"/>
          <w:lang w:val="en-US" w:eastAsia="zh-CN"/>
        </w:rPr>
        <w:t>总碱量≥</w:t>
      </w:r>
      <w:r>
        <w:rPr>
          <w:rFonts w:hint="eastAsia" w:hAnsi="Courier New" w:eastAsia="宋体" w:cs="Courier New"/>
          <w:b w:val="0"/>
          <w:bCs w:val="0"/>
          <w:color w:val="auto"/>
          <w:highlight w:val="none"/>
        </w:rPr>
        <w:t>98</w:t>
      </w:r>
      <w:r>
        <w:rPr>
          <w:rFonts w:hint="eastAsia" w:hAnsi="Courier New" w:eastAsia="宋体" w:cs="Courier New"/>
          <w:b w:val="0"/>
          <w:bCs w:val="0"/>
          <w:color w:val="auto"/>
          <w:highlight w:val="none"/>
          <w:lang w:val="en-US" w:eastAsia="zh-CN"/>
        </w:rPr>
        <w:t>.0</w:t>
      </w:r>
      <w:r>
        <w:rPr>
          <w:rFonts w:hint="eastAsia" w:hAnsi="Courier New" w:eastAsia="宋体" w:cs="Courier New"/>
          <w:b w:val="0"/>
          <w:bCs w:val="0"/>
          <w:color w:val="auto"/>
          <w:highlight w:val="none"/>
        </w:rPr>
        <w:t>%）进行抽检，日常抽检样品采购人</w:t>
      </w:r>
      <w:r>
        <w:rPr>
          <w:rFonts w:hint="eastAsia" w:hAnsi="Courier New" w:eastAsia="宋体" w:cs="Courier New"/>
          <w:b w:val="0"/>
          <w:bCs w:val="0"/>
          <w:color w:val="auto"/>
          <w:highlight w:val="none"/>
          <w:lang w:val="en-US" w:eastAsia="zh-CN"/>
        </w:rPr>
        <w:t>可自行检测或送有资质第三方检测机构检测，检测内容包括但不限于总碱量等指标</w:t>
      </w:r>
      <w:r>
        <w:rPr>
          <w:rFonts w:hint="eastAsia" w:hAnsi="Courier New" w:eastAsia="宋体" w:cs="Courier New"/>
          <w:b w:val="0"/>
          <w:bCs w:val="0"/>
          <w:color w:val="auto"/>
          <w:highlight w:val="none"/>
        </w:rPr>
        <w:t>；季度抽检样品送至</w:t>
      </w:r>
      <w:r>
        <w:rPr>
          <w:rFonts w:hint="eastAsia" w:hAnsi="Courier New" w:eastAsia="宋体" w:cs="Courier New"/>
          <w:b w:val="0"/>
          <w:bCs w:val="0"/>
          <w:color w:val="auto"/>
          <w:highlight w:val="none"/>
          <w:lang w:val="en-US" w:eastAsia="zh-CN"/>
        </w:rPr>
        <w:t>有资质</w:t>
      </w:r>
      <w:r>
        <w:rPr>
          <w:rFonts w:hint="eastAsia" w:hAnsi="Courier New" w:eastAsia="宋体" w:cs="Courier New"/>
          <w:b w:val="0"/>
          <w:bCs w:val="0"/>
          <w:color w:val="auto"/>
          <w:highlight w:val="none"/>
        </w:rPr>
        <w:t>第三方检测机构检测，</w:t>
      </w:r>
      <w:r>
        <w:rPr>
          <w:rFonts w:hint="eastAsia" w:hAnsi="Courier New" w:eastAsia="宋体" w:cs="Courier New"/>
          <w:b w:val="0"/>
          <w:bCs w:val="0"/>
          <w:color w:val="auto"/>
          <w:highlight w:val="none"/>
          <w:lang w:val="en-US" w:eastAsia="zh-CN"/>
        </w:rPr>
        <w:t>检测内容包括技术规范各项指标，</w:t>
      </w:r>
      <w:r>
        <w:rPr>
          <w:rFonts w:hint="eastAsia" w:hAnsi="Courier New" w:eastAsia="宋体" w:cs="Courier New"/>
          <w:b w:val="0"/>
          <w:bCs w:val="0"/>
          <w:color w:val="auto"/>
          <w:highlight w:val="none"/>
        </w:rPr>
        <w:t>季度抽检样品送检为每季度一次。</w:t>
      </w:r>
    </w:p>
    <w:p w14:paraId="2D1FC1D9">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5</w:t>
      </w:r>
      <w:r>
        <w:rPr>
          <w:rFonts w:hint="eastAsia" w:hAnsi="Courier New" w:eastAsia="宋体" w:cs="Courier New"/>
          <w:b w:val="0"/>
          <w:bCs w:val="0"/>
          <w:color w:val="auto"/>
          <w:highlight w:val="none"/>
        </w:rPr>
        <w:t>.2检测结果运用</w:t>
      </w:r>
    </w:p>
    <w:p w14:paraId="3A7ADFD7">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rPr>
        <w:t>检测结果技术指标全部符合本项目招标文件技术规范要求的，该批次货款全额结算。检测结果技术指标不符合本项目招标文件技术规范要求的，其中总碱量质量分数&lt;98</w:t>
      </w:r>
      <w:r>
        <w:rPr>
          <w:rFonts w:hint="eastAsia" w:hAnsi="Courier New" w:eastAsia="宋体" w:cs="Courier New"/>
          <w:b w:val="0"/>
          <w:bCs w:val="0"/>
          <w:color w:val="auto"/>
          <w:highlight w:val="none"/>
          <w:lang w:val="en-US" w:eastAsia="zh-CN"/>
        </w:rPr>
        <w:t>.0</w:t>
      </w:r>
      <w:r>
        <w:rPr>
          <w:rFonts w:hint="eastAsia" w:hAnsi="Courier New" w:eastAsia="宋体" w:cs="Courier New"/>
          <w:b w:val="0"/>
          <w:bCs w:val="0"/>
          <w:color w:val="auto"/>
          <w:highlight w:val="none"/>
        </w:rPr>
        <w:t>%的，扣除该批次货款的（98</w:t>
      </w:r>
      <w:r>
        <w:rPr>
          <w:rFonts w:hint="eastAsia" w:hAnsi="Courier New" w:eastAsia="宋体" w:cs="Courier New"/>
          <w:b w:val="0"/>
          <w:bCs w:val="0"/>
          <w:color w:val="auto"/>
          <w:highlight w:val="none"/>
          <w:lang w:val="en-US" w:eastAsia="zh-CN"/>
        </w:rPr>
        <w:t>.0</w:t>
      </w:r>
      <w:r>
        <w:rPr>
          <w:rFonts w:hint="eastAsia" w:hAnsi="Courier New" w:eastAsia="宋体" w:cs="Courier New"/>
          <w:b w:val="0"/>
          <w:bCs w:val="0"/>
          <w:color w:val="auto"/>
          <w:highlight w:val="none"/>
        </w:rPr>
        <w:t>%-总碱量质量分数）×20不予结算，该批次货款扣完为止；其他指标任一项不达标时，扣除该批次货款的20%；多项不达标时，该批次扣款为每个单项扣款金额相加，该批次货款扣完为止。</w:t>
      </w:r>
    </w:p>
    <w:p w14:paraId="5504A6C1">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5</w:t>
      </w:r>
      <w:r>
        <w:rPr>
          <w:rFonts w:hint="eastAsia" w:hAnsi="Courier New" w:eastAsia="宋体" w:cs="Courier New"/>
          <w:b w:val="0"/>
          <w:bCs w:val="0"/>
          <w:color w:val="auto"/>
          <w:highlight w:val="none"/>
        </w:rPr>
        <w:t>.3日常抽检样品检测费用由需方承担；季度抽检样品检测费由供方承担。</w:t>
      </w:r>
    </w:p>
    <w:p w14:paraId="4B66388F">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5</w:t>
      </w:r>
      <w:r>
        <w:rPr>
          <w:rFonts w:hint="eastAsia" w:hAnsi="Courier New" w:eastAsia="宋体" w:cs="Courier New"/>
          <w:b w:val="0"/>
          <w:bCs w:val="0"/>
          <w:color w:val="auto"/>
          <w:highlight w:val="none"/>
        </w:rPr>
        <w:t>.4</w:t>
      </w:r>
      <w:r>
        <w:rPr>
          <w:rFonts w:hint="eastAsia"/>
        </w:rPr>
        <w:t>如供方对检测结果有疑义的，供需双方在场的情况下取样送第三方检测机构进行检测</w:t>
      </w:r>
      <w:r>
        <w:rPr>
          <w:rFonts w:hint="eastAsia" w:hAnsi="Courier New" w:eastAsia="宋体" w:cs="Courier New"/>
          <w:b w:val="0"/>
          <w:bCs w:val="0"/>
          <w:color w:val="auto"/>
          <w:highlight w:val="none"/>
        </w:rPr>
        <w:t>，检测结果技术指标若符合本项目招标文件技术规范要求的，则该批次货款全额结算，检测费用由需方承担；检测结果技术指标不符合招标项目要求中技术规范中指标要求的，则该批次按</w:t>
      </w:r>
      <w:r>
        <w:rPr>
          <w:rFonts w:hint="eastAsia" w:hAnsi="Courier New" w:eastAsia="宋体" w:cs="Courier New"/>
          <w:b w:val="0"/>
          <w:bCs w:val="0"/>
          <w:color w:val="auto"/>
          <w:highlight w:val="none"/>
          <w:lang w:val="en-US" w:eastAsia="zh-CN"/>
        </w:rPr>
        <w:t>5</w:t>
      </w:r>
      <w:r>
        <w:rPr>
          <w:rFonts w:hint="eastAsia" w:hAnsi="Courier New" w:eastAsia="宋体" w:cs="Courier New"/>
          <w:b w:val="0"/>
          <w:bCs w:val="0"/>
          <w:color w:val="auto"/>
          <w:highlight w:val="none"/>
        </w:rPr>
        <w:t>.2的要求进行支付货款，检测费用由供方承担。</w:t>
      </w:r>
    </w:p>
    <w:p w14:paraId="54A000BE">
      <w:pPr>
        <w:pStyle w:val="19"/>
        <w:spacing w:line="480" w:lineRule="exact"/>
        <w:ind w:firstLine="420" w:firstLineChars="200"/>
        <w:rPr>
          <w:rFonts w:hint="eastAsia" w:ascii="宋体" w:hAnsi="Courier New" w:eastAsia="宋体" w:cs="Courier New"/>
          <w:b w:val="0"/>
          <w:bCs w:val="0"/>
          <w:color w:val="auto"/>
          <w:highlight w:val="none"/>
          <w:lang w:val="en-US" w:eastAsia="zh-CN"/>
        </w:rPr>
      </w:pPr>
      <w:r>
        <w:rPr>
          <w:rFonts w:hint="eastAsia" w:ascii="宋体" w:hAnsi="Courier New" w:eastAsia="宋体" w:cs="Courier New"/>
          <w:b w:val="0"/>
          <w:bCs w:val="0"/>
          <w:color w:val="auto"/>
          <w:highlight w:val="none"/>
          <w:lang w:val="en-US" w:eastAsia="zh-CN"/>
        </w:rPr>
        <w:t>5.5合同执行过程中，供方提供的药剂检测结果累计12次技术参数未达到GB/T 210-2022工业碳酸钠中的“Ⅱ（一般工业用碳酸钠合格品）”要求标准技术指标要求的，需方有权单方面解除合同。</w:t>
      </w:r>
    </w:p>
    <w:p w14:paraId="7D755B06">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lang w:val="en-US" w:eastAsia="zh-CN"/>
        </w:rPr>
        <w:t>6</w:t>
      </w:r>
      <w:r>
        <w:rPr>
          <w:rFonts w:hint="eastAsia" w:hAnsi="Courier New" w:eastAsia="宋体" w:cs="Courier New"/>
          <w:b w:val="0"/>
          <w:bCs w:val="0"/>
          <w:color w:val="auto"/>
          <w:highlight w:val="none"/>
        </w:rPr>
        <w:t>、现场勘察</w:t>
      </w:r>
    </w:p>
    <w:p w14:paraId="599DB8A9">
      <w:pPr>
        <w:pStyle w:val="19"/>
        <w:spacing w:line="480" w:lineRule="exact"/>
        <w:ind w:firstLine="420" w:firstLineChars="200"/>
        <w:rPr>
          <w:rFonts w:hint="eastAsia" w:hAnsi="Courier New" w:eastAsia="宋体" w:cs="Courier New"/>
          <w:b w:val="0"/>
          <w:bCs w:val="0"/>
          <w:color w:val="auto"/>
          <w:highlight w:val="none"/>
        </w:rPr>
      </w:pPr>
      <w:r>
        <w:rPr>
          <w:rFonts w:hint="eastAsia" w:hAnsi="Courier New" w:eastAsia="宋体" w:cs="Courier New"/>
          <w:b w:val="0"/>
          <w:bCs w:val="0"/>
          <w:color w:val="auto"/>
          <w:highlight w:val="none"/>
        </w:rPr>
        <w:t>投标前，投标人须自行到项目所在地予以勘察，</w:t>
      </w:r>
      <w:bookmarkStart w:id="37" w:name="_Hlk111409126"/>
      <w:r>
        <w:rPr>
          <w:rFonts w:hint="eastAsia" w:hAnsi="Courier New" w:eastAsia="宋体" w:cs="Courier New"/>
          <w:b w:val="0"/>
          <w:bCs w:val="0"/>
          <w:color w:val="auto"/>
          <w:highlight w:val="none"/>
        </w:rPr>
        <w:t>对项目实施现场及周边环境等进行勘察，</w:t>
      </w:r>
      <w:bookmarkEnd w:id="37"/>
      <w:r>
        <w:rPr>
          <w:rFonts w:hint="eastAsia" w:hAnsi="Courier New" w:eastAsia="宋体" w:cs="Courier New"/>
          <w:b w:val="0"/>
          <w:bCs w:val="0"/>
          <w:color w:val="auto"/>
          <w:highlight w:val="none"/>
        </w:rPr>
        <w:t>以获取编制投标文件和签署合同所需的所有资料，否则，由此所造成的一切后果由投标人自行承担。</w:t>
      </w:r>
    </w:p>
    <w:p w14:paraId="5EE18E51">
      <w:pPr>
        <w:pStyle w:val="5"/>
        <w:spacing w:before="120" w:after="120" w:line="240" w:lineRule="auto"/>
        <w:ind w:firstLine="0" w:firstLineChars="0"/>
        <w:rPr>
          <w:rFonts w:hint="eastAsia" w:ascii="宋体" w:hAnsi="宋体" w:eastAsia="宋体" w:cs="宋体"/>
          <w:color w:val="auto"/>
          <w:sz w:val="21"/>
          <w:szCs w:val="21"/>
          <w:highlight w:val="none"/>
        </w:rPr>
      </w:pPr>
      <w:bookmarkStart w:id="38" w:name="_Toc7917"/>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、商务要求</w:t>
      </w:r>
      <w:bookmarkEnd w:id="36"/>
      <w:bookmarkEnd w:id="38"/>
    </w:p>
    <w:p w14:paraId="4664C322">
      <w:pPr>
        <w:snapToGrid w:val="0"/>
        <w:spacing w:line="480" w:lineRule="exact"/>
        <w:rPr>
          <w:rFonts w:hint="eastAsia" w:ascii="宋体" w:hAnsi="宋体" w:eastAsia="宋体" w:cs="宋体"/>
          <w:sz w:val="21"/>
          <w:szCs w:val="21"/>
        </w:rPr>
      </w:pPr>
      <w:bookmarkStart w:id="39" w:name="OLE_LINK17"/>
      <w:bookmarkStart w:id="40" w:name="_Toc20533"/>
      <w:r>
        <w:rPr>
          <w:rFonts w:hint="eastAsia" w:ascii="宋体" w:hAnsi="宋体" w:eastAsia="宋体" w:cs="宋体"/>
          <w:b/>
          <w:bCs/>
          <w:sz w:val="21"/>
          <w:szCs w:val="21"/>
        </w:rPr>
        <w:t>3.1 项目报价要求</w:t>
      </w:r>
    </w:p>
    <w:p w14:paraId="0F98FA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eastAsia="宋体" w:cs="宋体"/>
          <w:sz w:val="21"/>
        </w:rPr>
      </w:pPr>
      <w:r>
        <w:rPr>
          <w:rFonts w:hint="eastAsia" w:ascii="宋体" w:hAnsi="宋体" w:eastAsia="宋体" w:cs="宋体"/>
          <w:sz w:val="21"/>
        </w:rPr>
        <w:t>3.1.1</w:t>
      </w:r>
      <w:r>
        <w:rPr>
          <w:rFonts w:hint="eastAsia" w:hAnsi="宋体" w:eastAsia="宋体" w:cs="宋体"/>
          <w:sz w:val="21"/>
        </w:rPr>
        <w:t>投标报价包括：货物价款、检测费、</w:t>
      </w:r>
      <w:r>
        <w:rPr>
          <w:rFonts w:hint="eastAsia" w:hAnsi="宋体" w:eastAsia="宋体" w:cs="宋体"/>
          <w:bCs/>
          <w:sz w:val="21"/>
        </w:rPr>
        <w:t>运输费、</w:t>
      </w:r>
      <w:r>
        <w:rPr>
          <w:rFonts w:hint="eastAsia" w:hAnsi="宋体" w:eastAsia="宋体" w:cs="宋体"/>
          <w:sz w:val="21"/>
        </w:rPr>
        <w:t>装卸费、保险费、税费等完成本项目的其它费用和政策性文件规定及合同包含的所有风险、责任等各项应有费用、管理费、利润、</w:t>
      </w:r>
      <w:r>
        <w:rPr>
          <w:rFonts w:hint="eastAsia" w:hAnsi="宋体" w:eastAsia="宋体" w:cs="宋体"/>
          <w:bCs/>
          <w:sz w:val="21"/>
        </w:rPr>
        <w:t>税费等一切费用</w:t>
      </w:r>
      <w:r>
        <w:rPr>
          <w:rFonts w:hint="eastAsia" w:hAnsi="宋体" w:eastAsia="宋体" w:cs="宋体"/>
          <w:sz w:val="21"/>
        </w:rPr>
        <w:t>。投标报价为投标人所能承受的最低、最终一次性报价。投标人的投标报价为整个采购项目的总报价，如有漏项，视同已包含在其总项目中，合同总价不做调整。</w:t>
      </w:r>
    </w:p>
    <w:p w14:paraId="505122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kern w:val="2"/>
          <w:sz w:val="21"/>
          <w:szCs w:val="21"/>
          <w:lang w:val="en-US" w:eastAsia="zh-CN" w:bidi="ar-SA"/>
        </w:rPr>
      </w:pPr>
      <w:r>
        <w:rPr>
          <w:rFonts w:hint="eastAsia" w:ascii="宋体" w:hAnsi="宋体" w:eastAsia="宋体" w:cs="宋体"/>
          <w:sz w:val="21"/>
          <w:szCs w:val="21"/>
        </w:rPr>
        <w:t>3.1.2</w:t>
      </w:r>
      <w:r>
        <w:rPr>
          <w:rFonts w:hint="eastAsia" w:ascii="宋体" w:hAnsi="宋体" w:eastAsia="宋体" w:cs="Courier New"/>
          <w:kern w:val="2"/>
          <w:sz w:val="21"/>
          <w:szCs w:val="21"/>
          <w:lang w:val="en-US" w:eastAsia="zh-CN" w:bidi="ar-SA"/>
        </w:rPr>
        <w:t>中标后，</w:t>
      </w:r>
      <w:r>
        <w:rPr>
          <w:rFonts w:hint="eastAsia" w:ascii="宋体" w:hAnsi="宋体" w:eastAsia="宋体" w:cs="宋体"/>
          <w:b/>
          <w:kern w:val="2"/>
          <w:sz w:val="21"/>
          <w:szCs w:val="21"/>
          <w:lang w:val="en-US" w:eastAsia="zh-CN" w:bidi="ar-SA"/>
        </w:rPr>
        <w:t>中标人所填写的单价在合同实施期间不因市场变化因素而变动；</w:t>
      </w:r>
      <w:r>
        <w:rPr>
          <w:rFonts w:hint="eastAsia" w:ascii="宋体" w:hAnsi="宋体" w:eastAsia="宋体" w:cs="Courier New"/>
          <w:kern w:val="2"/>
          <w:sz w:val="21"/>
          <w:szCs w:val="21"/>
          <w:lang w:val="en-US" w:eastAsia="zh-CN" w:bidi="ar-SA"/>
        </w:rPr>
        <w:t>投标人在计算报价时应考虑一定的风险系数。因设计与工程因素引起实际施工中发生设计变更、修改、调整、完善等情况，修改部分则按其投标书相应部分货物及施工的单价同口径计算。</w:t>
      </w:r>
    </w:p>
    <w:p w14:paraId="53D434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kern w:val="2"/>
          <w:sz w:val="21"/>
          <w:szCs w:val="21"/>
          <w:lang w:val="en-US" w:eastAsia="zh-CN" w:bidi="ar-SA"/>
        </w:rPr>
      </w:pPr>
      <w:r>
        <w:rPr>
          <w:rFonts w:hint="eastAsia" w:ascii="宋体" w:hAnsi="宋体" w:eastAsia="宋体" w:cs="Courier New"/>
          <w:kern w:val="2"/>
          <w:sz w:val="21"/>
          <w:szCs w:val="21"/>
          <w:lang w:val="en-US" w:eastAsia="zh-CN" w:bidi="ar-SA"/>
        </w:rPr>
        <w:t>3.1.3投标人应按招标文件规定的报价格式进行投标报价。投标人对每种货物只允许有一个报价，采购人不接受任何有选择性的报价。</w:t>
      </w:r>
    </w:p>
    <w:p w14:paraId="7E831C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3.1.4采购人不接受低于成本的投标报价。</w:t>
      </w:r>
    </w:p>
    <w:p w14:paraId="24DE43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3.1.5投标人按照上述要求编制投标报价。一旦确认某一投标人中标，除合同规定的可调整内容外，中标人不得要求追加任何费用。</w:t>
      </w:r>
    </w:p>
    <w:p w14:paraId="2F11BB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3.1.6须由中标单位开具正式发票。</w:t>
      </w:r>
    </w:p>
    <w:p w14:paraId="36365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 w:val="21"/>
          <w:szCs w:val="21"/>
          <w:lang w:val="en-US" w:eastAsia="zh-CN"/>
        </w:rPr>
        <w:t>3.1.7</w:t>
      </w:r>
      <w:r>
        <w:rPr>
          <w:rFonts w:hint="eastAsia" w:ascii="宋体" w:hAnsi="宋体" w:eastAsia="宋体" w:cs="宋体"/>
          <w:sz w:val="21"/>
          <w:szCs w:val="21"/>
        </w:rPr>
        <w:t>招标文件中规定由投标单位承担并支付的相关费用在投标报价时应一并考虑。</w:t>
      </w:r>
    </w:p>
    <w:bookmarkEnd w:id="39"/>
    <w:p w14:paraId="0B75A1D7">
      <w:pPr>
        <w:spacing w:line="480" w:lineRule="exact"/>
        <w:rPr>
          <w:rFonts w:hint="eastAsia"/>
          <w:b/>
          <w:bCs/>
          <w:color w:val="auto"/>
          <w:highlight w:val="none"/>
        </w:rPr>
      </w:pPr>
      <w:r>
        <w:rPr>
          <w:rFonts w:hint="eastAsia"/>
          <w:b/>
          <w:bCs/>
          <w:color w:val="auto"/>
          <w:highlight w:val="none"/>
        </w:rPr>
        <w:t xml:space="preserve">  3.2供货要求</w:t>
      </w:r>
    </w:p>
    <w:p w14:paraId="40B263E3">
      <w:pPr>
        <w:pStyle w:val="19"/>
        <w:spacing w:line="480" w:lineRule="exact"/>
        <w:ind w:firstLine="422" w:firstLineChars="200"/>
        <w:rPr>
          <w:rFonts w:hint="eastAsia" w:hAnsi="宋体" w:eastAsia="宋体" w:cs="Courier New"/>
          <w:b/>
          <w:bCs/>
          <w:color w:val="auto"/>
          <w:highlight w:val="none"/>
        </w:rPr>
      </w:pPr>
      <w:r>
        <w:rPr>
          <w:rFonts w:hint="eastAsia" w:hAnsi="宋体" w:eastAsia="宋体" w:cs="Courier New"/>
          <w:b/>
          <w:bCs/>
          <w:color w:val="auto"/>
          <w:highlight w:val="none"/>
        </w:rPr>
        <w:t>投标人</w:t>
      </w:r>
      <w:r>
        <w:rPr>
          <w:rFonts w:hint="eastAsia" w:hAnsi="宋体" w:eastAsia="宋体" w:cs="Courier New"/>
          <w:b/>
          <w:bCs/>
          <w:color w:val="auto"/>
          <w:highlight w:val="none"/>
          <w:lang w:val="en-US" w:eastAsia="zh-CN"/>
        </w:rPr>
        <w:t>须具备</w:t>
      </w:r>
      <w:r>
        <w:rPr>
          <w:rFonts w:hint="eastAsia" w:hAnsi="宋体" w:eastAsia="宋体" w:cs="Courier New"/>
          <w:b/>
          <w:bCs/>
          <w:color w:val="auto"/>
          <w:highlight w:val="none"/>
        </w:rPr>
        <w:t>自</w:t>
      </w:r>
      <w:r>
        <w:rPr>
          <w:rFonts w:hint="eastAsia" w:hAnsi="宋体" w:eastAsia="宋体" w:cs="Courier New"/>
          <w:b/>
          <w:bCs/>
          <w:color w:val="auto"/>
          <w:highlight w:val="none"/>
          <w:lang w:val="en-US" w:eastAsia="zh-CN"/>
        </w:rPr>
        <w:t>有</w:t>
      </w:r>
      <w:r>
        <w:rPr>
          <w:rFonts w:hint="eastAsia" w:hAnsi="宋体" w:eastAsia="宋体" w:cs="Courier New"/>
          <w:b/>
          <w:bCs/>
          <w:color w:val="auto"/>
          <w:highlight w:val="none"/>
        </w:rPr>
        <w:t>或委托的专用运输车辆。</w:t>
      </w:r>
    </w:p>
    <w:p w14:paraId="56D1AB42">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投标人须具备自有或委托的专用运输车辆。</w:t>
      </w:r>
    </w:p>
    <w:p w14:paraId="619F01A1">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r>
        <w:rPr>
          <w:rFonts w:hint="eastAsia" w:ascii="宋体" w:hAnsi="宋体" w:cs="宋体"/>
          <w:color w:val="auto"/>
          <w:kern w:val="0"/>
          <w:szCs w:val="21"/>
          <w:highlight w:val="none"/>
        </w:rPr>
        <w:t>1交货期：按需交货，接到通知之日起2日内。</w:t>
      </w:r>
    </w:p>
    <w:p w14:paraId="1B84AA40">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r>
        <w:rPr>
          <w:rFonts w:hint="eastAsia" w:ascii="宋体" w:hAnsi="宋体" w:cs="宋体"/>
          <w:color w:val="auto"/>
          <w:kern w:val="0"/>
          <w:szCs w:val="21"/>
          <w:highlight w:val="none"/>
        </w:rPr>
        <w:t>2交货地点：以需方指定地点为准。</w:t>
      </w:r>
    </w:p>
    <w:p w14:paraId="56CF39C6">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供货期：12个月。</w:t>
      </w:r>
    </w:p>
    <w:p w14:paraId="7B6CDBF9">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r>
        <w:rPr>
          <w:rFonts w:hint="eastAsia" w:ascii="宋体" w:hAnsi="宋体" w:cs="宋体"/>
          <w:color w:val="auto"/>
          <w:kern w:val="0"/>
          <w:szCs w:val="21"/>
          <w:highlight w:val="none"/>
        </w:rPr>
        <w:t>4交货量：按需供货，数量以水处理公司指定过磅点得出的净重值为准。</w:t>
      </w:r>
    </w:p>
    <w:p w14:paraId="665B78B4">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r>
        <w:rPr>
          <w:rFonts w:hint="eastAsia" w:ascii="宋体" w:hAnsi="宋体" w:cs="宋体"/>
          <w:color w:val="auto"/>
          <w:kern w:val="0"/>
          <w:szCs w:val="21"/>
          <w:highlight w:val="none"/>
        </w:rPr>
        <w:t>5质检报告及合格证：每批出厂的产品应附有质量检验报告和质量合格证。</w:t>
      </w:r>
    </w:p>
    <w:p w14:paraId="0CF0B42D">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r>
        <w:rPr>
          <w:rFonts w:hint="eastAsia" w:ascii="宋体" w:hAnsi="宋体" w:cs="宋体"/>
          <w:color w:val="auto"/>
          <w:kern w:val="0"/>
          <w:szCs w:val="21"/>
          <w:highlight w:val="none"/>
        </w:rPr>
        <w:t>6包装、质检报告及合格证未达到上述要求的，需方有权拒收。</w:t>
      </w:r>
    </w:p>
    <w:p w14:paraId="55B3DBDB">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r>
        <w:rPr>
          <w:rFonts w:hint="eastAsia" w:ascii="宋体" w:hAnsi="宋体" w:cs="宋体"/>
          <w:color w:val="auto"/>
          <w:kern w:val="0"/>
          <w:szCs w:val="21"/>
          <w:highlight w:val="none"/>
        </w:rPr>
        <w:t>7运输、卸货要求：专车运输，卸货至指定地点的料仓内并现场清理干净。</w:t>
      </w:r>
    </w:p>
    <w:p w14:paraId="1FDDAA9B">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r>
        <w:rPr>
          <w:rFonts w:hint="eastAsia" w:ascii="宋体" w:hAnsi="宋体" w:cs="宋体"/>
          <w:color w:val="auto"/>
          <w:kern w:val="0"/>
          <w:szCs w:val="21"/>
          <w:highlight w:val="none"/>
        </w:rPr>
        <w:t>8售后服务要求：货物验收过程中，由于质量不合格、运输或卸货等原因所造成的一切费用（损失）均由承包方负责。</w:t>
      </w:r>
    </w:p>
    <w:p w14:paraId="787FC372">
      <w:pPr>
        <w:spacing w:line="480" w:lineRule="exact"/>
        <w:ind w:firstLine="422" w:firstLineChars="200"/>
        <w:rPr>
          <w:rFonts w:hint="eastAsia"/>
          <w:b/>
          <w:bCs/>
          <w:color w:val="auto"/>
          <w:highlight w:val="none"/>
        </w:rPr>
      </w:pPr>
      <w:r>
        <w:rPr>
          <w:rFonts w:hint="eastAsia" w:ascii="宋体" w:hAnsi="宋体"/>
          <w:b/>
          <w:bCs/>
          <w:color w:val="auto"/>
          <w:highlight w:val="none"/>
        </w:rPr>
        <w:t>3.3</w:t>
      </w:r>
      <w:r>
        <w:rPr>
          <w:rFonts w:hint="eastAsia"/>
          <w:b/>
          <w:bCs/>
          <w:color w:val="auto"/>
          <w:highlight w:val="none"/>
        </w:rPr>
        <w:t>付款方式</w:t>
      </w:r>
    </w:p>
    <w:p w14:paraId="3218E6F1">
      <w:pPr>
        <w:spacing w:line="480" w:lineRule="exact"/>
        <w:ind w:firstLine="420" w:firstLineChars="200"/>
        <w:rPr>
          <w:rFonts w:hint="eastAsia"/>
          <w:b w:val="0"/>
          <w:bCs w:val="0"/>
          <w:color w:val="auto"/>
          <w:highlight w:val="none"/>
        </w:rPr>
      </w:pPr>
      <w:r>
        <w:rPr>
          <w:rFonts w:hint="eastAsia"/>
          <w:b w:val="0"/>
          <w:bCs w:val="0"/>
          <w:color w:val="auto"/>
          <w:highlight w:val="none"/>
        </w:rPr>
        <w:t>翻单付款，按月结算，需方收到供方所供的货物及上一批次产品货款增值税专用发票后二十个工作日内结算上一批次货款。付款时间遇节假日顺延。供方开具专用增值税专用发票，供方开具货物货款增值税专用发票之前必须与需方核对货款。</w:t>
      </w:r>
    </w:p>
    <w:p w14:paraId="6E57AC91">
      <w:pPr>
        <w:spacing w:line="360" w:lineRule="auto"/>
        <w:ind w:firstLine="422" w:firstLineChars="200"/>
        <w:jc w:val="left"/>
        <w:outlineLvl w:val="2"/>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3.4</w:t>
      </w:r>
      <w:r>
        <w:rPr>
          <w:rFonts w:hint="eastAsia" w:ascii="宋体" w:hAnsi="宋体" w:eastAsia="宋体" w:cs="宋体"/>
          <w:b/>
          <w:color w:val="000000"/>
          <w:sz w:val="21"/>
          <w:szCs w:val="21"/>
          <w:highlight w:val="none"/>
        </w:rPr>
        <w:t>验收办法及其标准</w:t>
      </w:r>
    </w:p>
    <w:p w14:paraId="22FE5ECD">
      <w:pPr>
        <w:pStyle w:val="2"/>
        <w:rPr>
          <w:rFonts w:hint="eastAsia"/>
        </w:rPr>
      </w:pPr>
      <w:r>
        <w:rPr>
          <w:rFonts w:hint="eastAsia" w:ascii="宋体" w:hAnsi="宋体" w:cs="宋体"/>
          <w:bCs/>
          <w:color w:val="auto"/>
          <w:szCs w:val="21"/>
          <w:highlight w:val="none"/>
        </w:rPr>
        <w:t>根据中华人民共和国现行技术标准，按招标文件以及合同规定的验收评定标准等规范，由采购人组织验收。验收产生的费用由中标方承担。如果发现与合同中要求不符，中标人须承担由此发生的一切损失和费用，并承担相应的法律责任。</w:t>
      </w:r>
    </w:p>
    <w:p w14:paraId="68D55E70">
      <w:pPr>
        <w:pStyle w:val="5"/>
        <w:spacing w:before="120" w:after="120" w:line="240" w:lineRule="auto"/>
        <w:ind w:firstLine="0" w:firstLineChars="0"/>
        <w:rPr>
          <w:rFonts w:hint="eastAsia" w:ascii="宋体" w:hAnsi="宋体" w:eastAsia="宋体" w:cs="宋体"/>
          <w:b/>
          <w:bCs/>
          <w:color w:val="auto"/>
          <w:sz w:val="21"/>
          <w:szCs w:val="21"/>
          <w:highlight w:val="none"/>
        </w:rPr>
      </w:pPr>
      <w:bookmarkStart w:id="41" w:name="_Toc31915"/>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、其他</w:t>
      </w:r>
      <w:bookmarkEnd w:id="40"/>
      <w:r>
        <w:rPr>
          <w:rFonts w:hint="eastAsia" w:ascii="宋体" w:hAnsi="宋体" w:eastAsia="宋体" w:cs="宋体"/>
          <w:b/>
          <w:bCs/>
          <w:color w:val="auto"/>
          <w:sz w:val="21"/>
          <w:szCs w:val="21"/>
          <w:highlight w:val="none"/>
        </w:rPr>
        <w:t>说明</w:t>
      </w:r>
      <w:bookmarkEnd w:id="41"/>
    </w:p>
    <w:p w14:paraId="7E53105D">
      <w:pPr>
        <w:spacing w:line="460" w:lineRule="exact"/>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中标之后，如发现投标文件与招标文件内容如有不一致，应以有利于采购人原则为准。</w:t>
      </w:r>
    </w:p>
    <w:p w14:paraId="079CC294">
      <w:pPr>
        <w:spacing w:line="460" w:lineRule="exact"/>
        <w:ind w:firstLine="420" w:firstLineChars="200"/>
        <w:rPr>
          <w:rFonts w:hint="eastAsia" w:ascii="宋体" w:hAnsi="宋体"/>
          <w:b/>
          <w:color w:val="auto"/>
          <w:sz w:val="21"/>
          <w:szCs w:val="21"/>
          <w:highlight w:val="none"/>
        </w:rPr>
      </w:pPr>
      <w:r>
        <w:rPr>
          <w:rFonts w:hint="eastAsia" w:ascii="宋体" w:hAnsi="宋体" w:eastAsia="宋体" w:cs="宋体"/>
          <w:color w:val="auto"/>
          <w:kern w:val="2"/>
          <w:sz w:val="21"/>
          <w:szCs w:val="21"/>
          <w:highlight w:val="none"/>
          <w:lang w:val="en-US" w:eastAsia="zh-CN" w:bidi="ar"/>
        </w:rPr>
        <w:t>中标单位在签订合同时，若坚持提出附加条件和不合理要求，中标资格将被取消。</w:t>
      </w:r>
    </w:p>
    <w:p w14:paraId="519DD729">
      <w:pPr>
        <w:rPr>
          <w:rFonts w:hint="eastAsia" w:hAnsi="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br w:type="page"/>
      </w:r>
    </w:p>
    <w:p w14:paraId="5CE6991C">
      <w:pPr>
        <w:keepNext w:val="0"/>
        <w:keepLines w:val="0"/>
        <w:pageBreakBefore w:val="0"/>
        <w:kinsoku/>
        <w:wordWrap/>
        <w:topLinePunct w:val="0"/>
        <w:bidi w:val="0"/>
        <w:adjustRightInd/>
        <w:spacing w:line="360" w:lineRule="auto"/>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42" w:name="_Toc32369"/>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4"/>
      <w:bookmarkEnd w:id="42"/>
    </w:p>
    <w:p w14:paraId="42FC800B">
      <w:pPr>
        <w:pStyle w:val="5"/>
        <w:spacing w:before="0" w:after="0" w:line="460" w:lineRule="exact"/>
        <w:rPr>
          <w:rFonts w:ascii="宋体" w:hAnsi="宋体" w:eastAsia="宋体"/>
          <w:color w:val="auto"/>
          <w:sz w:val="21"/>
          <w:szCs w:val="21"/>
          <w:highlight w:val="none"/>
        </w:rPr>
      </w:pPr>
      <w:bookmarkStart w:id="43" w:name="_Toc2898"/>
      <w:bookmarkStart w:id="44" w:name="_Toc406413937"/>
      <w:bookmarkStart w:id="45" w:name="_Toc22509"/>
      <w:bookmarkStart w:id="46" w:name="_Toc226973002"/>
      <w:bookmarkStart w:id="47" w:name="_Toc261519847"/>
      <w:bookmarkStart w:id="48" w:name="_Toc20175"/>
      <w:bookmarkStart w:id="49" w:name="_Toc263090375"/>
      <w:bookmarkStart w:id="50" w:name="_Toc274303253"/>
      <w:bookmarkStart w:id="51" w:name="_Toc27000"/>
      <w:bookmarkStart w:id="52" w:name="_Toc362250705"/>
      <w:r>
        <w:rPr>
          <w:rFonts w:hint="eastAsia" w:ascii="宋体" w:hAnsi="宋体" w:eastAsia="宋体"/>
          <w:color w:val="auto"/>
          <w:sz w:val="21"/>
          <w:szCs w:val="21"/>
          <w:highlight w:val="none"/>
        </w:rPr>
        <w:t>一、开标</w:t>
      </w:r>
      <w:bookmarkEnd w:id="43"/>
      <w:bookmarkEnd w:id="44"/>
      <w:bookmarkEnd w:id="45"/>
    </w:p>
    <w:p w14:paraId="69A7A40B">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6C9957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13A06A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3E626C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3D74AB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186D39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58AFC5A2">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6887DC32">
      <w:pPr>
        <w:pStyle w:val="5"/>
        <w:spacing w:before="120" w:after="120" w:line="460" w:lineRule="exact"/>
        <w:rPr>
          <w:rFonts w:ascii="宋体" w:hAnsi="宋体" w:eastAsia="宋体" w:cs="宋体"/>
          <w:color w:val="auto"/>
          <w:sz w:val="21"/>
          <w:szCs w:val="21"/>
          <w:highlight w:val="none"/>
        </w:rPr>
      </w:pPr>
      <w:bookmarkStart w:id="53" w:name="_Toc17541"/>
      <w:r>
        <w:rPr>
          <w:rFonts w:hint="eastAsia" w:ascii="宋体" w:hAnsi="宋体" w:eastAsia="宋体" w:cs="宋体"/>
          <w:color w:val="auto"/>
          <w:sz w:val="21"/>
          <w:szCs w:val="21"/>
          <w:highlight w:val="none"/>
        </w:rPr>
        <w:t>二、评标</w:t>
      </w:r>
      <w:bookmarkEnd w:id="46"/>
      <w:bookmarkEnd w:id="47"/>
      <w:bookmarkEnd w:id="48"/>
      <w:bookmarkEnd w:id="49"/>
      <w:bookmarkEnd w:id="50"/>
      <w:bookmarkEnd w:id="51"/>
      <w:bookmarkEnd w:id="52"/>
      <w:bookmarkEnd w:id="53"/>
    </w:p>
    <w:p w14:paraId="14DE1B4D">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1B43205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567711B7">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w:t>
      </w:r>
      <w:r>
        <w:rPr>
          <w:rFonts w:hint="eastAsia" w:hAnsi="宋体"/>
          <w:color w:val="auto"/>
          <w:highlight w:val="none"/>
          <w:lang w:eastAsia="zh-CN"/>
        </w:rPr>
        <w:t>投标人</w:t>
      </w:r>
      <w:r>
        <w:rPr>
          <w:rFonts w:hint="eastAsia" w:hAnsi="宋体"/>
          <w:color w:val="auto"/>
          <w:highlight w:val="none"/>
        </w:rPr>
        <w:t>应在30分钟内予以回应，否则后果自负。</w:t>
      </w:r>
    </w:p>
    <w:p w14:paraId="06AD2321">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4E957A07">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10DD58AC">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66B9775A">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079B598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6D37A33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7F4BB07E">
      <w:pPr>
        <w:pStyle w:val="19"/>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69B7BB2D">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083A00AE">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6CEFA111">
      <w:pPr>
        <w:pStyle w:val="19"/>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729BAD56">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497E0A87">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4E9C75D5">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5E564988">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63887390">
      <w:pPr>
        <w:spacing w:line="46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不同供应商之间所投核心产品为同一品牌产品的，应当按一个投标人认定，评审时取其中有效技术标的评标价最低的一家为有效投标人，评标价相同的，采取随机抽取方式确定，其他同品牌投标人投标无效</w:t>
      </w:r>
      <w:r>
        <w:rPr>
          <w:rFonts w:hint="eastAsia" w:ascii="宋体" w:hAnsi="宋体" w:cs="宋体"/>
          <w:bCs/>
          <w:color w:val="auto"/>
          <w:szCs w:val="21"/>
          <w:highlight w:val="none"/>
          <w:lang w:eastAsia="zh-CN"/>
        </w:rPr>
        <w:t>。</w:t>
      </w:r>
    </w:p>
    <w:p w14:paraId="3BF7FB25">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单位负责人为同一人或者存在直接控股、管理关系的不同供应商，不得参加同一合同项下的采购活动。</w:t>
      </w:r>
    </w:p>
    <w:p w14:paraId="65A4E275">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6539A184">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w:t>
      </w:r>
      <w:r>
        <w:rPr>
          <w:rFonts w:hint="eastAsia" w:ascii="宋体" w:hAnsi="宋体"/>
          <w:color w:val="auto"/>
          <w:szCs w:val="21"/>
          <w:highlight w:val="none"/>
          <w:lang w:eastAsia="zh-CN"/>
        </w:rPr>
        <w:t>需加</w:t>
      </w:r>
      <w:r>
        <w:rPr>
          <w:rFonts w:hint="eastAsia" w:ascii="宋体" w:hAnsi="宋体"/>
          <w:color w:val="auto"/>
          <w:szCs w:val="21"/>
          <w:highlight w:val="none"/>
        </w:rPr>
        <w:t>盖电子签章或实体公章），但不得超出投标文件的范围或改变投标文件的实质性内容。根据本须知第10条规定，凡属于评标小组在评标中发现的计算错误并进行核实的修改不在此列。</w:t>
      </w:r>
    </w:p>
    <w:p w14:paraId="50CF09EC">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8.2如果投标人代表拒绝按评标委员会要求在“义乌市阳光招标采购平台”作出在线回复且无其他有效回复方式的，评标委员会可以对其作无效标处理。</w:t>
      </w:r>
    </w:p>
    <w:p w14:paraId="7D0024DB">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2C7ED1A2">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6BD6E015">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0C3D5F65">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26D76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2191920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1DCB6D6E">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0730FB37">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744D2D7A">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5625E241">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5AF55FD2">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651DF743">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7720B2A6">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6CF468E8">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同时出现两种以上不一致的，按照前款规定的顺序修正，修正后的报价经投标人确认后产生约束力。</w:t>
      </w:r>
    </w:p>
    <w:p w14:paraId="311885A8">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129467A0">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40381A9A">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189003A1">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7ABAB2C0">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w:t>
      </w:r>
      <w:r>
        <w:rPr>
          <w:rFonts w:hint="eastAsia" w:ascii="宋体" w:hAnsi="宋体" w:cs="宋体"/>
          <w:b/>
          <w:color w:val="auto"/>
          <w:szCs w:val="21"/>
          <w:highlight w:val="none"/>
          <w:lang w:eastAsia="zh-CN"/>
        </w:rPr>
        <w:t>做</w:t>
      </w:r>
      <w:r>
        <w:rPr>
          <w:rFonts w:hint="eastAsia" w:ascii="宋体" w:hAnsi="宋体" w:cs="宋体"/>
          <w:b/>
          <w:color w:val="auto"/>
          <w:szCs w:val="21"/>
          <w:highlight w:val="none"/>
        </w:rPr>
        <w:t>相应的答辩；</w:t>
      </w:r>
    </w:p>
    <w:p w14:paraId="2624DF41">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67963540">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1994E845">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522D480C">
      <w:pPr>
        <w:pStyle w:val="19"/>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00A81144">
      <w:pPr>
        <w:pStyle w:val="19"/>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1C4CB12C">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最低评标价法</w:t>
      </w:r>
      <w:r>
        <w:rPr>
          <w:rFonts w:hint="eastAsia" w:ascii="宋体" w:hAnsi="宋体" w:cs="宋体"/>
          <w:b/>
          <w:color w:val="auto"/>
          <w:szCs w:val="21"/>
          <w:highlight w:val="none"/>
        </w:rPr>
        <w:t>（具体评标办法见后）。</w:t>
      </w:r>
    </w:p>
    <w:p w14:paraId="6FAFFBF9">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56EA74E0">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54" w:name="_Toc226973003"/>
      <w:bookmarkStart w:id="55" w:name="_Toc362250706"/>
      <w:bookmarkStart w:id="56" w:name="_Toc263090376"/>
      <w:bookmarkStart w:id="57" w:name="_Toc274303254"/>
      <w:bookmarkStart w:id="58" w:name="_Toc10636"/>
      <w:bookmarkStart w:id="59" w:name="_Toc261519848"/>
      <w:bookmarkStart w:id="60" w:name="_Toc4305"/>
      <w:r>
        <w:rPr>
          <w:rFonts w:hint="eastAsia" w:ascii="宋体" w:hAnsi="宋体" w:cs="宋体"/>
          <w:color w:val="auto"/>
          <w:szCs w:val="21"/>
          <w:highlight w:val="none"/>
          <w:lang w:val="en-US" w:eastAsia="zh-CN"/>
        </w:rPr>
        <w:t>采购人授权评标小组直接确定中标人。</w:t>
      </w:r>
    </w:p>
    <w:p w14:paraId="593BCDEF">
      <w:pPr>
        <w:pStyle w:val="5"/>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61" w:name="_Toc30229"/>
      <w:r>
        <w:rPr>
          <w:rFonts w:hint="eastAsia" w:ascii="宋体" w:hAnsi="宋体" w:eastAsia="宋体" w:cs="宋体"/>
          <w:color w:val="auto"/>
          <w:sz w:val="21"/>
          <w:szCs w:val="21"/>
          <w:highlight w:val="none"/>
        </w:rPr>
        <w:t>三、定标</w:t>
      </w:r>
      <w:bookmarkEnd w:id="54"/>
      <w:bookmarkEnd w:id="55"/>
      <w:bookmarkEnd w:id="56"/>
      <w:bookmarkEnd w:id="57"/>
      <w:bookmarkEnd w:id="58"/>
      <w:bookmarkEnd w:id="59"/>
      <w:bookmarkEnd w:id="60"/>
      <w:bookmarkEnd w:id="61"/>
    </w:p>
    <w:p w14:paraId="5380B28A">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31B525A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个工作日，发布评标结果公告的媒体为：</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义乌产权交易网。</w:t>
      </w:r>
    </w:p>
    <w:p w14:paraId="6DB9170B">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共同签发《中标通知书》，中标人凭有效证明到</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领取《中标通知书》。《中标通知书》一经发出即发生法律效力。</w:t>
      </w:r>
    </w:p>
    <w:p w14:paraId="08669FA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7835642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4AA236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1.投标人如认为招标文件表述不清晰、存在歧视性、排他性或者其他违法内容的，可按前附表要求，以书面形式向采购人和采购代理机构提出，逾期提出不予受理。</w:t>
      </w:r>
    </w:p>
    <w:p w14:paraId="4D7C6F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2.投标人认为采购过程和中标结果使自己的权益受到损害的，可以在中标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或成交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期间，以书面形式向采购人或者采购代理机构提出质疑，否则，采购人或者采购代理机构不予受理</w:t>
      </w:r>
      <w:r>
        <w:rPr>
          <w:rFonts w:hint="eastAsia" w:ascii="宋体" w:hAnsi="宋体" w:cs="宋体"/>
          <w:color w:val="auto"/>
          <w:szCs w:val="21"/>
          <w:highlight w:val="none"/>
          <w:lang w:eastAsia="zh-CN"/>
        </w:rPr>
        <w:t>。</w:t>
      </w:r>
    </w:p>
    <w:p w14:paraId="320A0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w:t>
      </w:r>
    </w:p>
    <w:p w14:paraId="13CC80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4.采购人或者采购代理机构应当在收到供应商的书面质疑后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个工作日内作出答复，并以书面形式通知质疑供应商和其他与质疑处理结果有利害关系的采购当事人，但答复的内容不得涉及商业秘密。</w:t>
      </w:r>
    </w:p>
    <w:p w14:paraId="283A40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5.投标人须在法定质疑期内一次性提出针对同一采购程序环节的质疑。未按上述要求提供的质疑函，采购代理机构不予受理。</w:t>
      </w:r>
    </w:p>
    <w:p w14:paraId="00C001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6.提出质疑的供应商应当是参与所质疑项目采购活动的供应商。</w:t>
      </w:r>
    </w:p>
    <w:p w14:paraId="5346775B">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定代表人或授权代表签字并加盖公章。</w:t>
      </w:r>
    </w:p>
    <w:p w14:paraId="6FEAAF87">
      <w:pPr>
        <w:pStyle w:val="19"/>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7BF1F1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27E73F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657E4A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2BEFDB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55A958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391E92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051F1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70182C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64CD0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0E248545">
      <w:pPr>
        <w:spacing w:line="420" w:lineRule="exact"/>
        <w:ind w:firstLine="480" w:firstLineChars="200"/>
        <w:rPr>
          <w:color w:val="auto"/>
          <w:sz w:val="24"/>
          <w:highlight w:val="none"/>
        </w:rPr>
      </w:pPr>
    </w:p>
    <w:p w14:paraId="60FFD5EC">
      <w:pPr>
        <w:spacing w:line="420" w:lineRule="exact"/>
        <w:ind w:firstLine="480" w:firstLineChars="200"/>
        <w:rPr>
          <w:rFonts w:hint="eastAsia"/>
          <w:color w:val="auto"/>
          <w:sz w:val="24"/>
          <w:highlight w:val="none"/>
        </w:rPr>
      </w:pPr>
    </w:p>
    <w:p w14:paraId="66DAFDEB">
      <w:pPr>
        <w:spacing w:line="420" w:lineRule="exact"/>
        <w:ind w:firstLine="480" w:firstLineChars="200"/>
        <w:rPr>
          <w:rFonts w:hint="eastAsia"/>
          <w:color w:val="auto"/>
          <w:sz w:val="24"/>
          <w:highlight w:val="none"/>
        </w:rPr>
      </w:pPr>
    </w:p>
    <w:p w14:paraId="1CEEA2D2">
      <w:pPr>
        <w:spacing w:line="420" w:lineRule="exact"/>
        <w:ind w:firstLine="480" w:firstLineChars="200"/>
        <w:rPr>
          <w:rFonts w:hint="eastAsia"/>
          <w:color w:val="auto"/>
          <w:sz w:val="24"/>
          <w:highlight w:val="none"/>
        </w:rPr>
      </w:pPr>
    </w:p>
    <w:p w14:paraId="62D3CA20">
      <w:pPr>
        <w:pStyle w:val="4"/>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62" w:name="_Toc23756"/>
      <w:r>
        <w:rPr>
          <w:rFonts w:hint="eastAsia" w:hAnsi="宋体"/>
          <w:color w:val="auto"/>
          <w:sz w:val="36"/>
          <w:highlight w:val="none"/>
        </w:rPr>
        <w:br w:type="page"/>
      </w:r>
      <w:bookmarkStart w:id="63" w:name="_Toc5081"/>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62"/>
      <w:bookmarkEnd w:id="63"/>
    </w:p>
    <w:p w14:paraId="7067FA7C">
      <w:pPr>
        <w:pStyle w:val="19"/>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4B599B8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65DB2B59">
      <w:pP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039C14F5">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2AFDC40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2.1资格响应文件或商务技术响应文件中包含报价的。</w:t>
      </w:r>
    </w:p>
    <w:p w14:paraId="72E23E1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89D0979">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5AE5457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EFB03A4">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0C4033B1">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042969FD">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088304A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kern w:val="0"/>
          <w:szCs w:val="21"/>
          <w:highlight w:val="none"/>
          <w:lang w:val="en-US" w:eastAsia="zh-CN"/>
        </w:rPr>
        <w:t>他</w:t>
      </w:r>
      <w:r>
        <w:rPr>
          <w:rFonts w:hint="eastAsia" w:ascii="新宋体" w:hAnsi="新宋体" w:eastAsia="新宋体"/>
          <w:color w:val="auto"/>
          <w:szCs w:val="21"/>
          <w:highlight w:val="none"/>
        </w:rPr>
        <w:t>对本招标文件中打★号的条款未完全响应的。</w:t>
      </w:r>
    </w:p>
    <w:p w14:paraId="62CB55E6">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370E958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6DAD1121">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1CA6283A">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5286E46F">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w:t>
      </w:r>
      <w:r>
        <w:rPr>
          <w:rFonts w:hint="eastAsia" w:ascii="新宋体" w:hAnsi="新宋体" w:eastAsia="新宋体"/>
          <w:color w:val="auto"/>
          <w:kern w:val="0"/>
          <w:szCs w:val="21"/>
          <w:highlight w:val="none"/>
          <w:lang w:val="en-US" w:eastAsia="zh-CN"/>
        </w:rPr>
        <w:t>采购</w:t>
      </w:r>
      <w:r>
        <w:rPr>
          <w:rFonts w:hint="eastAsia" w:ascii="新宋体" w:hAnsi="新宋体" w:eastAsia="新宋体"/>
          <w:color w:val="auto"/>
          <w:kern w:val="0"/>
          <w:szCs w:val="21"/>
          <w:highlight w:val="none"/>
        </w:rPr>
        <w:t>预算或最高限价。</w:t>
      </w:r>
    </w:p>
    <w:p w14:paraId="28EC3096">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3.3投标人所投产品的数量不符合招标文件规定的。</w:t>
      </w:r>
    </w:p>
    <w:p w14:paraId="05358A0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4AE963D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7D8962B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w:t>
      </w:r>
      <w:r>
        <w:rPr>
          <w:rFonts w:hint="eastAsia" w:ascii="新宋体" w:hAnsi="新宋体" w:eastAsia="新宋体"/>
          <w:color w:val="auto"/>
          <w:szCs w:val="21"/>
          <w:highlight w:val="none"/>
          <w:lang w:eastAsia="zh-CN"/>
        </w:rPr>
        <w:t>其他对</w:t>
      </w:r>
      <w:r>
        <w:rPr>
          <w:rFonts w:hint="eastAsia" w:ascii="新宋体" w:hAnsi="新宋体" w:eastAsia="新宋体"/>
          <w:color w:val="auto"/>
          <w:szCs w:val="21"/>
          <w:highlight w:val="none"/>
        </w:rPr>
        <w:t>本招标文件中打★号的条款未完全响应的。</w:t>
      </w:r>
    </w:p>
    <w:p w14:paraId="391CAD6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07996D7F">
      <w:pPr>
        <w:spacing w:line="380" w:lineRule="exact"/>
        <w:ind w:firstLine="542" w:firstLineChars="257"/>
        <w:rPr>
          <w:rFonts w:ascii="宋体" w:hAnsi="宋体"/>
          <w:color w:val="auto"/>
          <w:szCs w:val="21"/>
          <w:highlight w:val="none"/>
        </w:rPr>
      </w:pPr>
      <w:r>
        <w:rPr>
          <w:rFonts w:hint="eastAsia" w:ascii="新宋体" w:hAnsi="新宋体" w:eastAsia="新宋体"/>
          <w:b/>
          <w:bCs/>
          <w:color w:val="auto"/>
          <w:szCs w:val="21"/>
          <w:highlight w:val="none"/>
          <w:lang w:val="en-US" w:eastAsia="zh-CN"/>
        </w:rPr>
        <w:t>4.</w:t>
      </w:r>
      <w:r>
        <w:rPr>
          <w:rFonts w:ascii="宋体" w:hAnsi="宋体"/>
          <w:b/>
          <w:bCs/>
          <w:color w:val="auto"/>
          <w:szCs w:val="21"/>
          <w:highlight w:val="none"/>
        </w:rPr>
        <w:t>凡在同一招标项目的评标中，</w:t>
      </w:r>
      <w:r>
        <w:rPr>
          <w:rFonts w:hint="eastAsia" w:ascii="宋体" w:hAnsi="宋体"/>
          <w:b/>
          <w:bCs/>
          <w:color w:val="auto"/>
          <w:szCs w:val="21"/>
          <w:highlight w:val="none"/>
        </w:rPr>
        <w:t>有下列情形之一的，视为串通投标行为，评标过程中，经评标委员会集体表决后认定的，可直接作废标处理，并提请有关部门依法</w:t>
      </w:r>
      <w:r>
        <w:rPr>
          <w:rFonts w:hint="eastAsia" w:ascii="宋体" w:hAnsi="宋体"/>
          <w:b/>
          <w:bCs/>
          <w:color w:val="auto"/>
          <w:szCs w:val="21"/>
          <w:highlight w:val="none"/>
          <w:lang w:eastAsia="zh-CN"/>
        </w:rPr>
        <w:t>作出</w:t>
      </w:r>
      <w:r>
        <w:rPr>
          <w:rFonts w:hint="eastAsia" w:ascii="宋体" w:hAnsi="宋体"/>
          <w:b/>
          <w:bCs/>
          <w:color w:val="auto"/>
          <w:szCs w:val="21"/>
          <w:highlight w:val="none"/>
        </w:rPr>
        <w:t>处罚：</w:t>
      </w:r>
    </w:p>
    <w:p w14:paraId="54CC0E0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（1）不同投标人的投标文件内容存在非正常一致的；</w:t>
      </w:r>
    </w:p>
    <w:p w14:paraId="1465D53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（2）不同投标人的投标文件错漏之处一致的；</w:t>
      </w:r>
    </w:p>
    <w:p w14:paraId="6DF8ABD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（3）不同投标人的投标报价或者报价组成异常一致或者呈规律性变化的；</w:t>
      </w:r>
    </w:p>
    <w:p w14:paraId="64081CC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（4）不同投标人的投标文件由同一单位或者同一个人编制的；</w:t>
      </w:r>
    </w:p>
    <w:p w14:paraId="24972F2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（5）不同投标人的投标文件载明的项目管理班子成员出现同一人的；</w:t>
      </w:r>
    </w:p>
    <w:p w14:paraId="5F274BA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（6）不同投标人的投标文件相互混装的；</w:t>
      </w:r>
    </w:p>
    <w:p w14:paraId="3C867A1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（7）不同投标人的投标文件由同一台电脑编制或者同一台附属设备打印的；</w:t>
      </w:r>
    </w:p>
    <w:p w14:paraId="1DB0295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（8）不同投标人委托同一人办理投标事宜的或不同投标人与同一投标人联合投标的；</w:t>
      </w:r>
    </w:p>
    <w:p w14:paraId="07209A4A">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（9）不同投标人使用同一个人或者企业资金交纳投标保证金或者投标保函的反担保的</w:t>
      </w:r>
      <w:r>
        <w:rPr>
          <w:rFonts w:hint="eastAsia" w:ascii="新宋体" w:hAnsi="新宋体" w:eastAsia="新宋体"/>
          <w:color w:val="auto"/>
          <w:szCs w:val="21"/>
          <w:highlight w:val="none"/>
          <w:lang w:eastAsia="zh-CN"/>
        </w:rPr>
        <w:t>；</w:t>
      </w:r>
    </w:p>
    <w:p w14:paraId="04CF7B6D">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（10）评标委员会认定的其他串通投标情形</w:t>
      </w:r>
      <w:r>
        <w:rPr>
          <w:rFonts w:hint="eastAsia" w:ascii="新宋体" w:hAnsi="新宋体" w:eastAsia="新宋体"/>
          <w:color w:val="auto"/>
          <w:szCs w:val="21"/>
          <w:highlight w:val="none"/>
          <w:lang w:eastAsia="zh-CN"/>
        </w:rPr>
        <w:t>；</w:t>
      </w:r>
    </w:p>
    <w:p w14:paraId="0484B428">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11）</w:t>
      </w:r>
      <w:r>
        <w:rPr>
          <w:rFonts w:hint="eastAsia" w:ascii="新宋体" w:hAnsi="新宋体" w:eastAsia="新宋体"/>
          <w:color w:val="auto"/>
          <w:szCs w:val="21"/>
          <w:highlight w:val="none"/>
        </w:rPr>
        <w:t>不同投标人制作电子投标（响应）文件的计算机网卡 mAc 地址相同的</w:t>
      </w:r>
      <w:r>
        <w:rPr>
          <w:rFonts w:hint="eastAsia" w:ascii="新宋体" w:hAnsi="新宋体" w:eastAsia="新宋体"/>
          <w:color w:val="auto"/>
          <w:szCs w:val="21"/>
          <w:highlight w:val="none"/>
          <w:lang w:eastAsia="zh-CN"/>
        </w:rPr>
        <w:t>；</w:t>
      </w:r>
    </w:p>
    <w:p w14:paraId="37B6040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12）</w:t>
      </w:r>
      <w:r>
        <w:rPr>
          <w:rFonts w:hint="eastAsia" w:ascii="新宋体" w:hAnsi="新宋体" w:eastAsia="新宋体"/>
          <w:color w:val="auto"/>
          <w:szCs w:val="21"/>
          <w:highlight w:val="none"/>
        </w:rPr>
        <w:t>不同投标人制作电子投标（响应）文件的计算机硬盘序列号相同的。</w:t>
      </w:r>
    </w:p>
    <w:p w14:paraId="3385AE6C">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新宋体" w:hAnsi="新宋体" w:eastAsia="新宋体" w:cs="Times New Roman"/>
          <w:b/>
          <w:bCs/>
          <w:color w:val="auto"/>
          <w:szCs w:val="21"/>
          <w:highlight w:val="none"/>
        </w:rPr>
        <w:t>.其他违反法律法规的情况。</w:t>
      </w:r>
    </w:p>
    <w:p w14:paraId="615C4BD0">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48AC6E49">
      <w:pPr>
        <w:spacing w:line="420" w:lineRule="exact"/>
        <w:ind w:firstLine="422" w:firstLineChars="200"/>
        <w:rPr>
          <w:rFonts w:hint="eastAsia"/>
          <w:b/>
          <w:bCs/>
          <w:color w:val="auto"/>
          <w:szCs w:val="21"/>
          <w:highlight w:val="none"/>
        </w:rPr>
      </w:pPr>
    </w:p>
    <w:p w14:paraId="5091970D">
      <w:pPr>
        <w:spacing w:line="420" w:lineRule="exact"/>
        <w:ind w:firstLine="480" w:firstLineChars="200"/>
        <w:rPr>
          <w:rFonts w:hint="eastAsia"/>
          <w:color w:val="auto"/>
          <w:sz w:val="24"/>
          <w:highlight w:val="none"/>
        </w:rPr>
      </w:pPr>
    </w:p>
    <w:p w14:paraId="040EE3C2">
      <w:pPr>
        <w:spacing w:line="420" w:lineRule="exact"/>
        <w:rPr>
          <w:rFonts w:hint="eastAsia"/>
          <w:color w:val="auto"/>
          <w:sz w:val="24"/>
          <w:highlight w:val="none"/>
        </w:rPr>
      </w:pPr>
    </w:p>
    <w:p w14:paraId="1F138F63">
      <w:pPr>
        <w:spacing w:line="420" w:lineRule="exact"/>
        <w:rPr>
          <w:rFonts w:hint="eastAsia"/>
          <w:color w:val="auto"/>
          <w:sz w:val="24"/>
          <w:highlight w:val="none"/>
        </w:rPr>
      </w:pPr>
    </w:p>
    <w:p w14:paraId="1120542A">
      <w:pPr>
        <w:spacing w:line="420" w:lineRule="exact"/>
        <w:rPr>
          <w:rFonts w:hint="eastAsia"/>
          <w:color w:val="auto"/>
          <w:sz w:val="24"/>
          <w:highlight w:val="none"/>
        </w:rPr>
      </w:pPr>
    </w:p>
    <w:p w14:paraId="77FBEE00">
      <w:pPr>
        <w:spacing w:line="420" w:lineRule="exact"/>
        <w:rPr>
          <w:rFonts w:hint="eastAsia"/>
          <w:color w:val="auto"/>
          <w:sz w:val="24"/>
          <w:highlight w:val="none"/>
        </w:rPr>
      </w:pPr>
    </w:p>
    <w:p w14:paraId="4A3667B4">
      <w:pPr>
        <w:spacing w:line="420" w:lineRule="exact"/>
        <w:rPr>
          <w:rFonts w:hint="eastAsia"/>
          <w:color w:val="auto"/>
          <w:sz w:val="24"/>
          <w:highlight w:val="none"/>
        </w:rPr>
      </w:pPr>
    </w:p>
    <w:p w14:paraId="1B94A14E">
      <w:pPr>
        <w:spacing w:line="420" w:lineRule="exact"/>
        <w:rPr>
          <w:rFonts w:hint="eastAsia"/>
          <w:color w:val="auto"/>
          <w:sz w:val="24"/>
          <w:highlight w:val="none"/>
        </w:rPr>
      </w:pPr>
    </w:p>
    <w:p w14:paraId="37D5841F">
      <w:pPr>
        <w:spacing w:line="420" w:lineRule="exact"/>
        <w:rPr>
          <w:rFonts w:hint="eastAsia"/>
          <w:color w:val="auto"/>
          <w:sz w:val="24"/>
          <w:highlight w:val="none"/>
        </w:rPr>
      </w:pPr>
    </w:p>
    <w:p w14:paraId="59B5038F">
      <w:pPr>
        <w:spacing w:line="420" w:lineRule="exact"/>
        <w:rPr>
          <w:rFonts w:hint="eastAsia"/>
          <w:color w:val="auto"/>
          <w:sz w:val="24"/>
          <w:highlight w:val="none"/>
        </w:rPr>
      </w:pPr>
    </w:p>
    <w:p w14:paraId="41E45C13">
      <w:pPr>
        <w:pStyle w:val="65"/>
        <w:ind w:firstLine="420" w:firstLineChars="200"/>
        <w:rPr>
          <w:rFonts w:hint="eastAsia" w:ascii="宋体" w:hAnsi="宋体" w:cs="宋体"/>
          <w:color w:val="auto"/>
          <w:sz w:val="21"/>
          <w:szCs w:val="21"/>
          <w:highlight w:val="none"/>
        </w:rPr>
      </w:pPr>
      <w:bookmarkStart w:id="64" w:name="_Toc274303257"/>
    </w:p>
    <w:p w14:paraId="64FC093F">
      <w:pPr>
        <w:pStyle w:val="4"/>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65" w:name="_Toc19786"/>
      <w:bookmarkStart w:id="66" w:name="_Toc362250708"/>
      <w:bookmarkStart w:id="67" w:name="_Toc226973004"/>
      <w:bookmarkStart w:id="68" w:name="_Toc145992551"/>
      <w:bookmarkStart w:id="69" w:name="_Toc274303255"/>
      <w:r>
        <w:rPr>
          <w:rFonts w:hint="eastAsia"/>
          <w:color w:val="auto"/>
          <w:sz w:val="36"/>
          <w:highlight w:val="none"/>
        </w:rPr>
        <w:br w:type="page"/>
      </w:r>
      <w:bookmarkStart w:id="70" w:name="_Toc1380"/>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5"/>
      <w:bookmarkEnd w:id="66"/>
      <w:bookmarkEnd w:id="67"/>
      <w:bookmarkEnd w:id="68"/>
      <w:bookmarkEnd w:id="69"/>
      <w:bookmarkEnd w:id="70"/>
    </w:p>
    <w:bookmarkEnd w:id="64"/>
    <w:p w14:paraId="2FC2A8CD">
      <w:pPr>
        <w:pStyle w:val="65"/>
        <w:spacing w:line="400" w:lineRule="exact"/>
        <w:ind w:firstLine="420" w:firstLineChars="200"/>
        <w:rPr>
          <w:rFonts w:hint="eastAsia" w:ascii="宋体" w:hAnsi="宋体" w:cs="宋体"/>
          <w:sz w:val="21"/>
          <w:szCs w:val="21"/>
        </w:rPr>
      </w:pPr>
      <w:bookmarkStart w:id="71" w:name="_Toc295815145"/>
      <w:bookmarkStart w:id="72" w:name="_Toc362250710"/>
      <w:bookmarkStart w:id="73" w:name="_Toc269969080"/>
      <w:bookmarkStart w:id="74" w:name="_Toc330474791"/>
      <w:bookmarkStart w:id="75" w:name="_Toc323024194"/>
      <w:bookmarkStart w:id="76" w:name="_Toc358884475"/>
      <w:r>
        <w:rPr>
          <w:rFonts w:hint="eastAsia" w:ascii="宋体" w:hAnsi="宋体" w:cs="宋体"/>
          <w:sz w:val="21"/>
          <w:szCs w:val="21"/>
        </w:rPr>
        <w:t>根据《中华人民共和国招标投标法》的有关规定，遵循“公开、公平、公正”的原则，结合本次招标的特点，特制定本评标细则。</w:t>
      </w:r>
    </w:p>
    <w:p w14:paraId="59D29E95">
      <w:pPr>
        <w:pStyle w:val="65"/>
        <w:spacing w:line="400" w:lineRule="exact"/>
        <w:ind w:firstLine="422" w:firstLineChars="200"/>
        <w:rPr>
          <w:rFonts w:hint="eastAsia" w:ascii="宋体" w:hAnsi="宋体" w:cs="宋体"/>
          <w:b/>
          <w:bCs/>
          <w:szCs w:val="21"/>
        </w:rPr>
      </w:pPr>
      <w:r>
        <w:rPr>
          <w:rFonts w:hint="eastAsia" w:ascii="宋体" w:hAnsi="宋体" w:cs="宋体"/>
          <w:b/>
          <w:bCs/>
          <w:sz w:val="21"/>
          <w:szCs w:val="21"/>
        </w:rPr>
        <w:t>一、评审程序</w:t>
      </w:r>
    </w:p>
    <w:p w14:paraId="001A995E">
      <w:pPr>
        <w:pStyle w:val="19"/>
        <w:spacing w:line="400" w:lineRule="exact"/>
        <w:ind w:firstLine="420" w:firstLineChars="200"/>
        <w:rPr>
          <w:rFonts w:hint="eastAsia" w:hAnsi="宋体" w:cs="宋体"/>
        </w:rPr>
      </w:pPr>
      <w:r>
        <w:rPr>
          <w:rFonts w:hint="eastAsia" w:hAnsi="宋体" w:cs="宋体"/>
        </w:rPr>
        <w:t xml:space="preserve">评标委员会以开标、评标、询标情况为基本依据，按照招标文件的规定，对各投标人的投标文件分资格、商务技术、投标报价三个部分按以下程序进行分析、评议： </w:t>
      </w:r>
    </w:p>
    <w:p w14:paraId="177A5975">
      <w:pPr>
        <w:pStyle w:val="19"/>
        <w:spacing w:line="400" w:lineRule="exact"/>
        <w:ind w:firstLine="420" w:firstLineChars="200"/>
        <w:rPr>
          <w:rFonts w:hint="eastAsia" w:hAnsi="宋体" w:cs="宋体"/>
        </w:rPr>
      </w:pPr>
      <w:r>
        <w:rPr>
          <w:rFonts w:hint="eastAsia" w:hAnsi="宋体" w:cs="宋体"/>
        </w:rPr>
        <w:t>（一）对所有投标人的资格响应文件进行审查，并以开标当日为准，对投标人“信用中国”网站（www.creditchina.gov.cn）信用记录情况进行查询；</w:t>
      </w:r>
    </w:p>
    <w:p w14:paraId="4BC69AB9">
      <w:pPr>
        <w:pStyle w:val="19"/>
        <w:spacing w:line="400" w:lineRule="exact"/>
        <w:ind w:firstLine="420" w:firstLineChars="200"/>
        <w:rPr>
          <w:rFonts w:hint="eastAsia" w:hAnsi="宋体" w:cs="宋体"/>
        </w:rPr>
      </w:pPr>
      <w:r>
        <w:rPr>
          <w:rFonts w:hint="eastAsia" w:hAnsi="宋体" w:cs="宋体"/>
        </w:rPr>
        <w:t>（二）对通过资格性审查合格的投标人的商务技术响应文件进行符合性审查；</w:t>
      </w:r>
    </w:p>
    <w:p w14:paraId="1D2A7C6A">
      <w:pPr>
        <w:pStyle w:val="19"/>
        <w:spacing w:line="400" w:lineRule="exact"/>
        <w:ind w:firstLine="420" w:firstLineChars="200"/>
        <w:rPr>
          <w:rFonts w:hint="eastAsia" w:hAnsi="宋体" w:cs="宋体"/>
        </w:rPr>
      </w:pPr>
      <w:r>
        <w:rPr>
          <w:rFonts w:hint="eastAsia" w:hAnsi="宋体" w:cs="宋体"/>
        </w:rPr>
        <w:t>（三）对通过符合性审查有效的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1F3A5F5">
      <w:pPr>
        <w:pStyle w:val="19"/>
        <w:spacing w:line="400" w:lineRule="exact"/>
        <w:ind w:firstLine="420" w:firstLineChars="200"/>
        <w:rPr>
          <w:rFonts w:hint="eastAsia" w:hAnsi="宋体" w:cs="宋体"/>
        </w:rPr>
      </w:pPr>
      <w:r>
        <w:rPr>
          <w:rFonts w:hint="eastAsia" w:hAnsi="宋体" w:cs="宋体"/>
        </w:rPr>
        <w:t>（四）确定中标人</w:t>
      </w:r>
    </w:p>
    <w:p w14:paraId="7B326B5C">
      <w:pPr>
        <w:spacing w:line="40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kern w:val="0"/>
          <w:szCs w:val="21"/>
        </w:rPr>
        <w:t>采购人授权评标委员会直接确定经评审后的供应商中评标价最低者为成交供应商。评标价相同的，按供应商报价由低到高顺序排列。如出现两家或两家以上最低评标价及供应商报价均相同的情况，则由采购人代表采用随机抽取程序随机确定</w:t>
      </w:r>
      <w:r>
        <w:rPr>
          <w:rFonts w:hint="eastAsia" w:ascii="宋体" w:hAnsi="宋体" w:cs="宋体"/>
          <w:szCs w:val="21"/>
        </w:rPr>
        <w:t>。</w:t>
      </w:r>
    </w:p>
    <w:p w14:paraId="584DB3F1">
      <w:pPr>
        <w:spacing w:line="400" w:lineRule="exact"/>
        <w:ind w:firstLine="420" w:firstLineChars="200"/>
        <w:rPr>
          <w:rFonts w:hint="eastAsia" w:ascii="宋体" w:hAnsi="宋体" w:cs="宋体"/>
          <w:szCs w:val="21"/>
        </w:rPr>
      </w:pPr>
      <w:r>
        <w:rPr>
          <w:rFonts w:hint="eastAsia" w:ascii="宋体" w:hAnsi="宋体" w:cs="宋体"/>
          <w:szCs w:val="21"/>
        </w:rPr>
        <w:t>2.其次，评标委员会直接确定排名第一的投标人为中标单位。</w:t>
      </w:r>
    </w:p>
    <w:p w14:paraId="37FCF759">
      <w:pPr>
        <w:spacing w:line="400" w:lineRule="exact"/>
        <w:ind w:firstLine="420" w:firstLineChars="200"/>
        <w:rPr>
          <w:rFonts w:hint="eastAsia" w:ascii="宋体" w:hAnsi="宋体" w:cs="宋体"/>
          <w:szCs w:val="21"/>
        </w:rPr>
      </w:pPr>
      <w:r>
        <w:rPr>
          <w:rFonts w:hint="eastAsia" w:ascii="宋体" w:hAnsi="宋体" w:cs="宋体"/>
          <w:szCs w:val="21"/>
        </w:rPr>
        <w:t>（五）完成评标报告</w:t>
      </w:r>
    </w:p>
    <w:p w14:paraId="7EA9E027">
      <w:pPr>
        <w:pStyle w:val="19"/>
        <w:spacing w:line="400" w:lineRule="exact"/>
        <w:ind w:firstLine="420" w:firstLineChars="200"/>
        <w:jc w:val="left"/>
        <w:rPr>
          <w:rFonts w:hint="eastAsia" w:hAnsi="宋体" w:cs="宋体"/>
        </w:rPr>
      </w:pPr>
      <w:r>
        <w:rPr>
          <w:rFonts w:hint="eastAsia" w:hAnsi="宋体" w:cs="宋体"/>
        </w:rPr>
        <w:t xml:space="preserve">评标委员会根据评审相关情况作出评标报告。 </w:t>
      </w:r>
    </w:p>
    <w:p w14:paraId="56093BAB">
      <w:pPr>
        <w:pStyle w:val="19"/>
        <w:spacing w:line="400" w:lineRule="exact"/>
        <w:ind w:firstLine="422" w:firstLineChars="200"/>
        <w:jc w:val="left"/>
        <w:rPr>
          <w:rFonts w:hint="eastAsia" w:hAnsi="宋体" w:cs="宋体"/>
          <w:b/>
          <w:bCs/>
        </w:rPr>
      </w:pPr>
      <w:r>
        <w:rPr>
          <w:rFonts w:hint="eastAsia" w:hAnsi="宋体" w:cs="宋体"/>
          <w:b/>
          <w:bCs/>
        </w:rPr>
        <w:t>二、确定的中标人放弃中标等情况的处理</w:t>
      </w:r>
    </w:p>
    <w:p w14:paraId="3B42E092">
      <w:pPr>
        <w:pStyle w:val="19"/>
        <w:spacing w:line="400" w:lineRule="exact"/>
        <w:ind w:firstLine="420" w:firstLineChars="200"/>
        <w:jc w:val="left"/>
        <w:rPr>
          <w:rFonts w:hint="eastAsia" w:hAnsi="宋体" w:cs="宋体"/>
        </w:rPr>
      </w:pPr>
      <w:r>
        <w:rPr>
          <w:rFonts w:hint="eastAsia" w:hAnsi="宋体" w:cs="宋体"/>
        </w:rPr>
        <w:t>1.当确定的中标人放弃中标，因不可抗力提出不能履行合同或者质疑投诉成立取消中标人资格的，均不再确定其余投标人作为中标人。</w:t>
      </w:r>
    </w:p>
    <w:p w14:paraId="0FAE0587">
      <w:pPr>
        <w:pStyle w:val="19"/>
        <w:spacing w:line="400" w:lineRule="exact"/>
        <w:ind w:firstLine="420" w:firstLineChars="200"/>
        <w:jc w:val="left"/>
        <w:rPr>
          <w:rFonts w:hint="eastAsia" w:hAnsi="宋体" w:cs="宋体"/>
        </w:rPr>
      </w:pPr>
      <w:r>
        <w:rPr>
          <w:rFonts w:hint="eastAsia" w:hAnsi="宋体" w:cs="宋体"/>
        </w:rPr>
        <w:t>2.因中标人原因导致定标后无法签订合同的，中标人应按本文件服务费规定支付招标服务费。</w:t>
      </w:r>
    </w:p>
    <w:p w14:paraId="2216C045">
      <w:pPr>
        <w:pStyle w:val="19"/>
        <w:spacing w:line="400" w:lineRule="exact"/>
        <w:ind w:firstLine="422" w:firstLineChars="200"/>
        <w:rPr>
          <w:rFonts w:hint="eastAsia" w:hAnsi="宋体" w:cs="宋体"/>
          <w:b/>
          <w:bCs/>
        </w:rPr>
      </w:pPr>
      <w:r>
        <w:rPr>
          <w:rFonts w:hint="eastAsia" w:hAnsi="宋体" w:cs="宋体"/>
          <w:b/>
          <w:bCs/>
        </w:rPr>
        <w:t>三、评审办法</w:t>
      </w:r>
    </w:p>
    <w:p w14:paraId="5DDAE1B2">
      <w:pPr>
        <w:pStyle w:val="19"/>
        <w:spacing w:line="400" w:lineRule="exact"/>
        <w:ind w:firstLine="422" w:firstLineChars="200"/>
        <w:rPr>
          <w:rFonts w:hint="eastAsia" w:hAnsi="宋体" w:cs="宋体"/>
          <w:b/>
          <w:bCs/>
        </w:rPr>
      </w:pPr>
      <w:r>
        <w:rPr>
          <w:rFonts w:hint="eastAsia" w:hAnsi="宋体" w:cs="宋体"/>
          <w:b/>
          <w:bCs/>
        </w:rPr>
        <w:t>1.技术标符合性评审</w:t>
      </w:r>
    </w:p>
    <w:p w14:paraId="31114035">
      <w:pPr>
        <w:pStyle w:val="19"/>
        <w:spacing w:line="400" w:lineRule="exact"/>
        <w:ind w:firstLine="420" w:firstLineChars="200"/>
        <w:rPr>
          <w:rFonts w:hint="eastAsia" w:hAnsi="宋体" w:cs="宋体"/>
        </w:rPr>
      </w:pPr>
      <w:r>
        <w:rPr>
          <w:rFonts w:hint="eastAsia" w:hAnsi="宋体" w:cs="宋体"/>
        </w:rPr>
        <w:t xml:space="preserve">1.1 </w:t>
      </w:r>
      <w:r>
        <w:rPr>
          <w:rFonts w:hint="eastAsia" w:hAnsi="宋体" w:cs="宋体"/>
          <w:bCs/>
        </w:rPr>
        <w:t>根据招标文件第五章投标文件的有效性的规定，是否属于无效标或废标；</w:t>
      </w:r>
    </w:p>
    <w:p w14:paraId="7DD90339">
      <w:pPr>
        <w:pStyle w:val="19"/>
        <w:spacing w:line="400" w:lineRule="exact"/>
        <w:ind w:firstLine="420" w:firstLineChars="200"/>
        <w:rPr>
          <w:rFonts w:hint="eastAsia" w:hAnsi="宋体" w:cs="宋体"/>
        </w:rPr>
      </w:pPr>
      <w:r>
        <w:rPr>
          <w:rFonts w:hint="eastAsia" w:hAnsi="宋体" w:cs="宋体"/>
        </w:rPr>
        <w:t>1.2 检查投标文件的完整性，如营业执照，法定代表人授权书等资信情况、履约能力；</w:t>
      </w:r>
    </w:p>
    <w:p w14:paraId="095D96F9">
      <w:pPr>
        <w:pStyle w:val="19"/>
        <w:spacing w:line="400" w:lineRule="exact"/>
        <w:ind w:firstLine="420" w:firstLineChars="200"/>
        <w:rPr>
          <w:rFonts w:hint="eastAsia" w:hAnsi="宋体" w:cs="宋体"/>
        </w:rPr>
      </w:pPr>
      <w:r>
        <w:rPr>
          <w:rFonts w:hint="eastAsia" w:hAnsi="宋体" w:cs="宋体"/>
        </w:rPr>
        <w:t>1.3 投标人提供的技术参数是否满足本招标项目要求；</w:t>
      </w:r>
    </w:p>
    <w:p w14:paraId="66758C45">
      <w:pPr>
        <w:pStyle w:val="19"/>
        <w:spacing w:line="400" w:lineRule="exact"/>
        <w:ind w:firstLine="420" w:firstLineChars="200"/>
        <w:rPr>
          <w:rFonts w:hint="eastAsia" w:hAnsi="宋体" w:cs="宋体"/>
        </w:rPr>
      </w:pPr>
      <w:r>
        <w:rPr>
          <w:rFonts w:hint="eastAsia" w:hAnsi="宋体" w:cs="宋体"/>
        </w:rPr>
        <w:t>1.4 售后服务及有关承诺是否承诺。</w:t>
      </w:r>
    </w:p>
    <w:p w14:paraId="46932DA6">
      <w:pPr>
        <w:pStyle w:val="19"/>
        <w:spacing w:line="400" w:lineRule="exact"/>
        <w:ind w:firstLine="420" w:firstLineChars="200"/>
        <w:rPr>
          <w:rFonts w:hint="eastAsia" w:hAnsi="宋体" w:cs="宋体"/>
        </w:rPr>
      </w:pPr>
      <w:r>
        <w:rPr>
          <w:rFonts w:hint="eastAsia" w:hAnsi="宋体" w:cs="宋体"/>
        </w:rPr>
        <w:t>符合以上要求为技术标入围单位，技术标入围单位进入商务标评审。</w:t>
      </w:r>
    </w:p>
    <w:p w14:paraId="174B1971">
      <w:pPr>
        <w:spacing w:line="400" w:lineRule="exact"/>
        <w:ind w:firstLine="422" w:firstLineChars="200"/>
        <w:rPr>
          <w:rFonts w:hint="eastAsia" w:ascii="宋体" w:hAnsi="宋体" w:cs="宋体"/>
          <w:b/>
          <w:bCs/>
          <w:szCs w:val="21"/>
        </w:rPr>
      </w:pPr>
      <w:r>
        <w:rPr>
          <w:rFonts w:hint="eastAsia" w:ascii="宋体" w:hAnsi="宋体" w:cs="宋体"/>
          <w:b/>
          <w:bCs/>
          <w:szCs w:val="21"/>
        </w:rPr>
        <w:t>2.商务标评审</w:t>
      </w:r>
    </w:p>
    <w:p w14:paraId="371BB940">
      <w:pPr>
        <w:adjustRightInd w:val="0"/>
        <w:snapToGrid w:val="0"/>
        <w:spacing w:line="400" w:lineRule="exact"/>
        <w:ind w:firstLine="422" w:firstLineChars="200"/>
        <w:jc w:val="left"/>
        <w:rPr>
          <w:rFonts w:hint="eastAsia" w:ascii="宋体" w:hAnsi="宋体" w:cs="宋体"/>
          <w:szCs w:val="21"/>
        </w:rPr>
      </w:pPr>
      <w:r>
        <w:rPr>
          <w:rFonts w:hint="eastAsia" w:ascii="宋体" w:hAnsi="宋体" w:cs="宋体"/>
          <w:b/>
          <w:bCs/>
          <w:szCs w:val="21"/>
        </w:rPr>
        <w:t>2.1甄别异常报价：</w:t>
      </w:r>
      <w:r>
        <w:rPr>
          <w:rFonts w:hint="eastAsia" w:ascii="宋体" w:hAnsi="宋体" w:cs="宋体"/>
          <w:szCs w:val="21"/>
        </w:rPr>
        <w:t>有下列情况之一的投标报价不进入评标价计算环节：</w:t>
      </w:r>
    </w:p>
    <w:p w14:paraId="3D9EA4BE">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\o\ac(○,1)</w:instrText>
      </w:r>
      <w:r>
        <w:rPr>
          <w:rFonts w:hint="eastAsia" w:ascii="宋体" w:hAnsi="宋体" w:cs="宋体"/>
          <w:szCs w:val="21"/>
        </w:rPr>
        <w:fldChar w:fldCharType="end"/>
      </w:r>
      <w:r>
        <w:rPr>
          <w:rFonts w:hint="eastAsia" w:ascii="宋体" w:hAnsi="宋体" w:cs="宋体"/>
          <w:szCs w:val="21"/>
        </w:rPr>
        <w:t>技术标未入围单位的投标报价；</w:t>
      </w:r>
    </w:p>
    <w:p w14:paraId="0A22D45C">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\o\ac(○,2)</w:instrText>
      </w:r>
      <w:r>
        <w:rPr>
          <w:rFonts w:hint="eastAsia" w:ascii="宋体" w:hAnsi="宋体" w:cs="宋体"/>
          <w:szCs w:val="21"/>
        </w:rPr>
        <w:fldChar w:fldCharType="end"/>
      </w:r>
      <w:r>
        <w:rPr>
          <w:rFonts w:hint="eastAsia" w:ascii="宋体" w:hAnsi="宋体" w:cs="宋体"/>
          <w:szCs w:val="21"/>
        </w:rPr>
        <w:t>投标报价高于采购预算；</w:t>
      </w:r>
    </w:p>
    <w:p w14:paraId="75397DE6">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\o\ac(○,3)</w:instrText>
      </w:r>
      <w:r>
        <w:rPr>
          <w:rFonts w:hint="eastAsia" w:ascii="宋体" w:hAnsi="宋体" w:cs="宋体"/>
          <w:szCs w:val="21"/>
        </w:rPr>
        <w:fldChar w:fldCharType="end"/>
      </w:r>
      <w:r>
        <w:rPr>
          <w:rFonts w:hint="eastAsia" w:ascii="宋体" w:hAnsi="宋体" w:cs="宋体"/>
          <w:szCs w:val="21"/>
        </w:rPr>
        <w:t>投标报价高于最高限价；</w:t>
      </w:r>
    </w:p>
    <w:p w14:paraId="399FCE66">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\o\ac(○,4)</w:instrText>
      </w:r>
      <w:r>
        <w:rPr>
          <w:rFonts w:hint="eastAsia" w:ascii="宋体" w:hAnsi="宋体" w:cs="宋体"/>
          <w:szCs w:val="21"/>
        </w:rPr>
        <w:fldChar w:fldCharType="end"/>
      </w:r>
      <w:r>
        <w:rPr>
          <w:rFonts w:hint="eastAsia" w:ascii="宋体" w:hAnsi="宋体" w:cs="宋体"/>
          <w:szCs w:val="21"/>
        </w:rPr>
        <w:t>如评标委员会一致认为最低投标报价或某些分项明显不合理，有降低质量、不能诚信履约的可能时，评标委员会有权通知投标人限期进行解释。如投标人未在规定期限内</w:t>
      </w:r>
      <w:r>
        <w:rPr>
          <w:rFonts w:hint="eastAsia" w:ascii="宋体" w:hAnsi="宋体" w:cs="宋体"/>
          <w:szCs w:val="21"/>
          <w:lang w:eastAsia="zh-CN"/>
        </w:rPr>
        <w:t>作出</w:t>
      </w:r>
      <w:r>
        <w:rPr>
          <w:rFonts w:hint="eastAsia" w:ascii="宋体" w:hAnsi="宋体" w:cs="宋体"/>
          <w:szCs w:val="21"/>
        </w:rPr>
        <w:t>解释，或所作解释不合理，经评标委员会取得一致意见后，可列为异常报价，确定该投标为无效标。</w:t>
      </w:r>
    </w:p>
    <w:p w14:paraId="74932026">
      <w:pPr>
        <w:spacing w:line="400" w:lineRule="exact"/>
        <w:ind w:firstLine="422" w:firstLineChars="200"/>
        <w:rPr>
          <w:rFonts w:hint="eastAsia" w:ascii="宋体" w:hAnsi="宋体" w:eastAsia="宋体" w:cs="宋体"/>
          <w:szCs w:val="21"/>
          <w:lang w:eastAsia="zh-CN"/>
        </w:rPr>
      </w:pPr>
      <w:r>
        <w:rPr>
          <w:rFonts w:hint="eastAsia" w:hAnsi="宋体" w:cs="宋体"/>
          <w:b/>
          <w:bCs/>
        </w:rPr>
        <w:t>2.2评</w:t>
      </w:r>
      <w:r>
        <w:rPr>
          <w:rFonts w:hint="eastAsia" w:hAnsi="宋体" w:cs="宋体"/>
          <w:b/>
        </w:rPr>
        <w:t>标价计算</w:t>
      </w:r>
      <w:r>
        <w:rPr>
          <w:rFonts w:hint="eastAsia" w:hAnsi="宋体" w:cs="宋体"/>
          <w:b/>
          <w:bCs/>
        </w:rPr>
        <w:t>：</w:t>
      </w:r>
      <w:r>
        <w:rPr>
          <w:rFonts w:hint="eastAsia" w:ascii="宋体" w:hAnsi="宋体" w:cs="宋体"/>
          <w:b/>
          <w:bCs/>
          <w:szCs w:val="21"/>
        </w:rPr>
        <w:t>评标价=投标总价</w:t>
      </w:r>
      <w:r>
        <w:rPr>
          <w:rFonts w:hint="eastAsia" w:ascii="宋体" w:hAnsi="宋体" w:cs="宋体"/>
          <w:b/>
          <w:bCs/>
          <w:szCs w:val="21"/>
          <w:lang w:eastAsia="zh-CN"/>
        </w:rPr>
        <w:t>。</w:t>
      </w:r>
    </w:p>
    <w:p w14:paraId="0EABA7BA">
      <w:pPr>
        <w:spacing w:line="400" w:lineRule="exact"/>
        <w:ind w:firstLine="422" w:firstLineChars="200"/>
      </w:pPr>
      <w:r>
        <w:rPr>
          <w:rFonts w:hint="eastAsia" w:ascii="宋体" w:hAnsi="宋体" w:cs="宋体"/>
          <w:b/>
          <w:bCs/>
        </w:rPr>
        <w:t>3.推荐中标候选人，完成评标报告。</w:t>
      </w:r>
    </w:p>
    <w:p w14:paraId="6A4E417E">
      <w:pPr>
        <w:pStyle w:val="104"/>
        <w:spacing w:line="400" w:lineRule="exact"/>
        <w:rPr>
          <w:rFonts w:hint="eastAsia" w:ascii="宋体" w:hAnsi="宋体" w:cs="宋体"/>
          <w:b/>
          <w:bCs/>
        </w:rPr>
      </w:pPr>
    </w:p>
    <w:p w14:paraId="57335E15">
      <w:pPr>
        <w:pStyle w:val="104"/>
        <w:spacing w:line="400" w:lineRule="exact"/>
      </w:pPr>
      <w:r>
        <w:rPr>
          <w:rFonts w:hint="eastAsia" w:ascii="宋体" w:hAnsi="宋体" w:cs="宋体"/>
          <w:b/>
          <w:bCs/>
        </w:rPr>
        <w:t>四、评标小组不向落标方解释落标原因</w:t>
      </w:r>
      <w:r>
        <w:rPr>
          <w:rFonts w:hint="eastAsia" w:hAnsi="宋体"/>
          <w:b/>
          <w:bCs/>
        </w:rPr>
        <w:t>。</w:t>
      </w:r>
    </w:p>
    <w:p w14:paraId="6C84B691">
      <w:pPr>
        <w:pStyle w:val="10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hAnsi="宋体"/>
          <w:b/>
          <w:bCs/>
          <w:color w:val="auto"/>
          <w:highlight w:val="none"/>
        </w:rPr>
      </w:pPr>
    </w:p>
    <w:p w14:paraId="6BC7ECE5">
      <w:pPr>
        <w:rPr>
          <w:rFonts w:hint="eastAsia" w:hAnsi="宋体"/>
          <w:b/>
          <w:bCs/>
          <w:color w:val="auto"/>
          <w:highlight w:val="none"/>
        </w:rPr>
      </w:pPr>
      <w:r>
        <w:rPr>
          <w:rFonts w:hint="eastAsia" w:hAnsi="宋体"/>
          <w:b/>
          <w:bCs/>
          <w:color w:val="auto"/>
          <w:highlight w:val="none"/>
        </w:rPr>
        <w:br w:type="page"/>
      </w:r>
    </w:p>
    <w:p w14:paraId="3CC4A9AC">
      <w:pPr>
        <w:pStyle w:val="10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hAnsi="宋体"/>
          <w:b/>
          <w:bCs/>
          <w:color w:val="auto"/>
          <w:highlight w:val="none"/>
        </w:rPr>
      </w:pPr>
    </w:p>
    <w:p w14:paraId="6A1E4CA3">
      <w:pPr>
        <w:pStyle w:val="4"/>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21"/>
          <w:szCs w:val="21"/>
        </w:rPr>
      </w:pPr>
      <w:bookmarkStart w:id="77" w:name="_Toc27052"/>
      <w:r>
        <w:rPr>
          <w:rFonts w:hint="eastAsia"/>
          <w:color w:val="auto"/>
          <w:sz w:val="36"/>
          <w:highlight w:val="none"/>
          <w:lang w:val="en-US" w:eastAsia="zh-CN"/>
        </w:rPr>
        <w:t xml:space="preserve">第七章 </w:t>
      </w:r>
      <w:r>
        <w:rPr>
          <w:rFonts w:hint="eastAsia"/>
          <w:color w:val="auto"/>
          <w:sz w:val="36"/>
          <w:highlight w:val="none"/>
        </w:rPr>
        <w:t>合同</w:t>
      </w:r>
      <w:bookmarkEnd w:id="77"/>
    </w:p>
    <w:p w14:paraId="07955906">
      <w:pPr>
        <w:keepNext w:val="0"/>
        <w:keepLines w:val="0"/>
        <w:pageBreakBefore w:val="0"/>
        <w:widowControl/>
        <w:kinsoku/>
        <w:wordWrap/>
        <w:overflowPunct/>
        <w:topLinePunct w:val="0"/>
        <w:autoSpaceDE/>
        <w:autoSpaceDN/>
        <w:bidi w:val="0"/>
        <w:spacing w:line="360" w:lineRule="auto"/>
        <w:ind w:firstLine="40"/>
        <w:jc w:val="left"/>
        <w:textAlignment w:val="auto"/>
        <w:rPr>
          <w:rFonts w:hint="eastAsia" w:ascii="Verdana" w:hAnsi="Verdana" w:cs="Arial"/>
          <w:kern w:val="0"/>
          <w:szCs w:val="21"/>
        </w:rPr>
      </w:pPr>
    </w:p>
    <w:p w14:paraId="2AC62D36">
      <w:pPr>
        <w:keepNext w:val="0"/>
        <w:keepLines w:val="0"/>
        <w:pageBreakBefore w:val="0"/>
        <w:widowControl/>
        <w:kinsoku/>
        <w:wordWrap/>
        <w:overflowPunct/>
        <w:topLinePunct w:val="0"/>
        <w:autoSpaceDE/>
        <w:autoSpaceDN/>
        <w:bidi w:val="0"/>
        <w:spacing w:line="360" w:lineRule="auto"/>
        <w:ind w:firstLine="40"/>
        <w:jc w:val="left"/>
        <w:textAlignment w:val="auto"/>
        <w:rPr>
          <w:rFonts w:ascii="Verdana" w:hAnsi="Verdana" w:cs="Arial"/>
          <w:kern w:val="0"/>
          <w:szCs w:val="21"/>
        </w:rPr>
      </w:pPr>
      <w:r>
        <w:rPr>
          <w:rFonts w:hint="eastAsia" w:ascii="Verdana" w:hAnsi="Verdana" w:cs="Arial"/>
          <w:kern w:val="0"/>
          <w:szCs w:val="21"/>
        </w:rPr>
        <w:t>供方：</w:t>
      </w:r>
      <w:r>
        <w:rPr>
          <w:rFonts w:ascii="Verdana" w:hAnsi="Verdana" w:cs="Arial"/>
          <w:kern w:val="0"/>
          <w:szCs w:val="21"/>
        </w:rPr>
        <w:t>________________________________</w:t>
      </w:r>
    </w:p>
    <w:p w14:paraId="55F3AF9A">
      <w:pPr>
        <w:keepNext w:val="0"/>
        <w:keepLines w:val="0"/>
        <w:pageBreakBefore w:val="0"/>
        <w:widowControl/>
        <w:kinsoku/>
        <w:wordWrap/>
        <w:overflowPunct/>
        <w:topLinePunct w:val="0"/>
        <w:autoSpaceDE/>
        <w:autoSpaceDN/>
        <w:bidi w:val="0"/>
        <w:spacing w:line="360" w:lineRule="auto"/>
        <w:ind w:firstLine="40"/>
        <w:jc w:val="left"/>
        <w:textAlignment w:val="auto"/>
        <w:rPr>
          <w:rFonts w:ascii="Verdana" w:hAnsi="Verdana" w:cs="Times New Roman"/>
          <w:kern w:val="0"/>
          <w:szCs w:val="21"/>
        </w:rPr>
      </w:pPr>
      <w:r>
        <w:rPr>
          <w:rFonts w:hint="eastAsia" w:ascii="Verdana" w:hAnsi="Verdana" w:cs="Arial"/>
          <w:kern w:val="0"/>
          <w:szCs w:val="21"/>
        </w:rPr>
        <w:t>需方：</w:t>
      </w:r>
      <w:r>
        <w:rPr>
          <w:rFonts w:ascii="Verdana" w:hAnsi="Verdana" w:cs="Arial"/>
          <w:kern w:val="0"/>
          <w:szCs w:val="21"/>
        </w:rPr>
        <w:t>________________________________</w:t>
      </w:r>
    </w:p>
    <w:p w14:paraId="67C27458">
      <w:pPr>
        <w:keepNext w:val="0"/>
        <w:keepLines w:val="0"/>
        <w:pageBreakBefore w:val="0"/>
        <w:widowControl/>
        <w:kinsoku/>
        <w:wordWrap/>
        <w:overflowPunct/>
        <w:topLinePunct w:val="0"/>
        <w:autoSpaceDE/>
        <w:autoSpaceDN/>
        <w:bidi w:val="0"/>
        <w:adjustRightInd w:val="0"/>
        <w:snapToGrid w:val="0"/>
        <w:spacing w:line="360" w:lineRule="auto"/>
        <w:ind w:firstLine="40"/>
        <w:jc w:val="left"/>
        <w:textAlignment w:val="auto"/>
        <w:rPr>
          <w:rFonts w:ascii="Verdana" w:hAnsi="宋体" w:cs="Arial"/>
          <w:bCs/>
          <w:kern w:val="0"/>
          <w:szCs w:val="21"/>
        </w:rPr>
      </w:pPr>
      <w:r>
        <w:rPr>
          <w:rFonts w:ascii="Verdana" w:hAnsi="宋体" w:cs="Arial"/>
          <w:b/>
          <w:kern w:val="0"/>
          <w:szCs w:val="21"/>
        </w:rPr>
        <w:t>一、合同文件组成及解释顺序：</w:t>
      </w:r>
      <w:r>
        <w:rPr>
          <w:rFonts w:hint="eastAsia" w:ascii="Verdana" w:hAnsi="宋体" w:cs="Arial"/>
          <w:bCs/>
          <w:kern w:val="0"/>
          <w:szCs w:val="21"/>
        </w:rPr>
        <w:t>招标</w:t>
      </w:r>
      <w:r>
        <w:rPr>
          <w:rFonts w:ascii="Verdana" w:hAnsi="宋体" w:cs="Arial"/>
          <w:bCs/>
          <w:kern w:val="0"/>
          <w:szCs w:val="21"/>
        </w:rPr>
        <w:t>文件及其补充文件、询标承诺、询疑答复、</w:t>
      </w:r>
      <w:r>
        <w:rPr>
          <w:rFonts w:hint="eastAsia" w:ascii="Verdana" w:hAnsi="宋体" w:cs="Arial"/>
          <w:bCs/>
          <w:kern w:val="0"/>
          <w:szCs w:val="21"/>
        </w:rPr>
        <w:t>投标</w:t>
      </w:r>
      <w:r>
        <w:rPr>
          <w:rFonts w:ascii="Verdana" w:hAnsi="宋体" w:cs="Arial"/>
          <w:bCs/>
          <w:kern w:val="0"/>
          <w:szCs w:val="21"/>
        </w:rPr>
        <w:t>响应文件、双方来函。合同文件组成的所有内容是构成合同不可分割的部分，与合同具有同等法律效力。</w:t>
      </w:r>
    </w:p>
    <w:p w14:paraId="2ED08BEA">
      <w:pPr>
        <w:keepNext w:val="0"/>
        <w:keepLines w:val="0"/>
        <w:pageBreakBefore w:val="0"/>
        <w:widowControl/>
        <w:kinsoku/>
        <w:wordWrap/>
        <w:overflowPunct/>
        <w:topLinePunct w:val="0"/>
        <w:autoSpaceDE/>
        <w:autoSpaceDN/>
        <w:bidi w:val="0"/>
        <w:adjustRightInd w:val="0"/>
        <w:snapToGrid w:val="0"/>
        <w:spacing w:line="360" w:lineRule="auto"/>
        <w:ind w:firstLine="40"/>
        <w:jc w:val="left"/>
        <w:textAlignment w:val="auto"/>
        <w:rPr>
          <w:rFonts w:ascii="Verdana" w:hAnsi="宋体" w:cs="Arial"/>
          <w:b/>
          <w:color w:val="auto"/>
          <w:kern w:val="0"/>
          <w:szCs w:val="21"/>
          <w:highlight w:val="none"/>
        </w:rPr>
      </w:pPr>
      <w:r>
        <w:rPr>
          <w:rFonts w:hint="eastAsia" w:ascii="Verdana" w:hAnsi="宋体" w:cs="Arial"/>
          <w:b/>
          <w:color w:val="auto"/>
          <w:kern w:val="0"/>
          <w:szCs w:val="21"/>
          <w:highlight w:val="none"/>
        </w:rPr>
        <w:t>二、合同金额</w:t>
      </w:r>
    </w:p>
    <w:p w14:paraId="46B16A8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Times New Roman"/>
          <w:color w:val="auto"/>
          <w:kern w:val="0"/>
          <w:szCs w:val="21"/>
          <w:highlight w:val="none"/>
        </w:rPr>
      </w:pPr>
      <w:r>
        <w:rPr>
          <w:rFonts w:hint="eastAsia" w:ascii="Verdana" w:hAnsi="宋体" w:cs="Arial"/>
          <w:bCs/>
          <w:color w:val="auto"/>
          <w:kern w:val="0"/>
          <w:szCs w:val="21"/>
          <w:highlight w:val="none"/>
        </w:rPr>
        <w:t>合同总价中须包括___________________及合同中明示或暗示的所有一般风险、责任和义务等一切应由招标人支付的费用。</w:t>
      </w:r>
    </w:p>
    <w:tbl>
      <w:tblPr>
        <w:tblStyle w:val="38"/>
        <w:tblW w:w="1009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431"/>
        <w:gridCol w:w="2067"/>
        <w:gridCol w:w="1045"/>
        <w:gridCol w:w="1741"/>
      </w:tblGrid>
      <w:tr w14:paraId="32D5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noWrap w:val="0"/>
            <w:vAlign w:val="center"/>
          </w:tcPr>
          <w:p w14:paraId="086020D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431" w:type="dxa"/>
            <w:noWrap w:val="0"/>
            <w:vAlign w:val="center"/>
          </w:tcPr>
          <w:p w14:paraId="65C7AFE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采购项目</w:t>
            </w:r>
          </w:p>
        </w:tc>
        <w:tc>
          <w:tcPr>
            <w:tcW w:w="2067" w:type="dxa"/>
            <w:noWrap w:val="0"/>
            <w:vAlign w:val="center"/>
          </w:tcPr>
          <w:p w14:paraId="6E25D25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投标单价</w:t>
            </w:r>
            <w:r>
              <w:rPr>
                <w:rFonts w:hint="eastAsia" w:ascii="宋体" w:hAnsi="宋体" w:eastAsia="宋体" w:cs="宋体"/>
                <w:b/>
                <w:bCs w:val="0"/>
                <w:color w:val="auto"/>
                <w:sz w:val="21"/>
                <w:szCs w:val="21"/>
                <w:highlight w:val="none"/>
              </w:rPr>
              <w:t>（</w:t>
            </w:r>
            <w:r>
              <w:rPr>
                <w:rFonts w:hint="eastAsia" w:ascii="宋体" w:hAnsi="宋体" w:cs="宋体"/>
                <w:b/>
                <w:bCs w:val="0"/>
                <w:color w:val="auto"/>
                <w:szCs w:val="21"/>
                <w:highlight w:val="none"/>
              </w:rPr>
              <w:t>元</w:t>
            </w:r>
            <w:r>
              <w:rPr>
                <w:rFonts w:hint="eastAsia" w:ascii="宋体" w:hAnsi="宋体" w:cs="宋体"/>
                <w:b/>
                <w:bCs w:val="0"/>
                <w:color w:val="auto"/>
                <w:szCs w:val="21"/>
                <w:highlight w:val="none"/>
                <w:lang w:val="en-US" w:eastAsia="zh-CN"/>
              </w:rPr>
              <w:t>/吨</w:t>
            </w:r>
            <w:r>
              <w:rPr>
                <w:rFonts w:hint="eastAsia" w:ascii="宋体" w:hAnsi="宋体" w:eastAsia="宋体" w:cs="宋体"/>
                <w:b/>
                <w:bCs w:val="0"/>
                <w:color w:val="auto"/>
                <w:sz w:val="21"/>
                <w:szCs w:val="21"/>
                <w:highlight w:val="none"/>
              </w:rPr>
              <w:t>）</w:t>
            </w:r>
          </w:p>
        </w:tc>
        <w:tc>
          <w:tcPr>
            <w:tcW w:w="1045" w:type="dxa"/>
            <w:noWrap w:val="0"/>
            <w:vAlign w:val="center"/>
          </w:tcPr>
          <w:p w14:paraId="7F119B8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741" w:type="dxa"/>
            <w:noWrap w:val="0"/>
            <w:vAlign w:val="center"/>
          </w:tcPr>
          <w:p w14:paraId="0F71436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投标总价（元）</w:t>
            </w:r>
          </w:p>
        </w:tc>
      </w:tr>
      <w:tr w14:paraId="5A6F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noWrap w:val="0"/>
            <w:vAlign w:val="center"/>
          </w:tcPr>
          <w:p w14:paraId="766911F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4431" w:type="dxa"/>
            <w:noWrap w:val="0"/>
            <w:vAlign w:val="center"/>
          </w:tcPr>
          <w:p w14:paraId="288DB1E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2067" w:type="dxa"/>
            <w:noWrap w:val="0"/>
            <w:vAlign w:val="center"/>
          </w:tcPr>
          <w:p w14:paraId="270FBE7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045" w:type="dxa"/>
            <w:noWrap w:val="0"/>
            <w:vAlign w:val="center"/>
          </w:tcPr>
          <w:p w14:paraId="3E63842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741" w:type="dxa"/>
            <w:noWrap w:val="0"/>
            <w:vAlign w:val="top"/>
          </w:tcPr>
          <w:p w14:paraId="012ADB9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p>
        </w:tc>
      </w:tr>
      <w:tr w14:paraId="6409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14:paraId="307F08A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4431" w:type="dxa"/>
            <w:noWrap w:val="0"/>
            <w:vAlign w:val="center"/>
          </w:tcPr>
          <w:p w14:paraId="1EFE039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2067" w:type="dxa"/>
            <w:noWrap w:val="0"/>
            <w:vAlign w:val="top"/>
          </w:tcPr>
          <w:p w14:paraId="23C16C3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045" w:type="dxa"/>
            <w:noWrap w:val="0"/>
            <w:vAlign w:val="center"/>
          </w:tcPr>
          <w:p w14:paraId="037174B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1741" w:type="dxa"/>
            <w:noWrap w:val="0"/>
            <w:vAlign w:val="top"/>
          </w:tcPr>
          <w:p w14:paraId="6E3CA90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p>
        </w:tc>
      </w:tr>
      <w:tr w14:paraId="3DE0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noWrap w:val="0"/>
            <w:vAlign w:val="center"/>
          </w:tcPr>
          <w:p w14:paraId="2270E18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9284" w:type="dxa"/>
            <w:gridSpan w:val="4"/>
            <w:noWrap w:val="0"/>
            <w:vAlign w:val="center"/>
          </w:tcPr>
          <w:p w14:paraId="7AFE979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F08B21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tc>
      </w:tr>
    </w:tbl>
    <w:p w14:paraId="01A1C8B1">
      <w:pPr>
        <w:keepNext w:val="0"/>
        <w:keepLines w:val="0"/>
        <w:pageBreakBefore w:val="0"/>
        <w:widowControl/>
        <w:kinsoku/>
        <w:wordWrap/>
        <w:overflowPunct/>
        <w:topLinePunct w:val="0"/>
        <w:autoSpaceDE/>
        <w:autoSpaceDN/>
        <w:bidi w:val="0"/>
        <w:adjustRightInd/>
        <w:spacing w:line="360" w:lineRule="auto"/>
        <w:ind w:right="480"/>
        <w:jc w:val="right"/>
        <w:textAlignment w:val="auto"/>
        <w:rPr>
          <w:rFonts w:hint="eastAsia" w:ascii="Verdana" w:hAnsi="宋体" w:cs="Arial"/>
          <w:b/>
          <w:color w:val="auto"/>
          <w:kern w:val="0"/>
          <w:szCs w:val="21"/>
          <w:highlight w:val="none"/>
        </w:rPr>
      </w:pPr>
      <w:r>
        <w:rPr>
          <w:rFonts w:hint="eastAsia" w:ascii="宋体" w:hAnsi="宋体" w:eastAsia="宋体" w:cs="宋体"/>
          <w:color w:val="auto"/>
          <w:kern w:val="0"/>
          <w:sz w:val="21"/>
          <w:szCs w:val="21"/>
          <w:highlight w:val="none"/>
        </w:rPr>
        <w:t>单位：人民币元</w:t>
      </w:r>
    </w:p>
    <w:p w14:paraId="426F01BA">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三、技术资料</w:t>
      </w:r>
    </w:p>
    <w:p w14:paraId="3BA58535">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1、供方应按招标文件规定的时间向需方提供使用货物的有关技术资料。</w:t>
      </w:r>
    </w:p>
    <w:p w14:paraId="4F1D74C1">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4A7583B0">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四、知识产权</w:t>
      </w:r>
    </w:p>
    <w:p w14:paraId="5ADD36DF">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供方应保证所提供的货物或其任何一部分均不会侵犯任何第三方的知识产权。</w:t>
      </w:r>
    </w:p>
    <w:p w14:paraId="0C7B1D30">
      <w:pPr>
        <w:pageBreakBefore w:val="0"/>
        <w:widowControl/>
        <w:numPr>
          <w:ilvl w:val="0"/>
          <w:numId w:val="4"/>
        </w:numPr>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产权担保</w:t>
      </w:r>
    </w:p>
    <w:p w14:paraId="60844229">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供方保证所交付的货物的所有权完全属于供方且无任何抵押、查封等产权瑕疵。</w:t>
      </w:r>
    </w:p>
    <w:p w14:paraId="772F242D">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六、转包或分包</w:t>
      </w:r>
    </w:p>
    <w:p w14:paraId="0042E7CD">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1、本合同范围的货物，应由供方直接供应，不得转让他人供应；</w:t>
      </w:r>
    </w:p>
    <w:p w14:paraId="5BD583E6">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2、供方不得将本合同范围的货物全部或部分分包给他人供应；</w:t>
      </w:r>
    </w:p>
    <w:p w14:paraId="65772A66">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3、如有转让和分包行为，解除合同并追究供方的违约责任。</w:t>
      </w:r>
    </w:p>
    <w:p w14:paraId="555093B3">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七、交货期及交货地点</w:t>
      </w:r>
    </w:p>
    <w:p w14:paraId="20E74AAF">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1、交货期：以采购方通知为准，采购方通知后2天以内货物到达采购方指定场地。 </w:t>
      </w:r>
    </w:p>
    <w:p w14:paraId="4D7B364E">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2、交货地点： 以需方指定地点为准 。</w:t>
      </w:r>
    </w:p>
    <w:p w14:paraId="6C865553">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八、货款支付</w:t>
      </w:r>
    </w:p>
    <w:p w14:paraId="166070AA">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1、合同期限：本合同有效期为1</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个月，合同1</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个月起止日期为202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日-</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u w:val="single"/>
          <w:lang w:val="en-US" w:eastAsia="zh-CN"/>
        </w:rPr>
        <w:t>2027</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日。</w:t>
      </w:r>
    </w:p>
    <w:p w14:paraId="555E718F">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2、采购方式： 按需采购。</w:t>
      </w:r>
    </w:p>
    <w:p w14:paraId="51548753">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 xml:space="preserve">3、结算方式：翻单付款，按月结算，需方收到供方所供的货物及上一批次产品货款增值税专用发票后二十个工作日内结算上一批次货款。付款时间遇节假日顺延。供方开具专用增值税专用发票，供方开具货物货款增值税专用发票之前必须与需方核对货款。 </w:t>
      </w:r>
      <w:r>
        <w:rPr>
          <w:rFonts w:hint="eastAsia" w:ascii="宋体" w:hAnsi="宋体" w:eastAsia="宋体" w:cs="宋体"/>
          <w:b/>
          <w:color w:val="auto"/>
          <w:kern w:val="0"/>
          <w:szCs w:val="21"/>
          <w:highlight w:val="none"/>
        </w:rPr>
        <w:t xml:space="preserve">                      </w:t>
      </w:r>
    </w:p>
    <w:p w14:paraId="3457B20F">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九、税费</w:t>
      </w:r>
    </w:p>
    <w:p w14:paraId="0C5F282C">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本合同执行中相关的一切税费均由供方负担。</w:t>
      </w:r>
    </w:p>
    <w:p w14:paraId="6E050983">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十、质量保证及售后服务</w:t>
      </w:r>
    </w:p>
    <w:p w14:paraId="31B785BD">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1、供方应按投标文件规定的货物品牌、型号、性能、技术要求、质量标准向需方提供未经使用的全新产品，且提供的产品也必须满足供应方在投标文件中承诺的货物品牌、型号、性能、技术要求、质量标准。</w:t>
      </w:r>
    </w:p>
    <w:p w14:paraId="2EA93495">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2、供方应提供产品为散装，罐车运输，自带卸料泵，现场卸料泵入3个各100m3的料仓，必须能流畅地通过料仓进料口过滤器（筛网孔径为1cm）；</w:t>
      </w:r>
    </w:p>
    <w:p w14:paraId="25AE4644">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3、每批出厂的产品应附有质量检验报告和质量合格证。</w:t>
      </w:r>
    </w:p>
    <w:p w14:paraId="70F76318">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4、供方提供的货物在质保期内因货物本身的质量问题发生故障，供方应负责免费更换。对达不到招标文件及投标文件技术要求者，根据实际情况，经双方协商，可按以下办法处理：</w:t>
      </w:r>
    </w:p>
    <w:p w14:paraId="7C6C8D57">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①更换：更换后的产品需满足招标文件及投标文件要求，由供方承担所发生的全部费用。</w:t>
      </w:r>
    </w:p>
    <w:p w14:paraId="416D3673">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②贬值处理：由供需双方合议定价。</w:t>
      </w:r>
    </w:p>
    <w:p w14:paraId="040D2173">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③退货处理：供方应退还需方支付的合同款，同时应承担该货物的直接费用（运输、保险、检验、货款利息及银行手续费等）。</w:t>
      </w:r>
    </w:p>
    <w:p w14:paraId="49FB6FCE">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如需方与供方无法达成一致意见的，需方有权单方解除本合同，供方应退还需方支付的合同款，同时应承担该货物的直接费用（运输、保险、检验、货款利息及银行手续费等），此外由此产生的一切损失和费用也均由供方承担。</w:t>
      </w:r>
    </w:p>
    <w:p w14:paraId="43AD0164">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5、如在使用过程中发生质量问题，供方在接到需方通知后在24小时内到达需方现场。</w:t>
      </w:r>
    </w:p>
    <w:p w14:paraId="6CCC3A60">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6、在质保期内，供方应对货物出现的质量及安全问题负责处理解决并承担一切费用。</w:t>
      </w:r>
    </w:p>
    <w:p w14:paraId="7347F07C">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十一、违约责任</w:t>
      </w:r>
    </w:p>
    <w:p w14:paraId="72221471">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方交货时间逾期，需方有权启动应急采购，应急采购单价超过中标价的，供方应承担费用=（应急采购单价-中标单价）*应急采购数量，并予以扣罚5万元/次，逾期交货累计3次，需方有权单方面解除合同，并将供方的履约评价为D。因政策或其他原因，供方无法正常履行合同，需方有权启动应急采购，应急采购单价超过中标单价的，供方应承担费用=（应急采购单价-中标单价）*应急采购数量。</w:t>
      </w:r>
    </w:p>
    <w:p w14:paraId="19BDCF69">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供方所交的货物品种、型号、规格、技术参数、质量不符合合同规定及询价文件规定标准的，需方有权拒收该货物，供方愿意更换货物但逾期交货的，按供方逾期交货处理。供方拒绝更换货物的，需方可单方面解除合同。</w:t>
      </w:r>
    </w:p>
    <w:p w14:paraId="0152895F">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3、需方无正当理由拒收货物的，需方向供方偿付拒收货款总值的百分之五违约金。</w:t>
      </w:r>
    </w:p>
    <w:p w14:paraId="6D66A56D">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4、药剂质量检验</w:t>
      </w:r>
    </w:p>
    <w:p w14:paraId="3C0A0AAC">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4.1日常抽检和季度抽检</w:t>
      </w:r>
    </w:p>
    <w:p w14:paraId="37708F92">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产品质量检验采用日常抽检及季度抽检的形式。需方有权对供方提供的工业碳酸钠（总碱量≥98.0%）进行抽检，日常抽检样品采购人可自行检测或送有资质第三方检测机构检测，检测内容包括但不限于总碱量等指标；季度抽检样品送至有资质第三方检测机构检测，检测内容包括技术规范各项指标，季度抽检样品送检为每季度一次。</w:t>
      </w:r>
    </w:p>
    <w:p w14:paraId="29C430E9">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4.2检测结果运用</w:t>
      </w:r>
    </w:p>
    <w:p w14:paraId="7CEE5494">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检测结果技术指标全部符合本项目招标文件技术规范要求的，该批次货款全额结算。检测结果技术指标不符合本项目招标文件技术规范要求的，其中总碱量质量分数&lt;98.0%的，扣除该批次货款的（98.0%-总碱量质量分数）×20不予结算，该批次货款扣完为止；其他指标任一项不达标时，扣除该批次货款的20%；多项不达标时，该批次扣款为每个单项扣款金额相加，该批次货款扣完为止。</w:t>
      </w:r>
    </w:p>
    <w:p w14:paraId="3618FC05">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4.3日常抽检样品检测费用由需方承担；季度抽检样品检测费由供方承担。</w:t>
      </w:r>
    </w:p>
    <w:p w14:paraId="319A53D9">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4.4如供方对检测结果有疑义的，供需双方在场的情况下取样送第三方检测机构进行检测，检测结果技术指标若符合本项目招标文件技术规范要求的，则该批次货款全额结算，检测费用由需方承担；检测结果技术指标不符合招标项目要求中技术规范中指标要求的，则该批次按4.2的要求进行支付货款，检测费用由供方承担。</w:t>
      </w:r>
    </w:p>
    <w:p w14:paraId="27A3926E">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4.5合同执行过程中，供方提供的药剂检测结果累计12次技术参数未达到GB/T 210-2022工业碳酸钠中的“Ⅱ（一般工业用碳酸钠合格品）”要求标准技术指标要求的，需方有权单方面解除合同。</w:t>
      </w:r>
    </w:p>
    <w:p w14:paraId="0435059B">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十二、不可抗力事件处理</w:t>
      </w:r>
    </w:p>
    <w:p w14:paraId="4AFB2ADD">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1、在合同有效期内，任何一方因不可抗力事件导致不能履行合同，则合同履行期可延长，其延长期与不可抗力影响期相同。</w:t>
      </w:r>
    </w:p>
    <w:p w14:paraId="249E52DE">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2、不可抗力事件发生后，应立即通知对方，并寄送有关权威机构出具的证明。</w:t>
      </w:r>
    </w:p>
    <w:p w14:paraId="215EF54B">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3、不可抗力事件延续5 天以上，双方应通过友好协商，确定是否继续履行合同。</w:t>
      </w:r>
    </w:p>
    <w:p w14:paraId="24C2D622">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十三、诉讼</w:t>
      </w:r>
    </w:p>
    <w:p w14:paraId="61EA1F6E">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本合同项目所在地为义乌市，本合同发生争议产生的诉讼，可向项目所在地有管辖权的法院提起诉讼。</w:t>
      </w:r>
    </w:p>
    <w:p w14:paraId="1A5D61D5">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十四、合同双方确认</w:t>
      </w:r>
    </w:p>
    <w:p w14:paraId="20993F0C">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本合同及合同约定的其它文件组成部分中的各项约定都是通过法定招标过程形成的合法成果，如果中标单位的投标文件与招标文件要求不一致的，履约时应以有利于招标人的条款执行。</w:t>
      </w:r>
    </w:p>
    <w:p w14:paraId="64228A1A">
      <w:pPr>
        <w:pageBreakBefore w:val="0"/>
        <w:widowControl/>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十五、合同生效及其它</w:t>
      </w:r>
    </w:p>
    <w:p w14:paraId="28A35650">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1、合同经双方法定代表人或授权代表签字并加盖单位公章后生效。</w:t>
      </w:r>
    </w:p>
    <w:p w14:paraId="5204C3E7">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2、本合同未尽事宜</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rPr>
        <w:t>双方应通过友好协商解决。</w:t>
      </w:r>
    </w:p>
    <w:p w14:paraId="394089EF">
      <w:pPr>
        <w:pageBreakBefore w:val="0"/>
        <w:widowControl/>
        <w:kinsoku/>
        <w:wordWrap/>
        <w:overflowPunct/>
        <w:topLinePunct w:val="0"/>
        <w:autoSpaceDE/>
        <w:autoSpaceDN/>
        <w:bidi w:val="0"/>
        <w:spacing w:line="360" w:lineRule="auto"/>
        <w:ind w:left="0" w:firstLine="422" w:firstLineChars="200"/>
        <w:jc w:val="both"/>
        <w:textAlignment w:val="auto"/>
        <w:rPr>
          <w:rFonts w:hint="eastAsia" w:ascii="宋体" w:hAnsi="宋体" w:eastAsia="宋体" w:cs="宋体"/>
          <w:b/>
          <w:bCs/>
          <w:kern w:val="0"/>
          <w:szCs w:val="21"/>
        </w:rPr>
      </w:pPr>
      <w:r>
        <w:rPr>
          <w:rFonts w:hint="eastAsia" w:ascii="宋体" w:hAnsi="宋体" w:eastAsia="宋体" w:cs="宋体"/>
          <w:b/>
          <w:bCs/>
          <w:kern w:val="0"/>
          <w:szCs w:val="21"/>
        </w:rPr>
        <w:t>十六、</w:t>
      </w:r>
      <w:r>
        <w:rPr>
          <w:rFonts w:hint="eastAsia" w:ascii="宋体" w:hAnsi="宋体" w:eastAsia="宋体" w:cs="宋体"/>
          <w:b/>
          <w:bCs/>
          <w:color w:val="000000"/>
          <w:kern w:val="0"/>
          <w:szCs w:val="21"/>
        </w:rPr>
        <w:t>本合同一式____份，供需双方各执____份，</w:t>
      </w:r>
      <w:r>
        <w:rPr>
          <w:rFonts w:hint="eastAsia" w:ascii="宋体" w:hAnsi="宋体" w:cs="宋体"/>
          <w:b/>
          <w:bCs/>
          <w:color w:val="000000"/>
          <w:kern w:val="0"/>
          <w:szCs w:val="21"/>
          <w:lang w:val="en-US" w:eastAsia="zh-CN"/>
        </w:rPr>
        <w:t>金华义产拍卖有限公司</w:t>
      </w:r>
      <w:r>
        <w:rPr>
          <w:rFonts w:hint="eastAsia" w:ascii="宋体" w:hAnsi="宋体" w:eastAsia="宋体" w:cs="宋体"/>
          <w:b/>
          <w:bCs/>
          <w:color w:val="000000"/>
          <w:kern w:val="0"/>
          <w:szCs w:val="21"/>
        </w:rPr>
        <w:t>执一份</w:t>
      </w:r>
      <w:r>
        <w:rPr>
          <w:rFonts w:hint="eastAsia" w:ascii="宋体" w:hAnsi="宋体" w:eastAsia="宋体" w:cs="宋体"/>
          <w:b/>
          <w:bCs/>
          <w:color w:val="000000"/>
          <w:kern w:val="0"/>
          <w:szCs w:val="21"/>
          <w:lang w:eastAsia="zh-CN"/>
        </w:rPr>
        <w:t>，</w:t>
      </w:r>
      <w:r>
        <w:rPr>
          <w:rFonts w:hint="eastAsia" w:ascii="宋体" w:hAnsi="宋体" w:eastAsia="宋体" w:cs="宋体"/>
          <w:b/>
          <w:bCs/>
          <w:color w:val="000000"/>
          <w:kern w:val="0"/>
          <w:szCs w:val="21"/>
          <w:lang w:val="en-US" w:eastAsia="zh-CN"/>
        </w:rPr>
        <w:t>均具有同等效力</w:t>
      </w:r>
      <w:r>
        <w:rPr>
          <w:rFonts w:hint="eastAsia" w:ascii="宋体" w:hAnsi="宋体" w:eastAsia="宋体" w:cs="宋体"/>
          <w:b/>
          <w:bCs/>
          <w:color w:val="000000"/>
          <w:kern w:val="0"/>
          <w:szCs w:val="21"/>
        </w:rPr>
        <w:t xml:space="preserve">。 </w:t>
      </w:r>
    </w:p>
    <w:p w14:paraId="1023E765">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需    方：________________________  供 货 方：________________________</w:t>
      </w:r>
    </w:p>
    <w:p w14:paraId="5F32B346">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地    址：________________________  地    址：________________________</w:t>
      </w:r>
    </w:p>
    <w:p w14:paraId="665621C5">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法定代表人：______________________  法定代表人：______________________</w:t>
      </w:r>
    </w:p>
    <w:p w14:paraId="09214790">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授权代表：________________________  授权代表：________________________</w:t>
      </w:r>
    </w:p>
    <w:p w14:paraId="524E40A0">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电    话：________________________  电    话：________________________</w:t>
      </w:r>
    </w:p>
    <w:p w14:paraId="75869A99">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帐户名称：________________________  帐户名称：________________________</w:t>
      </w:r>
    </w:p>
    <w:p w14:paraId="30491A66">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开户银行：________________________  开户银行：________________________</w:t>
      </w:r>
    </w:p>
    <w:p w14:paraId="1879B125">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账    号：________________________  账    号：________________________</w:t>
      </w:r>
    </w:p>
    <w:p w14:paraId="36F66793">
      <w:pPr>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kern w:val="0"/>
          <w:szCs w:val="21"/>
          <w:u w:val="single"/>
        </w:rPr>
      </w:pPr>
      <w:r>
        <w:rPr>
          <w:rFonts w:hint="eastAsia" w:ascii="宋体" w:hAnsi="宋体" w:eastAsia="宋体" w:cs="宋体"/>
          <w:kern w:val="0"/>
          <w:szCs w:val="21"/>
        </w:rPr>
        <w:t>签约时间：________________________  签约地点：________________________</w:t>
      </w:r>
      <w:r>
        <w:rPr>
          <w:rFonts w:hint="eastAsia" w:ascii="宋体" w:hAnsi="宋体" w:eastAsia="宋体" w:cs="宋体"/>
          <w:kern w:val="0"/>
          <w:szCs w:val="21"/>
          <w:u w:val="single"/>
        </w:rPr>
        <w:t xml:space="preserve">          </w:t>
      </w:r>
    </w:p>
    <w:p w14:paraId="66816C47">
      <w:pPr>
        <w:pStyle w:val="4"/>
        <w:keepNext w:val="0"/>
        <w:keepLines w:val="0"/>
        <w:pageBreakBefore/>
        <w:widowControl w:val="0"/>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78" w:name="_Toc1480"/>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78"/>
    </w:p>
    <w:p w14:paraId="3E844352">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9" w:name="_Toc15240"/>
      <w:r>
        <w:rPr>
          <w:rFonts w:hint="eastAsia" w:ascii="宋体" w:hAnsi="宋体" w:eastAsia="宋体" w:cs="宋体"/>
          <w:color w:val="auto"/>
          <w:sz w:val="21"/>
          <w:szCs w:val="21"/>
          <w:highlight w:val="none"/>
        </w:rPr>
        <w:t>一、资格响应文件、商务技术响应文件部分格式</w:t>
      </w:r>
      <w:bookmarkEnd w:id="79"/>
    </w:p>
    <w:p w14:paraId="2A6FDE87">
      <w:pPr>
        <w:tabs>
          <w:tab w:val="left" w:pos="1050"/>
        </w:tabs>
        <w:spacing w:line="520" w:lineRule="exact"/>
        <w:ind w:left="5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p>
    <w:p w14:paraId="4D7DD62D">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2.义乌市国企采购项目投标承诺书</w:t>
      </w:r>
    </w:p>
    <w:p w14:paraId="09B05257">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货物简要说明一览表</w:t>
      </w:r>
    </w:p>
    <w:p w14:paraId="7CCE9AE3">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产品质量保证承诺书和售后服务承诺书</w:t>
      </w:r>
    </w:p>
    <w:p w14:paraId="1A0C15C1">
      <w:pPr>
        <w:pStyle w:val="2"/>
        <w:rPr>
          <w:rFonts w:hint="eastAsia"/>
        </w:rPr>
      </w:pPr>
    </w:p>
    <w:p w14:paraId="1219D392">
      <w:pPr>
        <w:tabs>
          <w:tab w:val="left" w:pos="1050"/>
        </w:tabs>
        <w:spacing w:line="520" w:lineRule="exact"/>
        <w:ind w:left="528"/>
        <w:rPr>
          <w:rFonts w:hint="eastAsia" w:ascii="宋体" w:hAnsi="宋体" w:eastAsia="宋体" w:cs="宋体"/>
          <w:color w:val="auto"/>
          <w:sz w:val="21"/>
          <w:szCs w:val="21"/>
          <w:highlight w:val="none"/>
        </w:rPr>
      </w:pPr>
    </w:p>
    <w:p w14:paraId="48F112B4">
      <w:pPr>
        <w:tabs>
          <w:tab w:val="left" w:pos="1050"/>
        </w:tabs>
        <w:spacing w:line="520" w:lineRule="exact"/>
        <w:ind w:left="528"/>
        <w:rPr>
          <w:rFonts w:hint="eastAsia" w:ascii="宋体" w:hAnsi="宋体" w:eastAsia="宋体" w:cs="宋体"/>
          <w:color w:val="auto"/>
          <w:sz w:val="21"/>
          <w:szCs w:val="21"/>
          <w:highlight w:val="none"/>
        </w:rPr>
      </w:pPr>
    </w:p>
    <w:p w14:paraId="4B15C9DC">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0" w:name="_Toc3392"/>
      <w:r>
        <w:rPr>
          <w:rFonts w:hint="eastAsia" w:ascii="宋体" w:hAnsi="宋体" w:eastAsia="宋体" w:cs="宋体"/>
          <w:color w:val="auto"/>
          <w:sz w:val="21"/>
          <w:szCs w:val="21"/>
          <w:highlight w:val="none"/>
        </w:rPr>
        <w:t>二、报价响应文件部分格式</w:t>
      </w:r>
      <w:bookmarkEnd w:id="80"/>
    </w:p>
    <w:p w14:paraId="3B5C1B15">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5418149B">
      <w:pPr>
        <w:spacing w:line="340" w:lineRule="exact"/>
        <w:rPr>
          <w:rFonts w:hint="eastAsia" w:ascii="宋体" w:hAnsi="宋体" w:eastAsia="宋体" w:cs="宋体"/>
          <w:color w:val="auto"/>
          <w:sz w:val="21"/>
          <w:szCs w:val="21"/>
          <w:highlight w:val="none"/>
        </w:rPr>
      </w:pPr>
    </w:p>
    <w:p w14:paraId="39BBCBE1">
      <w:pPr>
        <w:spacing w:line="340" w:lineRule="exact"/>
        <w:rPr>
          <w:rFonts w:hint="eastAsia" w:ascii="宋体" w:hAnsi="宋体" w:eastAsia="宋体" w:cs="宋体"/>
          <w:color w:val="auto"/>
          <w:sz w:val="21"/>
          <w:szCs w:val="21"/>
          <w:highlight w:val="none"/>
        </w:rPr>
      </w:pPr>
    </w:p>
    <w:p w14:paraId="19384CDB">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1" w:name="_Toc19360"/>
      <w:r>
        <w:rPr>
          <w:rFonts w:hint="eastAsia" w:ascii="宋体" w:hAnsi="宋体" w:eastAsia="宋体" w:cs="宋体"/>
          <w:color w:val="auto"/>
          <w:sz w:val="21"/>
          <w:szCs w:val="21"/>
          <w:highlight w:val="none"/>
        </w:rPr>
        <w:t>三、质疑函范本</w:t>
      </w:r>
      <w:bookmarkEnd w:id="81"/>
    </w:p>
    <w:p w14:paraId="3A0486A5">
      <w:pPr>
        <w:spacing w:line="340" w:lineRule="exact"/>
        <w:rPr>
          <w:rFonts w:hint="eastAsia" w:ascii="宋体" w:hAnsi="宋体" w:eastAsia="宋体" w:cs="宋体"/>
          <w:color w:val="auto"/>
          <w:sz w:val="21"/>
          <w:szCs w:val="21"/>
          <w:highlight w:val="none"/>
        </w:rPr>
      </w:pPr>
    </w:p>
    <w:p w14:paraId="3AF52D4F">
      <w:pPr>
        <w:spacing w:line="340" w:lineRule="exact"/>
        <w:rPr>
          <w:rFonts w:hint="eastAsia" w:ascii="宋体" w:hAnsi="宋体" w:eastAsia="宋体" w:cs="宋体"/>
          <w:color w:val="auto"/>
          <w:sz w:val="21"/>
          <w:szCs w:val="21"/>
          <w:highlight w:val="none"/>
        </w:rPr>
      </w:pPr>
    </w:p>
    <w:p w14:paraId="57E44946">
      <w:pPr>
        <w:spacing w:line="340" w:lineRule="exact"/>
        <w:rPr>
          <w:rFonts w:ascii="宋体" w:cs="宋体"/>
          <w:color w:val="auto"/>
          <w:sz w:val="24"/>
          <w:highlight w:val="none"/>
        </w:rPr>
      </w:pPr>
    </w:p>
    <w:p w14:paraId="6D317895">
      <w:pPr>
        <w:spacing w:line="340" w:lineRule="exact"/>
        <w:rPr>
          <w:rFonts w:ascii="宋体" w:cs="宋体"/>
          <w:color w:val="auto"/>
          <w:sz w:val="24"/>
          <w:highlight w:val="none"/>
        </w:rPr>
      </w:pPr>
    </w:p>
    <w:p w14:paraId="20D0AE48">
      <w:pPr>
        <w:spacing w:line="340" w:lineRule="exact"/>
        <w:rPr>
          <w:rFonts w:ascii="宋体" w:cs="宋体"/>
          <w:color w:val="auto"/>
          <w:sz w:val="24"/>
          <w:highlight w:val="none"/>
        </w:rPr>
      </w:pPr>
    </w:p>
    <w:p w14:paraId="434C0570">
      <w:pPr>
        <w:spacing w:line="340" w:lineRule="exact"/>
        <w:rPr>
          <w:rFonts w:ascii="宋体" w:cs="宋体"/>
          <w:color w:val="auto"/>
          <w:sz w:val="24"/>
          <w:highlight w:val="none"/>
        </w:rPr>
      </w:pPr>
    </w:p>
    <w:p w14:paraId="7113BEF9">
      <w:pPr>
        <w:spacing w:line="340" w:lineRule="exact"/>
        <w:rPr>
          <w:rFonts w:ascii="宋体" w:cs="宋体"/>
          <w:color w:val="auto"/>
          <w:sz w:val="24"/>
          <w:highlight w:val="none"/>
        </w:rPr>
      </w:pPr>
    </w:p>
    <w:p w14:paraId="252F24BC">
      <w:pPr>
        <w:spacing w:line="340" w:lineRule="exact"/>
        <w:rPr>
          <w:rFonts w:ascii="宋体" w:cs="宋体"/>
          <w:color w:val="auto"/>
          <w:sz w:val="24"/>
          <w:highlight w:val="none"/>
        </w:rPr>
      </w:pPr>
    </w:p>
    <w:p w14:paraId="053BD801">
      <w:pPr>
        <w:spacing w:line="340" w:lineRule="exact"/>
        <w:rPr>
          <w:rFonts w:ascii="宋体" w:cs="宋体"/>
          <w:color w:val="auto"/>
          <w:sz w:val="24"/>
          <w:highlight w:val="none"/>
        </w:rPr>
      </w:pPr>
    </w:p>
    <w:p w14:paraId="7E04AF97">
      <w:pPr>
        <w:spacing w:line="340" w:lineRule="exact"/>
        <w:rPr>
          <w:rFonts w:ascii="宋体" w:cs="宋体"/>
          <w:color w:val="auto"/>
          <w:sz w:val="24"/>
          <w:highlight w:val="none"/>
        </w:rPr>
      </w:pPr>
    </w:p>
    <w:p w14:paraId="489FAF70">
      <w:pPr>
        <w:spacing w:line="340" w:lineRule="exact"/>
        <w:rPr>
          <w:rFonts w:ascii="宋体" w:cs="宋体"/>
          <w:color w:val="auto"/>
          <w:sz w:val="24"/>
          <w:highlight w:val="none"/>
        </w:rPr>
      </w:pPr>
    </w:p>
    <w:p w14:paraId="1BEBA08A">
      <w:pPr>
        <w:spacing w:line="340" w:lineRule="exact"/>
        <w:rPr>
          <w:rFonts w:ascii="宋体" w:cs="宋体"/>
          <w:color w:val="auto"/>
          <w:sz w:val="24"/>
          <w:highlight w:val="none"/>
        </w:rPr>
      </w:pPr>
    </w:p>
    <w:p w14:paraId="1CCC3045">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68A04B0F">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275E6656">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401AFF0F">
      <w:pPr>
        <w:jc w:val="center"/>
        <w:rPr>
          <w:rFonts w:hint="eastAsia" w:ascii="宋体" w:hAnsi="宋体"/>
          <w:color w:val="auto"/>
          <w:sz w:val="24"/>
          <w:highlight w:val="none"/>
          <w:u w:val="single"/>
        </w:rPr>
      </w:pPr>
    </w:p>
    <w:p w14:paraId="43294D03">
      <w:pPr>
        <w:jc w:val="center"/>
        <w:rPr>
          <w:rFonts w:hint="eastAsia" w:ascii="宋体" w:hAnsi="宋体"/>
          <w:color w:val="auto"/>
          <w:sz w:val="24"/>
          <w:highlight w:val="none"/>
          <w:u w:val="single"/>
        </w:rPr>
      </w:pPr>
    </w:p>
    <w:p w14:paraId="75B1C17A">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2A75A025">
      <w:pPr>
        <w:rPr>
          <w:rFonts w:hint="eastAsia" w:ascii="宋体" w:hAnsi="宋体"/>
          <w:color w:val="auto"/>
          <w:sz w:val="52"/>
          <w:highlight w:val="none"/>
        </w:rPr>
      </w:pPr>
    </w:p>
    <w:p w14:paraId="5D11EBBD">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5B1B5FD8">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68137C23">
      <w:pPr>
        <w:jc w:val="center"/>
        <w:rPr>
          <w:rFonts w:hint="eastAsia" w:ascii="宋体" w:hAnsi="宋体"/>
          <w:b/>
          <w:bCs/>
          <w:color w:val="auto"/>
          <w:sz w:val="28"/>
          <w:highlight w:val="none"/>
        </w:rPr>
      </w:pPr>
    </w:p>
    <w:p w14:paraId="7B928ECF">
      <w:pPr>
        <w:jc w:val="center"/>
        <w:rPr>
          <w:rFonts w:hint="eastAsia" w:ascii="宋体" w:hAnsi="宋体"/>
          <w:b/>
          <w:bCs/>
          <w:color w:val="auto"/>
          <w:sz w:val="28"/>
          <w:highlight w:val="none"/>
        </w:rPr>
      </w:pPr>
    </w:p>
    <w:p w14:paraId="71697543">
      <w:pPr>
        <w:jc w:val="center"/>
        <w:rPr>
          <w:rFonts w:hint="eastAsia" w:ascii="宋体" w:hAnsi="宋体"/>
          <w:b/>
          <w:bCs/>
          <w:color w:val="auto"/>
          <w:sz w:val="28"/>
          <w:highlight w:val="none"/>
        </w:rPr>
      </w:pPr>
    </w:p>
    <w:p w14:paraId="76E6897C">
      <w:pPr>
        <w:jc w:val="center"/>
        <w:rPr>
          <w:rFonts w:hint="eastAsia" w:ascii="宋体" w:hAnsi="宋体"/>
          <w:b/>
          <w:bCs/>
          <w:color w:val="auto"/>
          <w:sz w:val="28"/>
          <w:highlight w:val="none"/>
        </w:rPr>
      </w:pPr>
    </w:p>
    <w:p w14:paraId="56C5DB2F">
      <w:pPr>
        <w:rPr>
          <w:rFonts w:hint="eastAsia" w:ascii="宋体" w:hAnsi="宋体"/>
          <w:b/>
          <w:bCs/>
          <w:color w:val="auto"/>
          <w:sz w:val="28"/>
          <w:highlight w:val="none"/>
        </w:rPr>
      </w:pPr>
    </w:p>
    <w:p w14:paraId="6F038AA2">
      <w:pPr>
        <w:jc w:val="center"/>
        <w:rPr>
          <w:rFonts w:hint="eastAsia" w:ascii="宋体" w:hAnsi="宋体"/>
          <w:b/>
          <w:bCs/>
          <w:color w:val="auto"/>
          <w:sz w:val="28"/>
          <w:highlight w:val="none"/>
        </w:rPr>
      </w:pPr>
    </w:p>
    <w:p w14:paraId="6337DA40">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3CD7C14D">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52CC132C">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2FA1C41F">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321458E9">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68CD96F8">
      <w:pPr>
        <w:spacing w:line="480" w:lineRule="auto"/>
        <w:jc w:val="center"/>
        <w:rPr>
          <w:rFonts w:hint="eastAsia" w:ascii="宋体" w:hAnsi="宋体" w:cs="宋体"/>
          <w:b/>
          <w:color w:val="auto"/>
          <w:sz w:val="48"/>
          <w:highlight w:val="none"/>
        </w:rPr>
      </w:pPr>
    </w:p>
    <w:p w14:paraId="01539799">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ACD5CF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EDC1CE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671E97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72B7093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1555A61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740383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0A4016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4D142DC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D80E8FF">
      <w:pPr>
        <w:spacing w:line="360" w:lineRule="auto"/>
        <w:rPr>
          <w:rFonts w:hint="eastAsia" w:ascii="宋体" w:hAnsi="宋体" w:cs="宋体"/>
          <w:color w:val="auto"/>
          <w:sz w:val="24"/>
          <w:highlight w:val="none"/>
        </w:rPr>
      </w:pPr>
    </w:p>
    <w:p w14:paraId="44BD0163">
      <w:pPr>
        <w:spacing w:line="360" w:lineRule="auto"/>
        <w:rPr>
          <w:rFonts w:hint="eastAsia" w:ascii="宋体" w:hAnsi="宋体" w:cs="宋体"/>
          <w:color w:val="auto"/>
          <w:sz w:val="24"/>
          <w:highlight w:val="none"/>
        </w:rPr>
      </w:pPr>
    </w:p>
    <w:p w14:paraId="587D9095">
      <w:pPr>
        <w:spacing w:line="360" w:lineRule="auto"/>
        <w:rPr>
          <w:rFonts w:hint="eastAsia" w:ascii="宋体" w:hAnsi="宋体" w:cs="宋体"/>
          <w:color w:val="auto"/>
          <w:sz w:val="24"/>
          <w:highlight w:val="none"/>
        </w:rPr>
      </w:pPr>
    </w:p>
    <w:p w14:paraId="40DB9DF3">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259631F1">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7FDFFF34">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6482574">
      <w:pPr>
        <w:spacing w:line="360" w:lineRule="auto"/>
        <w:rPr>
          <w:rFonts w:hint="eastAsia" w:ascii="宋体" w:hAnsi="宋体" w:cs="宋体"/>
          <w:color w:val="auto"/>
          <w:sz w:val="24"/>
          <w:highlight w:val="none"/>
        </w:rPr>
      </w:pPr>
    </w:p>
    <w:p w14:paraId="0383E97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代表参加投标的。</w:t>
      </w:r>
    </w:p>
    <w:p w14:paraId="13F2C37A">
      <w:pPr>
        <w:jc w:val="center"/>
        <w:rPr>
          <w:rFonts w:hint="eastAsia" w:ascii="宋体" w:hAnsi="宋体" w:cs="宋体"/>
          <w:b/>
          <w:bCs/>
          <w:color w:val="auto"/>
          <w:sz w:val="36"/>
          <w:highlight w:val="none"/>
        </w:rPr>
      </w:pPr>
    </w:p>
    <w:p w14:paraId="14B26EC2">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2D58B45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67F1D951">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63394AD8">
      <w:pPr>
        <w:pStyle w:val="19"/>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06C10C46">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29CA762F">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641E49D3">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4E2B17FE">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7.在招标、投标、报名、开标、评标、询标、中标、签订合同、合同备案等招投标全过程中提供的资料均真实、有效，不弄虚作假。</w:t>
      </w:r>
    </w:p>
    <w:p w14:paraId="27D68AE2">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w:t>
      </w:r>
      <w:r>
        <w:rPr>
          <w:rFonts w:hint="eastAsia" w:hAnsi="宋体" w:cs="宋体"/>
          <w:color w:val="auto"/>
          <w:sz w:val="24"/>
          <w:szCs w:val="24"/>
          <w:highlight w:val="none"/>
          <w:lang w:eastAsia="zh-CN"/>
        </w:rPr>
        <w:t>（</w:t>
      </w:r>
      <w:r>
        <w:rPr>
          <w:rFonts w:hint="eastAsia" w:hAnsi="宋体" w:cs="宋体"/>
          <w:color w:val="auto"/>
          <w:sz w:val="24"/>
          <w:szCs w:val="24"/>
          <w:highlight w:val="none"/>
        </w:rPr>
        <w:t>如果有的话</w:t>
      </w:r>
      <w:r>
        <w:rPr>
          <w:rFonts w:hint="eastAsia" w:hAnsi="宋体" w:cs="宋体"/>
          <w:color w:val="auto"/>
          <w:sz w:val="24"/>
          <w:szCs w:val="24"/>
          <w:highlight w:val="none"/>
          <w:lang w:eastAsia="zh-CN"/>
        </w:rPr>
        <w:t>）</w:t>
      </w:r>
      <w:r>
        <w:rPr>
          <w:rFonts w:hint="eastAsia" w:hAnsi="宋体" w:cs="宋体"/>
          <w:color w:val="auto"/>
          <w:sz w:val="24"/>
          <w:szCs w:val="24"/>
          <w:highlight w:val="none"/>
        </w:rPr>
        <w:t>，及有关附件，我方同意放弃提出含糊不清或误解的权力。 </w:t>
      </w:r>
    </w:p>
    <w:p w14:paraId="4959CDE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4930A586">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335E0B8C">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5ED1275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6A8AF1AD">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3FF79D17">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6E84A9C5">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w:t>
      </w:r>
      <w:r>
        <w:rPr>
          <w:rFonts w:hint="eastAsia" w:hAnsi="宋体" w:cs="宋体"/>
          <w:color w:val="auto"/>
          <w:sz w:val="24"/>
          <w:szCs w:val="24"/>
          <w:highlight w:val="none"/>
          <w:lang w:val="en-US" w:eastAsia="zh-CN"/>
        </w:rPr>
        <w:t>代表</w:t>
      </w:r>
      <w:r>
        <w:rPr>
          <w:rFonts w:hint="eastAsia" w:hAnsi="宋体" w:cs="宋体"/>
          <w:color w:val="auto"/>
          <w:sz w:val="24"/>
          <w:szCs w:val="24"/>
          <w:highlight w:val="none"/>
        </w:rPr>
        <w:t>我单位真实意见，愿承担任何责任。若有任何弄虚作假内容或未遵守上述约定的，经查实后，愿意放弃投标及中标资格。如我单位违反上述承诺事项，无条件接受市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246ECB77">
      <w:pPr>
        <w:rPr>
          <w:rFonts w:hint="eastAsia"/>
          <w:color w:val="auto"/>
          <w:sz w:val="24"/>
          <w:szCs w:val="24"/>
          <w:highlight w:val="none"/>
        </w:rPr>
      </w:pPr>
    </w:p>
    <w:p w14:paraId="49812F3C">
      <w:pPr>
        <w:pStyle w:val="19"/>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763ECE7A">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26C4D2F7">
      <w:pPr>
        <w:jc w:val="center"/>
        <w:rPr>
          <w:rFonts w:hint="eastAsia" w:ascii="宋体" w:hAnsi="宋体" w:cs="宋体"/>
          <w:b/>
          <w:bCs/>
          <w:sz w:val="36"/>
        </w:rPr>
      </w:pPr>
      <w:r>
        <w:rPr>
          <w:rFonts w:hint="eastAsia" w:ascii="宋体" w:hAnsi="宋体" w:cs="宋体"/>
          <w:b/>
          <w:bCs/>
          <w:sz w:val="36"/>
        </w:rPr>
        <w:t>货物简要说明一览表</w:t>
      </w:r>
    </w:p>
    <w:p w14:paraId="64608737">
      <w:pPr>
        <w:spacing w:before="156" w:beforeLines="50" w:after="156" w:afterLines="50"/>
        <w:rPr>
          <w:rFonts w:hint="eastAsia" w:ascii="宋体" w:hAnsi="宋体" w:cs="宋体"/>
          <w:sz w:val="24"/>
        </w:rPr>
      </w:pPr>
      <w:r>
        <w:rPr>
          <w:rFonts w:hint="eastAsia" w:ascii="宋体" w:hAnsi="宋体" w:cs="宋体"/>
          <w:sz w:val="24"/>
        </w:rPr>
        <w:t>投标方名称（</w:t>
      </w:r>
      <w:r>
        <w:rPr>
          <w:rFonts w:hint="eastAsia" w:ascii="宋体" w:hAnsi="宋体" w:cs="宋体"/>
          <w:sz w:val="24"/>
          <w:lang w:val="en-US" w:eastAsia="zh-CN"/>
        </w:rPr>
        <w:t>盖</w:t>
      </w:r>
      <w:r>
        <w:rPr>
          <w:rFonts w:hint="eastAsia" w:ascii="宋体" w:hAnsi="宋体" w:cs="宋体"/>
          <w:sz w:val="24"/>
        </w:rPr>
        <w:t xml:space="preserve">电子签章）：___________________        </w:t>
      </w:r>
      <w:r>
        <w:rPr>
          <w:rFonts w:hint="eastAsia" w:ascii="宋体" w:hAnsi="宋体" w:cs="宋体"/>
          <w:bCs/>
          <w:sz w:val="24"/>
        </w:rPr>
        <w:t>采购</w:t>
      </w:r>
      <w:r>
        <w:rPr>
          <w:rFonts w:hint="eastAsia" w:ascii="宋体" w:hAnsi="宋体" w:cs="宋体"/>
          <w:sz w:val="24"/>
        </w:rPr>
        <w:t>编号：_____________</w:t>
      </w:r>
    </w:p>
    <w:p w14:paraId="3E28D555">
      <w:pPr>
        <w:tabs>
          <w:tab w:val="left" w:pos="360"/>
        </w:tabs>
        <w:spacing w:line="360" w:lineRule="auto"/>
        <w:rPr>
          <w:rFonts w:hint="eastAsia"/>
          <w:bCs/>
          <w:color w:val="auto"/>
          <w:sz w:val="24"/>
          <w:szCs w:val="28"/>
          <w:highlight w:val="none"/>
          <w:u w:val="single"/>
        </w:rPr>
      </w:pPr>
      <w:r>
        <w:rPr>
          <w:rFonts w:hint="eastAsia"/>
          <w:bCs/>
          <w:color w:val="auto"/>
          <w:sz w:val="24"/>
          <w:szCs w:val="28"/>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7AB0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4E51CBD">
            <w:pPr>
              <w:spacing w:line="360" w:lineRule="auto"/>
              <w:jc w:val="center"/>
              <w:rPr>
                <w:rFonts w:hint="eastAsia" w:ascii="宋体" w:hAnsi="宋体" w:cs="宋体"/>
                <w:b/>
                <w:bCs/>
                <w:sz w:val="24"/>
              </w:rPr>
            </w:pPr>
            <w:r>
              <w:rPr>
                <w:rFonts w:hint="eastAsia" w:ascii="宋体" w:hAnsi="宋体" w:cs="宋体"/>
                <w:b/>
                <w:bCs/>
                <w:sz w:val="24"/>
              </w:rPr>
              <w:t>序号</w:t>
            </w:r>
          </w:p>
        </w:tc>
        <w:tc>
          <w:tcPr>
            <w:tcW w:w="1260" w:type="dxa"/>
            <w:noWrap w:val="0"/>
            <w:vAlign w:val="top"/>
          </w:tcPr>
          <w:p w14:paraId="51289711">
            <w:pPr>
              <w:spacing w:line="360" w:lineRule="auto"/>
              <w:jc w:val="center"/>
              <w:rPr>
                <w:rFonts w:hint="eastAsia" w:ascii="宋体" w:hAnsi="宋体" w:cs="宋体"/>
                <w:b/>
                <w:bCs/>
                <w:sz w:val="24"/>
              </w:rPr>
            </w:pPr>
            <w:r>
              <w:rPr>
                <w:rFonts w:hint="eastAsia" w:ascii="宋体" w:hAnsi="宋体" w:cs="宋体"/>
                <w:b/>
                <w:bCs/>
                <w:sz w:val="24"/>
              </w:rPr>
              <w:t>产品名称</w:t>
            </w:r>
          </w:p>
        </w:tc>
        <w:tc>
          <w:tcPr>
            <w:tcW w:w="855" w:type="dxa"/>
            <w:noWrap w:val="0"/>
            <w:vAlign w:val="center"/>
          </w:tcPr>
          <w:p w14:paraId="55924385">
            <w:pPr>
              <w:spacing w:line="360" w:lineRule="auto"/>
              <w:jc w:val="center"/>
              <w:rPr>
                <w:rFonts w:hint="eastAsia" w:ascii="宋体" w:hAnsi="宋体" w:cs="宋体"/>
                <w:b/>
                <w:bCs/>
                <w:sz w:val="24"/>
              </w:rPr>
            </w:pPr>
            <w:r>
              <w:rPr>
                <w:rFonts w:hint="eastAsia" w:ascii="宋体" w:hAnsi="宋体" w:cs="宋体"/>
                <w:b/>
                <w:bCs/>
                <w:sz w:val="24"/>
              </w:rPr>
              <w:t>产地</w:t>
            </w:r>
          </w:p>
        </w:tc>
        <w:tc>
          <w:tcPr>
            <w:tcW w:w="2745" w:type="dxa"/>
            <w:noWrap w:val="0"/>
            <w:vAlign w:val="center"/>
          </w:tcPr>
          <w:p w14:paraId="71F11182">
            <w:pPr>
              <w:spacing w:line="360" w:lineRule="auto"/>
              <w:jc w:val="center"/>
              <w:rPr>
                <w:rFonts w:hint="eastAsia" w:ascii="宋体" w:hAnsi="宋体" w:cs="宋体"/>
                <w:b/>
                <w:bCs/>
                <w:sz w:val="24"/>
              </w:rPr>
            </w:pPr>
            <w:r>
              <w:rPr>
                <w:rFonts w:hint="eastAsia" w:ascii="宋体" w:hAnsi="宋体" w:cs="宋体"/>
                <w:b/>
                <w:bCs/>
                <w:sz w:val="24"/>
              </w:rPr>
              <w:t>型号规格及技术参数</w:t>
            </w:r>
          </w:p>
        </w:tc>
        <w:tc>
          <w:tcPr>
            <w:tcW w:w="825" w:type="dxa"/>
            <w:noWrap w:val="0"/>
            <w:vAlign w:val="center"/>
          </w:tcPr>
          <w:p w14:paraId="0A44833A">
            <w:pPr>
              <w:spacing w:line="360" w:lineRule="auto"/>
              <w:jc w:val="center"/>
              <w:rPr>
                <w:rFonts w:hint="eastAsia" w:ascii="宋体" w:hAnsi="宋体" w:cs="宋体"/>
                <w:b/>
                <w:bCs/>
                <w:sz w:val="24"/>
              </w:rPr>
            </w:pPr>
            <w:r>
              <w:rPr>
                <w:rFonts w:hint="eastAsia" w:ascii="宋体" w:hAnsi="宋体" w:cs="宋体"/>
                <w:b/>
                <w:bCs/>
                <w:sz w:val="24"/>
              </w:rPr>
              <w:t>数量</w:t>
            </w:r>
          </w:p>
        </w:tc>
        <w:tc>
          <w:tcPr>
            <w:tcW w:w="2955" w:type="dxa"/>
            <w:noWrap w:val="0"/>
            <w:vAlign w:val="center"/>
          </w:tcPr>
          <w:p w14:paraId="0EB372BB">
            <w:pPr>
              <w:jc w:val="center"/>
              <w:rPr>
                <w:rFonts w:hint="eastAsia" w:ascii="宋体" w:hAnsi="宋体" w:cs="宋体"/>
                <w:b/>
                <w:bCs/>
                <w:sz w:val="24"/>
              </w:rPr>
            </w:pPr>
            <w:r>
              <w:rPr>
                <w:rFonts w:hint="eastAsia" w:ascii="宋体" w:hAnsi="宋体" w:cs="宋体"/>
                <w:b/>
                <w:bCs/>
                <w:sz w:val="24"/>
              </w:rPr>
              <w:t>性能说明及其他</w:t>
            </w:r>
          </w:p>
        </w:tc>
      </w:tr>
      <w:tr w14:paraId="5DCB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52262B7">
            <w:pPr>
              <w:spacing w:line="360" w:lineRule="auto"/>
              <w:jc w:val="center"/>
              <w:rPr>
                <w:rFonts w:hint="eastAsia" w:ascii="宋体" w:hAnsi="宋体" w:cs="宋体"/>
                <w:b/>
                <w:bCs/>
                <w:sz w:val="24"/>
              </w:rPr>
            </w:pPr>
          </w:p>
        </w:tc>
        <w:tc>
          <w:tcPr>
            <w:tcW w:w="1260" w:type="dxa"/>
            <w:noWrap w:val="0"/>
            <w:vAlign w:val="top"/>
          </w:tcPr>
          <w:p w14:paraId="5630019F">
            <w:pPr>
              <w:spacing w:line="360" w:lineRule="auto"/>
              <w:jc w:val="center"/>
              <w:rPr>
                <w:rFonts w:hint="eastAsia" w:ascii="宋体" w:hAnsi="宋体" w:cs="宋体"/>
                <w:b/>
                <w:bCs/>
                <w:sz w:val="24"/>
              </w:rPr>
            </w:pPr>
          </w:p>
        </w:tc>
        <w:tc>
          <w:tcPr>
            <w:tcW w:w="855" w:type="dxa"/>
            <w:noWrap w:val="0"/>
            <w:vAlign w:val="center"/>
          </w:tcPr>
          <w:p w14:paraId="00CFC704">
            <w:pPr>
              <w:spacing w:line="360" w:lineRule="auto"/>
              <w:jc w:val="center"/>
              <w:rPr>
                <w:rFonts w:hint="eastAsia" w:ascii="宋体" w:hAnsi="宋体" w:cs="宋体"/>
                <w:b/>
                <w:bCs/>
                <w:sz w:val="24"/>
              </w:rPr>
            </w:pPr>
          </w:p>
        </w:tc>
        <w:tc>
          <w:tcPr>
            <w:tcW w:w="2745" w:type="dxa"/>
            <w:noWrap w:val="0"/>
            <w:vAlign w:val="center"/>
          </w:tcPr>
          <w:p w14:paraId="7B6DE233">
            <w:pPr>
              <w:spacing w:line="360" w:lineRule="auto"/>
              <w:jc w:val="center"/>
              <w:rPr>
                <w:rFonts w:hint="eastAsia" w:ascii="宋体" w:hAnsi="宋体" w:cs="宋体"/>
                <w:b/>
                <w:bCs/>
                <w:sz w:val="24"/>
              </w:rPr>
            </w:pPr>
          </w:p>
        </w:tc>
        <w:tc>
          <w:tcPr>
            <w:tcW w:w="825" w:type="dxa"/>
            <w:noWrap w:val="0"/>
            <w:vAlign w:val="center"/>
          </w:tcPr>
          <w:p w14:paraId="696357BD">
            <w:pPr>
              <w:spacing w:line="360" w:lineRule="auto"/>
              <w:jc w:val="center"/>
              <w:rPr>
                <w:rFonts w:hint="eastAsia" w:ascii="宋体" w:hAnsi="宋体" w:cs="宋体"/>
                <w:b/>
                <w:bCs/>
                <w:sz w:val="24"/>
              </w:rPr>
            </w:pPr>
          </w:p>
        </w:tc>
        <w:tc>
          <w:tcPr>
            <w:tcW w:w="2955" w:type="dxa"/>
            <w:noWrap w:val="0"/>
            <w:vAlign w:val="top"/>
          </w:tcPr>
          <w:p w14:paraId="62FF4FD8">
            <w:pPr>
              <w:rPr>
                <w:rFonts w:hint="eastAsia" w:ascii="宋体" w:hAnsi="宋体" w:cs="宋体"/>
                <w:sz w:val="24"/>
              </w:rPr>
            </w:pPr>
          </w:p>
        </w:tc>
      </w:tr>
      <w:tr w14:paraId="79E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C9E2BD9">
            <w:pPr>
              <w:spacing w:line="360" w:lineRule="auto"/>
              <w:jc w:val="center"/>
              <w:rPr>
                <w:rFonts w:hint="eastAsia" w:ascii="宋体" w:hAnsi="宋体" w:cs="宋体"/>
                <w:b/>
                <w:bCs/>
                <w:sz w:val="24"/>
              </w:rPr>
            </w:pPr>
          </w:p>
        </w:tc>
        <w:tc>
          <w:tcPr>
            <w:tcW w:w="1260" w:type="dxa"/>
            <w:noWrap w:val="0"/>
            <w:vAlign w:val="top"/>
          </w:tcPr>
          <w:p w14:paraId="0723CD28">
            <w:pPr>
              <w:spacing w:line="360" w:lineRule="auto"/>
              <w:jc w:val="center"/>
              <w:rPr>
                <w:rFonts w:hint="eastAsia" w:ascii="宋体" w:hAnsi="宋体" w:cs="宋体"/>
                <w:b/>
                <w:bCs/>
                <w:sz w:val="24"/>
              </w:rPr>
            </w:pPr>
          </w:p>
        </w:tc>
        <w:tc>
          <w:tcPr>
            <w:tcW w:w="855" w:type="dxa"/>
            <w:noWrap w:val="0"/>
            <w:vAlign w:val="center"/>
          </w:tcPr>
          <w:p w14:paraId="5F02EB92">
            <w:pPr>
              <w:spacing w:line="360" w:lineRule="auto"/>
              <w:jc w:val="center"/>
              <w:rPr>
                <w:rFonts w:hint="eastAsia" w:ascii="宋体" w:hAnsi="宋体" w:cs="宋体"/>
                <w:b/>
                <w:bCs/>
                <w:sz w:val="24"/>
              </w:rPr>
            </w:pPr>
          </w:p>
        </w:tc>
        <w:tc>
          <w:tcPr>
            <w:tcW w:w="2745" w:type="dxa"/>
            <w:noWrap w:val="0"/>
            <w:vAlign w:val="center"/>
          </w:tcPr>
          <w:p w14:paraId="07ADC169">
            <w:pPr>
              <w:spacing w:line="360" w:lineRule="auto"/>
              <w:jc w:val="center"/>
              <w:rPr>
                <w:rFonts w:hint="eastAsia" w:ascii="宋体" w:hAnsi="宋体" w:cs="宋体"/>
                <w:b/>
                <w:bCs/>
                <w:sz w:val="24"/>
              </w:rPr>
            </w:pPr>
          </w:p>
        </w:tc>
        <w:tc>
          <w:tcPr>
            <w:tcW w:w="825" w:type="dxa"/>
            <w:noWrap w:val="0"/>
            <w:vAlign w:val="center"/>
          </w:tcPr>
          <w:p w14:paraId="4F66968E">
            <w:pPr>
              <w:spacing w:line="360" w:lineRule="auto"/>
              <w:jc w:val="center"/>
              <w:rPr>
                <w:rFonts w:hint="eastAsia" w:ascii="宋体" w:hAnsi="宋体" w:cs="宋体"/>
                <w:b/>
                <w:bCs/>
                <w:sz w:val="24"/>
              </w:rPr>
            </w:pPr>
          </w:p>
        </w:tc>
        <w:tc>
          <w:tcPr>
            <w:tcW w:w="2955" w:type="dxa"/>
            <w:noWrap w:val="0"/>
            <w:vAlign w:val="top"/>
          </w:tcPr>
          <w:p w14:paraId="1537FF19">
            <w:pPr>
              <w:rPr>
                <w:rFonts w:hint="eastAsia" w:ascii="宋体" w:hAnsi="宋体" w:cs="宋体"/>
                <w:sz w:val="24"/>
              </w:rPr>
            </w:pPr>
          </w:p>
        </w:tc>
      </w:tr>
      <w:tr w14:paraId="6C1E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B75301C">
            <w:pPr>
              <w:spacing w:line="360" w:lineRule="auto"/>
              <w:jc w:val="center"/>
              <w:rPr>
                <w:rFonts w:hint="eastAsia" w:ascii="宋体" w:hAnsi="宋体" w:cs="宋体"/>
                <w:b/>
                <w:bCs/>
                <w:sz w:val="24"/>
              </w:rPr>
            </w:pPr>
          </w:p>
        </w:tc>
        <w:tc>
          <w:tcPr>
            <w:tcW w:w="1260" w:type="dxa"/>
            <w:noWrap w:val="0"/>
            <w:vAlign w:val="top"/>
          </w:tcPr>
          <w:p w14:paraId="66F65BC4">
            <w:pPr>
              <w:spacing w:line="360" w:lineRule="auto"/>
              <w:jc w:val="center"/>
              <w:rPr>
                <w:rFonts w:hint="eastAsia" w:ascii="宋体" w:hAnsi="宋体" w:cs="宋体"/>
                <w:b/>
                <w:bCs/>
                <w:sz w:val="24"/>
              </w:rPr>
            </w:pPr>
          </w:p>
        </w:tc>
        <w:tc>
          <w:tcPr>
            <w:tcW w:w="855" w:type="dxa"/>
            <w:noWrap w:val="0"/>
            <w:vAlign w:val="center"/>
          </w:tcPr>
          <w:p w14:paraId="1E80EF8A">
            <w:pPr>
              <w:spacing w:line="360" w:lineRule="auto"/>
              <w:jc w:val="center"/>
              <w:rPr>
                <w:rFonts w:hint="eastAsia" w:ascii="宋体" w:hAnsi="宋体" w:cs="宋体"/>
                <w:b/>
                <w:bCs/>
                <w:sz w:val="24"/>
              </w:rPr>
            </w:pPr>
          </w:p>
        </w:tc>
        <w:tc>
          <w:tcPr>
            <w:tcW w:w="2745" w:type="dxa"/>
            <w:noWrap w:val="0"/>
            <w:vAlign w:val="center"/>
          </w:tcPr>
          <w:p w14:paraId="7ACC8A8F">
            <w:pPr>
              <w:spacing w:line="360" w:lineRule="auto"/>
              <w:jc w:val="center"/>
              <w:rPr>
                <w:rFonts w:hint="eastAsia" w:ascii="宋体" w:hAnsi="宋体" w:cs="宋体"/>
                <w:b/>
                <w:bCs/>
                <w:sz w:val="24"/>
              </w:rPr>
            </w:pPr>
          </w:p>
        </w:tc>
        <w:tc>
          <w:tcPr>
            <w:tcW w:w="825" w:type="dxa"/>
            <w:noWrap w:val="0"/>
            <w:vAlign w:val="center"/>
          </w:tcPr>
          <w:p w14:paraId="4976B4CE">
            <w:pPr>
              <w:spacing w:line="360" w:lineRule="auto"/>
              <w:jc w:val="center"/>
              <w:rPr>
                <w:rFonts w:hint="eastAsia" w:ascii="宋体" w:hAnsi="宋体" w:cs="宋体"/>
                <w:b/>
                <w:bCs/>
                <w:sz w:val="24"/>
              </w:rPr>
            </w:pPr>
          </w:p>
        </w:tc>
        <w:tc>
          <w:tcPr>
            <w:tcW w:w="2955" w:type="dxa"/>
            <w:noWrap w:val="0"/>
            <w:vAlign w:val="top"/>
          </w:tcPr>
          <w:p w14:paraId="09783D85">
            <w:pPr>
              <w:rPr>
                <w:rFonts w:hint="eastAsia" w:ascii="宋体" w:hAnsi="宋体" w:cs="宋体"/>
                <w:sz w:val="24"/>
              </w:rPr>
            </w:pPr>
          </w:p>
        </w:tc>
      </w:tr>
      <w:tr w14:paraId="727E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A908835">
            <w:pPr>
              <w:spacing w:line="360" w:lineRule="auto"/>
              <w:jc w:val="center"/>
              <w:rPr>
                <w:rFonts w:hint="eastAsia" w:ascii="宋体" w:hAnsi="宋体" w:cs="宋体"/>
                <w:b/>
                <w:bCs/>
                <w:sz w:val="24"/>
              </w:rPr>
            </w:pPr>
          </w:p>
        </w:tc>
        <w:tc>
          <w:tcPr>
            <w:tcW w:w="1260" w:type="dxa"/>
            <w:noWrap w:val="0"/>
            <w:vAlign w:val="top"/>
          </w:tcPr>
          <w:p w14:paraId="61133C10">
            <w:pPr>
              <w:spacing w:line="360" w:lineRule="auto"/>
              <w:jc w:val="center"/>
              <w:rPr>
                <w:rFonts w:hint="eastAsia" w:ascii="宋体" w:hAnsi="宋体" w:cs="宋体"/>
                <w:b/>
                <w:bCs/>
                <w:sz w:val="24"/>
              </w:rPr>
            </w:pPr>
          </w:p>
        </w:tc>
        <w:tc>
          <w:tcPr>
            <w:tcW w:w="855" w:type="dxa"/>
            <w:noWrap w:val="0"/>
            <w:vAlign w:val="center"/>
          </w:tcPr>
          <w:p w14:paraId="6B2756C3">
            <w:pPr>
              <w:spacing w:line="360" w:lineRule="auto"/>
              <w:jc w:val="center"/>
              <w:rPr>
                <w:rFonts w:hint="eastAsia" w:ascii="宋体" w:hAnsi="宋体" w:cs="宋体"/>
                <w:b/>
                <w:bCs/>
                <w:sz w:val="24"/>
              </w:rPr>
            </w:pPr>
          </w:p>
        </w:tc>
        <w:tc>
          <w:tcPr>
            <w:tcW w:w="2745" w:type="dxa"/>
            <w:noWrap w:val="0"/>
            <w:vAlign w:val="center"/>
          </w:tcPr>
          <w:p w14:paraId="36C3E8C8">
            <w:pPr>
              <w:spacing w:line="360" w:lineRule="auto"/>
              <w:jc w:val="center"/>
              <w:rPr>
                <w:rFonts w:hint="eastAsia" w:ascii="宋体" w:hAnsi="宋体" w:cs="宋体"/>
                <w:b/>
                <w:bCs/>
                <w:sz w:val="24"/>
              </w:rPr>
            </w:pPr>
          </w:p>
        </w:tc>
        <w:tc>
          <w:tcPr>
            <w:tcW w:w="825" w:type="dxa"/>
            <w:noWrap w:val="0"/>
            <w:vAlign w:val="center"/>
          </w:tcPr>
          <w:p w14:paraId="0A457C05">
            <w:pPr>
              <w:spacing w:line="360" w:lineRule="auto"/>
              <w:jc w:val="center"/>
              <w:rPr>
                <w:rFonts w:hint="eastAsia" w:ascii="宋体" w:hAnsi="宋体" w:cs="宋体"/>
                <w:b/>
                <w:bCs/>
                <w:sz w:val="24"/>
              </w:rPr>
            </w:pPr>
          </w:p>
        </w:tc>
        <w:tc>
          <w:tcPr>
            <w:tcW w:w="2955" w:type="dxa"/>
            <w:noWrap w:val="0"/>
            <w:vAlign w:val="top"/>
          </w:tcPr>
          <w:p w14:paraId="7C9C65D0">
            <w:pPr>
              <w:rPr>
                <w:rFonts w:hint="eastAsia" w:ascii="宋体" w:hAnsi="宋体" w:cs="宋体"/>
                <w:sz w:val="24"/>
              </w:rPr>
            </w:pPr>
          </w:p>
        </w:tc>
      </w:tr>
      <w:tr w14:paraId="46B6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BD8A3C2">
            <w:pPr>
              <w:spacing w:line="360" w:lineRule="auto"/>
              <w:jc w:val="center"/>
              <w:rPr>
                <w:rFonts w:hint="eastAsia" w:ascii="宋体" w:hAnsi="宋体" w:cs="宋体"/>
                <w:b/>
                <w:bCs/>
                <w:sz w:val="24"/>
              </w:rPr>
            </w:pPr>
          </w:p>
        </w:tc>
        <w:tc>
          <w:tcPr>
            <w:tcW w:w="1260" w:type="dxa"/>
            <w:noWrap w:val="0"/>
            <w:vAlign w:val="top"/>
          </w:tcPr>
          <w:p w14:paraId="4C847518">
            <w:pPr>
              <w:spacing w:line="360" w:lineRule="auto"/>
              <w:jc w:val="center"/>
              <w:rPr>
                <w:rFonts w:hint="eastAsia" w:ascii="宋体" w:hAnsi="宋体" w:cs="宋体"/>
                <w:b/>
                <w:bCs/>
                <w:sz w:val="24"/>
              </w:rPr>
            </w:pPr>
          </w:p>
        </w:tc>
        <w:tc>
          <w:tcPr>
            <w:tcW w:w="855" w:type="dxa"/>
            <w:noWrap w:val="0"/>
            <w:vAlign w:val="center"/>
          </w:tcPr>
          <w:p w14:paraId="040CE0DD">
            <w:pPr>
              <w:spacing w:line="360" w:lineRule="auto"/>
              <w:jc w:val="center"/>
              <w:rPr>
                <w:rFonts w:hint="eastAsia" w:ascii="宋体" w:hAnsi="宋体" w:cs="宋体"/>
                <w:b/>
                <w:bCs/>
                <w:sz w:val="24"/>
              </w:rPr>
            </w:pPr>
          </w:p>
        </w:tc>
        <w:tc>
          <w:tcPr>
            <w:tcW w:w="2745" w:type="dxa"/>
            <w:noWrap w:val="0"/>
            <w:vAlign w:val="center"/>
          </w:tcPr>
          <w:p w14:paraId="248BE57C">
            <w:pPr>
              <w:spacing w:line="360" w:lineRule="auto"/>
              <w:jc w:val="center"/>
              <w:rPr>
                <w:rFonts w:hint="eastAsia" w:ascii="宋体" w:hAnsi="宋体" w:cs="宋体"/>
                <w:b/>
                <w:bCs/>
                <w:sz w:val="24"/>
              </w:rPr>
            </w:pPr>
          </w:p>
        </w:tc>
        <w:tc>
          <w:tcPr>
            <w:tcW w:w="825" w:type="dxa"/>
            <w:noWrap w:val="0"/>
            <w:vAlign w:val="center"/>
          </w:tcPr>
          <w:p w14:paraId="4729C3B8">
            <w:pPr>
              <w:spacing w:line="360" w:lineRule="auto"/>
              <w:jc w:val="center"/>
              <w:rPr>
                <w:rFonts w:hint="eastAsia" w:ascii="宋体" w:hAnsi="宋体" w:cs="宋体"/>
                <w:b/>
                <w:bCs/>
                <w:sz w:val="24"/>
              </w:rPr>
            </w:pPr>
          </w:p>
        </w:tc>
        <w:tc>
          <w:tcPr>
            <w:tcW w:w="2955" w:type="dxa"/>
            <w:noWrap w:val="0"/>
            <w:vAlign w:val="top"/>
          </w:tcPr>
          <w:p w14:paraId="7A8C87FF">
            <w:pPr>
              <w:rPr>
                <w:rFonts w:hint="eastAsia" w:ascii="宋体" w:hAnsi="宋体" w:cs="宋体"/>
                <w:sz w:val="24"/>
              </w:rPr>
            </w:pPr>
          </w:p>
        </w:tc>
      </w:tr>
      <w:tr w14:paraId="3098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CEFB239">
            <w:pPr>
              <w:spacing w:line="360" w:lineRule="auto"/>
              <w:jc w:val="center"/>
              <w:rPr>
                <w:rFonts w:hint="eastAsia" w:ascii="宋体" w:hAnsi="宋体" w:cs="宋体"/>
                <w:b/>
                <w:bCs/>
                <w:sz w:val="24"/>
              </w:rPr>
            </w:pPr>
          </w:p>
        </w:tc>
        <w:tc>
          <w:tcPr>
            <w:tcW w:w="1260" w:type="dxa"/>
            <w:noWrap w:val="0"/>
            <w:vAlign w:val="top"/>
          </w:tcPr>
          <w:p w14:paraId="017513C0">
            <w:pPr>
              <w:spacing w:line="360" w:lineRule="auto"/>
              <w:jc w:val="center"/>
              <w:rPr>
                <w:rFonts w:hint="eastAsia" w:ascii="宋体" w:hAnsi="宋体" w:cs="宋体"/>
                <w:b/>
                <w:bCs/>
                <w:sz w:val="24"/>
              </w:rPr>
            </w:pPr>
          </w:p>
        </w:tc>
        <w:tc>
          <w:tcPr>
            <w:tcW w:w="855" w:type="dxa"/>
            <w:noWrap w:val="0"/>
            <w:vAlign w:val="center"/>
          </w:tcPr>
          <w:p w14:paraId="234F3810">
            <w:pPr>
              <w:spacing w:line="360" w:lineRule="auto"/>
              <w:jc w:val="center"/>
              <w:rPr>
                <w:rFonts w:hint="eastAsia" w:ascii="宋体" w:hAnsi="宋体" w:cs="宋体"/>
                <w:b/>
                <w:bCs/>
                <w:sz w:val="24"/>
              </w:rPr>
            </w:pPr>
          </w:p>
        </w:tc>
        <w:tc>
          <w:tcPr>
            <w:tcW w:w="2745" w:type="dxa"/>
            <w:noWrap w:val="0"/>
            <w:vAlign w:val="center"/>
          </w:tcPr>
          <w:p w14:paraId="203B5FEC">
            <w:pPr>
              <w:spacing w:line="360" w:lineRule="auto"/>
              <w:jc w:val="center"/>
              <w:rPr>
                <w:rFonts w:hint="eastAsia" w:ascii="宋体" w:hAnsi="宋体" w:cs="宋体"/>
                <w:b/>
                <w:bCs/>
                <w:sz w:val="24"/>
              </w:rPr>
            </w:pPr>
          </w:p>
        </w:tc>
        <w:tc>
          <w:tcPr>
            <w:tcW w:w="825" w:type="dxa"/>
            <w:noWrap w:val="0"/>
            <w:vAlign w:val="center"/>
          </w:tcPr>
          <w:p w14:paraId="723AEB50">
            <w:pPr>
              <w:spacing w:line="360" w:lineRule="auto"/>
              <w:jc w:val="center"/>
              <w:rPr>
                <w:rFonts w:hint="eastAsia" w:ascii="宋体" w:hAnsi="宋体" w:cs="宋体"/>
                <w:b/>
                <w:bCs/>
                <w:sz w:val="24"/>
              </w:rPr>
            </w:pPr>
          </w:p>
        </w:tc>
        <w:tc>
          <w:tcPr>
            <w:tcW w:w="2955" w:type="dxa"/>
            <w:noWrap w:val="0"/>
            <w:vAlign w:val="top"/>
          </w:tcPr>
          <w:p w14:paraId="749A9CA3">
            <w:pPr>
              <w:rPr>
                <w:rFonts w:hint="eastAsia" w:ascii="宋体" w:hAnsi="宋体" w:cs="宋体"/>
                <w:sz w:val="24"/>
              </w:rPr>
            </w:pPr>
          </w:p>
        </w:tc>
      </w:tr>
      <w:tr w14:paraId="7BE3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0B857E2">
            <w:pPr>
              <w:spacing w:line="360" w:lineRule="auto"/>
              <w:jc w:val="center"/>
              <w:rPr>
                <w:rFonts w:hint="eastAsia" w:ascii="宋体" w:hAnsi="宋体" w:cs="宋体"/>
                <w:b/>
                <w:bCs/>
                <w:sz w:val="24"/>
              </w:rPr>
            </w:pPr>
          </w:p>
        </w:tc>
        <w:tc>
          <w:tcPr>
            <w:tcW w:w="1260" w:type="dxa"/>
            <w:noWrap w:val="0"/>
            <w:vAlign w:val="top"/>
          </w:tcPr>
          <w:p w14:paraId="64198501">
            <w:pPr>
              <w:spacing w:line="360" w:lineRule="auto"/>
              <w:jc w:val="center"/>
              <w:rPr>
                <w:rFonts w:hint="eastAsia" w:ascii="宋体" w:hAnsi="宋体" w:cs="宋体"/>
                <w:b/>
                <w:bCs/>
                <w:sz w:val="24"/>
              </w:rPr>
            </w:pPr>
          </w:p>
        </w:tc>
        <w:tc>
          <w:tcPr>
            <w:tcW w:w="855" w:type="dxa"/>
            <w:noWrap w:val="0"/>
            <w:vAlign w:val="center"/>
          </w:tcPr>
          <w:p w14:paraId="091CDECC">
            <w:pPr>
              <w:spacing w:line="360" w:lineRule="auto"/>
              <w:jc w:val="center"/>
              <w:rPr>
                <w:rFonts w:hint="eastAsia" w:ascii="宋体" w:hAnsi="宋体" w:cs="宋体"/>
                <w:b/>
                <w:bCs/>
                <w:sz w:val="24"/>
              </w:rPr>
            </w:pPr>
          </w:p>
        </w:tc>
        <w:tc>
          <w:tcPr>
            <w:tcW w:w="2745" w:type="dxa"/>
            <w:noWrap w:val="0"/>
            <w:vAlign w:val="center"/>
          </w:tcPr>
          <w:p w14:paraId="71F50B3E">
            <w:pPr>
              <w:spacing w:line="360" w:lineRule="auto"/>
              <w:jc w:val="center"/>
              <w:rPr>
                <w:rFonts w:hint="eastAsia" w:ascii="宋体" w:hAnsi="宋体" w:cs="宋体"/>
                <w:b/>
                <w:bCs/>
                <w:sz w:val="24"/>
              </w:rPr>
            </w:pPr>
          </w:p>
        </w:tc>
        <w:tc>
          <w:tcPr>
            <w:tcW w:w="825" w:type="dxa"/>
            <w:noWrap w:val="0"/>
            <w:vAlign w:val="center"/>
          </w:tcPr>
          <w:p w14:paraId="6B093DC6">
            <w:pPr>
              <w:spacing w:line="360" w:lineRule="auto"/>
              <w:jc w:val="center"/>
              <w:rPr>
                <w:rFonts w:hint="eastAsia" w:ascii="宋体" w:hAnsi="宋体" w:cs="宋体"/>
                <w:b/>
                <w:bCs/>
                <w:sz w:val="24"/>
              </w:rPr>
            </w:pPr>
          </w:p>
        </w:tc>
        <w:tc>
          <w:tcPr>
            <w:tcW w:w="2955" w:type="dxa"/>
            <w:noWrap w:val="0"/>
            <w:vAlign w:val="top"/>
          </w:tcPr>
          <w:p w14:paraId="44A70E2D">
            <w:pPr>
              <w:rPr>
                <w:rFonts w:hint="eastAsia" w:ascii="宋体" w:hAnsi="宋体" w:cs="宋体"/>
                <w:sz w:val="24"/>
              </w:rPr>
            </w:pPr>
          </w:p>
        </w:tc>
      </w:tr>
      <w:tr w14:paraId="4C2F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2F06FD1">
            <w:pPr>
              <w:spacing w:line="360" w:lineRule="auto"/>
              <w:jc w:val="center"/>
              <w:rPr>
                <w:rFonts w:hint="eastAsia" w:ascii="宋体" w:hAnsi="宋体" w:cs="宋体"/>
                <w:b/>
                <w:bCs/>
                <w:sz w:val="24"/>
              </w:rPr>
            </w:pPr>
          </w:p>
        </w:tc>
        <w:tc>
          <w:tcPr>
            <w:tcW w:w="1260" w:type="dxa"/>
            <w:noWrap w:val="0"/>
            <w:vAlign w:val="top"/>
          </w:tcPr>
          <w:p w14:paraId="255F4A7F">
            <w:pPr>
              <w:spacing w:line="360" w:lineRule="auto"/>
              <w:jc w:val="center"/>
              <w:rPr>
                <w:rFonts w:hint="eastAsia" w:ascii="宋体" w:hAnsi="宋体" w:cs="宋体"/>
                <w:b/>
                <w:bCs/>
                <w:sz w:val="24"/>
              </w:rPr>
            </w:pPr>
          </w:p>
        </w:tc>
        <w:tc>
          <w:tcPr>
            <w:tcW w:w="855" w:type="dxa"/>
            <w:noWrap w:val="0"/>
            <w:vAlign w:val="center"/>
          </w:tcPr>
          <w:p w14:paraId="4A46237D">
            <w:pPr>
              <w:spacing w:line="360" w:lineRule="auto"/>
              <w:jc w:val="center"/>
              <w:rPr>
                <w:rFonts w:hint="eastAsia" w:ascii="宋体" w:hAnsi="宋体" w:cs="宋体"/>
                <w:b/>
                <w:bCs/>
                <w:sz w:val="24"/>
              </w:rPr>
            </w:pPr>
          </w:p>
        </w:tc>
        <w:tc>
          <w:tcPr>
            <w:tcW w:w="2745" w:type="dxa"/>
            <w:noWrap w:val="0"/>
            <w:vAlign w:val="center"/>
          </w:tcPr>
          <w:p w14:paraId="269BC76E">
            <w:pPr>
              <w:spacing w:line="360" w:lineRule="auto"/>
              <w:jc w:val="center"/>
              <w:rPr>
                <w:rFonts w:hint="eastAsia" w:ascii="宋体" w:hAnsi="宋体" w:cs="宋体"/>
                <w:b/>
                <w:bCs/>
                <w:sz w:val="24"/>
              </w:rPr>
            </w:pPr>
          </w:p>
        </w:tc>
        <w:tc>
          <w:tcPr>
            <w:tcW w:w="825" w:type="dxa"/>
            <w:noWrap w:val="0"/>
            <w:vAlign w:val="center"/>
          </w:tcPr>
          <w:p w14:paraId="329DEE10">
            <w:pPr>
              <w:spacing w:line="360" w:lineRule="auto"/>
              <w:jc w:val="center"/>
              <w:rPr>
                <w:rFonts w:hint="eastAsia" w:ascii="宋体" w:hAnsi="宋体" w:cs="宋体"/>
                <w:b/>
                <w:bCs/>
                <w:sz w:val="24"/>
              </w:rPr>
            </w:pPr>
          </w:p>
        </w:tc>
        <w:tc>
          <w:tcPr>
            <w:tcW w:w="2955" w:type="dxa"/>
            <w:noWrap w:val="0"/>
            <w:vAlign w:val="top"/>
          </w:tcPr>
          <w:p w14:paraId="3412B14B">
            <w:pPr>
              <w:rPr>
                <w:rFonts w:hint="eastAsia" w:ascii="宋体" w:hAnsi="宋体" w:cs="宋体"/>
                <w:sz w:val="24"/>
              </w:rPr>
            </w:pPr>
          </w:p>
        </w:tc>
      </w:tr>
      <w:tr w14:paraId="07C1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ED58531">
            <w:pPr>
              <w:spacing w:line="360" w:lineRule="auto"/>
              <w:jc w:val="center"/>
              <w:rPr>
                <w:rFonts w:hint="eastAsia" w:ascii="宋体" w:hAnsi="宋体" w:cs="宋体"/>
                <w:b/>
                <w:bCs/>
                <w:sz w:val="24"/>
              </w:rPr>
            </w:pPr>
          </w:p>
        </w:tc>
        <w:tc>
          <w:tcPr>
            <w:tcW w:w="1260" w:type="dxa"/>
            <w:noWrap w:val="0"/>
            <w:vAlign w:val="top"/>
          </w:tcPr>
          <w:p w14:paraId="1254B706">
            <w:pPr>
              <w:spacing w:line="360" w:lineRule="auto"/>
              <w:jc w:val="center"/>
              <w:rPr>
                <w:rFonts w:hint="eastAsia" w:ascii="宋体" w:hAnsi="宋体" w:cs="宋体"/>
                <w:b/>
                <w:bCs/>
                <w:sz w:val="24"/>
              </w:rPr>
            </w:pPr>
          </w:p>
        </w:tc>
        <w:tc>
          <w:tcPr>
            <w:tcW w:w="855" w:type="dxa"/>
            <w:noWrap w:val="0"/>
            <w:vAlign w:val="center"/>
          </w:tcPr>
          <w:p w14:paraId="751A97F5">
            <w:pPr>
              <w:spacing w:line="360" w:lineRule="auto"/>
              <w:jc w:val="center"/>
              <w:rPr>
                <w:rFonts w:hint="eastAsia" w:ascii="宋体" w:hAnsi="宋体" w:cs="宋体"/>
                <w:b/>
                <w:bCs/>
                <w:sz w:val="24"/>
              </w:rPr>
            </w:pPr>
          </w:p>
        </w:tc>
        <w:tc>
          <w:tcPr>
            <w:tcW w:w="2745" w:type="dxa"/>
            <w:noWrap w:val="0"/>
            <w:vAlign w:val="center"/>
          </w:tcPr>
          <w:p w14:paraId="6DE97DEE">
            <w:pPr>
              <w:spacing w:line="360" w:lineRule="auto"/>
              <w:jc w:val="center"/>
              <w:rPr>
                <w:rFonts w:hint="eastAsia" w:ascii="宋体" w:hAnsi="宋体" w:cs="宋体"/>
                <w:b/>
                <w:bCs/>
                <w:sz w:val="24"/>
              </w:rPr>
            </w:pPr>
          </w:p>
        </w:tc>
        <w:tc>
          <w:tcPr>
            <w:tcW w:w="825" w:type="dxa"/>
            <w:noWrap w:val="0"/>
            <w:vAlign w:val="center"/>
          </w:tcPr>
          <w:p w14:paraId="5724F918">
            <w:pPr>
              <w:spacing w:line="360" w:lineRule="auto"/>
              <w:jc w:val="center"/>
              <w:rPr>
                <w:rFonts w:hint="eastAsia" w:ascii="宋体" w:hAnsi="宋体" w:cs="宋体"/>
                <w:b/>
                <w:bCs/>
                <w:sz w:val="24"/>
              </w:rPr>
            </w:pPr>
          </w:p>
        </w:tc>
        <w:tc>
          <w:tcPr>
            <w:tcW w:w="2955" w:type="dxa"/>
            <w:noWrap w:val="0"/>
            <w:vAlign w:val="top"/>
          </w:tcPr>
          <w:p w14:paraId="64E64AC6">
            <w:pPr>
              <w:rPr>
                <w:rFonts w:hint="eastAsia" w:ascii="宋体" w:hAnsi="宋体" w:cs="宋体"/>
                <w:sz w:val="24"/>
              </w:rPr>
            </w:pPr>
          </w:p>
        </w:tc>
      </w:tr>
      <w:tr w14:paraId="2916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FD58CB0">
            <w:pPr>
              <w:spacing w:line="360" w:lineRule="auto"/>
              <w:jc w:val="center"/>
              <w:rPr>
                <w:rFonts w:hint="eastAsia" w:ascii="宋体" w:hAnsi="宋体" w:cs="宋体"/>
                <w:b/>
                <w:bCs/>
                <w:sz w:val="24"/>
              </w:rPr>
            </w:pPr>
          </w:p>
        </w:tc>
        <w:tc>
          <w:tcPr>
            <w:tcW w:w="1260" w:type="dxa"/>
            <w:noWrap w:val="0"/>
            <w:vAlign w:val="top"/>
          </w:tcPr>
          <w:p w14:paraId="401117F8">
            <w:pPr>
              <w:spacing w:line="360" w:lineRule="auto"/>
              <w:jc w:val="center"/>
              <w:rPr>
                <w:rFonts w:hint="eastAsia" w:ascii="宋体" w:hAnsi="宋体" w:cs="宋体"/>
                <w:b/>
                <w:bCs/>
                <w:sz w:val="24"/>
              </w:rPr>
            </w:pPr>
          </w:p>
        </w:tc>
        <w:tc>
          <w:tcPr>
            <w:tcW w:w="855" w:type="dxa"/>
            <w:noWrap w:val="0"/>
            <w:vAlign w:val="center"/>
          </w:tcPr>
          <w:p w14:paraId="3C526344">
            <w:pPr>
              <w:spacing w:line="360" w:lineRule="auto"/>
              <w:jc w:val="center"/>
              <w:rPr>
                <w:rFonts w:hint="eastAsia" w:ascii="宋体" w:hAnsi="宋体" w:cs="宋体"/>
                <w:b/>
                <w:bCs/>
                <w:sz w:val="24"/>
              </w:rPr>
            </w:pPr>
          </w:p>
        </w:tc>
        <w:tc>
          <w:tcPr>
            <w:tcW w:w="2745" w:type="dxa"/>
            <w:noWrap w:val="0"/>
            <w:vAlign w:val="center"/>
          </w:tcPr>
          <w:p w14:paraId="48BA75CF">
            <w:pPr>
              <w:spacing w:line="360" w:lineRule="auto"/>
              <w:jc w:val="center"/>
              <w:rPr>
                <w:rFonts w:hint="eastAsia" w:ascii="宋体" w:hAnsi="宋体" w:cs="宋体"/>
                <w:b/>
                <w:bCs/>
                <w:sz w:val="24"/>
              </w:rPr>
            </w:pPr>
          </w:p>
        </w:tc>
        <w:tc>
          <w:tcPr>
            <w:tcW w:w="825" w:type="dxa"/>
            <w:noWrap w:val="0"/>
            <w:vAlign w:val="center"/>
          </w:tcPr>
          <w:p w14:paraId="3D6152B2">
            <w:pPr>
              <w:spacing w:line="360" w:lineRule="auto"/>
              <w:jc w:val="center"/>
              <w:rPr>
                <w:rFonts w:hint="eastAsia" w:ascii="宋体" w:hAnsi="宋体" w:cs="宋体"/>
                <w:b/>
                <w:bCs/>
                <w:sz w:val="24"/>
              </w:rPr>
            </w:pPr>
          </w:p>
        </w:tc>
        <w:tc>
          <w:tcPr>
            <w:tcW w:w="2955" w:type="dxa"/>
            <w:noWrap w:val="0"/>
            <w:vAlign w:val="top"/>
          </w:tcPr>
          <w:p w14:paraId="55A26EBE">
            <w:pPr>
              <w:rPr>
                <w:rFonts w:hint="eastAsia" w:ascii="宋体" w:hAnsi="宋体" w:cs="宋体"/>
                <w:sz w:val="24"/>
              </w:rPr>
            </w:pPr>
          </w:p>
        </w:tc>
      </w:tr>
      <w:tr w14:paraId="3FB6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E9A8C55">
            <w:pPr>
              <w:spacing w:line="360" w:lineRule="auto"/>
              <w:jc w:val="center"/>
              <w:rPr>
                <w:rFonts w:hint="eastAsia" w:ascii="宋体" w:hAnsi="宋体" w:cs="宋体"/>
                <w:b/>
                <w:bCs/>
                <w:sz w:val="24"/>
              </w:rPr>
            </w:pPr>
          </w:p>
        </w:tc>
        <w:tc>
          <w:tcPr>
            <w:tcW w:w="1260" w:type="dxa"/>
            <w:noWrap w:val="0"/>
            <w:vAlign w:val="top"/>
          </w:tcPr>
          <w:p w14:paraId="02605720">
            <w:pPr>
              <w:spacing w:line="360" w:lineRule="auto"/>
              <w:jc w:val="center"/>
              <w:rPr>
                <w:rFonts w:hint="eastAsia" w:ascii="宋体" w:hAnsi="宋体" w:cs="宋体"/>
                <w:b/>
                <w:bCs/>
                <w:sz w:val="24"/>
              </w:rPr>
            </w:pPr>
          </w:p>
        </w:tc>
        <w:tc>
          <w:tcPr>
            <w:tcW w:w="855" w:type="dxa"/>
            <w:noWrap w:val="0"/>
            <w:vAlign w:val="center"/>
          </w:tcPr>
          <w:p w14:paraId="1C106456">
            <w:pPr>
              <w:spacing w:line="360" w:lineRule="auto"/>
              <w:jc w:val="center"/>
              <w:rPr>
                <w:rFonts w:hint="eastAsia" w:ascii="宋体" w:hAnsi="宋体" w:cs="宋体"/>
                <w:b/>
                <w:bCs/>
                <w:sz w:val="24"/>
              </w:rPr>
            </w:pPr>
          </w:p>
        </w:tc>
        <w:tc>
          <w:tcPr>
            <w:tcW w:w="2745" w:type="dxa"/>
            <w:noWrap w:val="0"/>
            <w:vAlign w:val="center"/>
          </w:tcPr>
          <w:p w14:paraId="3892EE67">
            <w:pPr>
              <w:spacing w:line="360" w:lineRule="auto"/>
              <w:jc w:val="center"/>
              <w:rPr>
                <w:rFonts w:hint="eastAsia" w:ascii="宋体" w:hAnsi="宋体" w:cs="宋体"/>
                <w:b/>
                <w:bCs/>
                <w:sz w:val="24"/>
              </w:rPr>
            </w:pPr>
          </w:p>
        </w:tc>
        <w:tc>
          <w:tcPr>
            <w:tcW w:w="825" w:type="dxa"/>
            <w:noWrap w:val="0"/>
            <w:vAlign w:val="center"/>
          </w:tcPr>
          <w:p w14:paraId="2CA2975A">
            <w:pPr>
              <w:spacing w:line="360" w:lineRule="auto"/>
              <w:jc w:val="center"/>
              <w:rPr>
                <w:rFonts w:hint="eastAsia" w:ascii="宋体" w:hAnsi="宋体" w:cs="宋体"/>
                <w:b/>
                <w:bCs/>
                <w:sz w:val="24"/>
              </w:rPr>
            </w:pPr>
          </w:p>
        </w:tc>
        <w:tc>
          <w:tcPr>
            <w:tcW w:w="2955" w:type="dxa"/>
            <w:noWrap w:val="0"/>
            <w:vAlign w:val="top"/>
          </w:tcPr>
          <w:p w14:paraId="0B76BF3E">
            <w:pPr>
              <w:rPr>
                <w:rFonts w:hint="eastAsia" w:ascii="宋体" w:hAnsi="宋体" w:cs="宋体"/>
                <w:sz w:val="24"/>
              </w:rPr>
            </w:pPr>
          </w:p>
        </w:tc>
      </w:tr>
      <w:tr w14:paraId="16E8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EE64B28">
            <w:pPr>
              <w:spacing w:line="360" w:lineRule="auto"/>
              <w:jc w:val="center"/>
              <w:rPr>
                <w:rFonts w:hint="eastAsia" w:ascii="宋体" w:hAnsi="宋体" w:cs="宋体"/>
                <w:b/>
                <w:bCs/>
                <w:sz w:val="24"/>
              </w:rPr>
            </w:pPr>
          </w:p>
        </w:tc>
        <w:tc>
          <w:tcPr>
            <w:tcW w:w="1260" w:type="dxa"/>
            <w:noWrap w:val="0"/>
            <w:vAlign w:val="top"/>
          </w:tcPr>
          <w:p w14:paraId="29CA6232">
            <w:pPr>
              <w:spacing w:line="360" w:lineRule="auto"/>
              <w:jc w:val="center"/>
              <w:rPr>
                <w:rFonts w:hint="eastAsia" w:ascii="宋体" w:hAnsi="宋体" w:cs="宋体"/>
                <w:b/>
                <w:bCs/>
                <w:sz w:val="24"/>
              </w:rPr>
            </w:pPr>
          </w:p>
        </w:tc>
        <w:tc>
          <w:tcPr>
            <w:tcW w:w="855" w:type="dxa"/>
            <w:noWrap w:val="0"/>
            <w:vAlign w:val="center"/>
          </w:tcPr>
          <w:p w14:paraId="3387CC72">
            <w:pPr>
              <w:spacing w:line="360" w:lineRule="auto"/>
              <w:jc w:val="center"/>
              <w:rPr>
                <w:rFonts w:hint="eastAsia" w:ascii="宋体" w:hAnsi="宋体" w:cs="宋体"/>
                <w:b/>
                <w:bCs/>
                <w:sz w:val="24"/>
              </w:rPr>
            </w:pPr>
          </w:p>
        </w:tc>
        <w:tc>
          <w:tcPr>
            <w:tcW w:w="2745" w:type="dxa"/>
            <w:noWrap w:val="0"/>
            <w:vAlign w:val="center"/>
          </w:tcPr>
          <w:p w14:paraId="6F108904">
            <w:pPr>
              <w:spacing w:line="360" w:lineRule="auto"/>
              <w:jc w:val="center"/>
              <w:rPr>
                <w:rFonts w:hint="eastAsia" w:ascii="宋体" w:hAnsi="宋体" w:cs="宋体"/>
                <w:b/>
                <w:bCs/>
                <w:sz w:val="24"/>
              </w:rPr>
            </w:pPr>
          </w:p>
        </w:tc>
        <w:tc>
          <w:tcPr>
            <w:tcW w:w="825" w:type="dxa"/>
            <w:noWrap w:val="0"/>
            <w:vAlign w:val="center"/>
          </w:tcPr>
          <w:p w14:paraId="01C0DD12">
            <w:pPr>
              <w:spacing w:line="360" w:lineRule="auto"/>
              <w:jc w:val="center"/>
              <w:rPr>
                <w:rFonts w:hint="eastAsia" w:ascii="宋体" w:hAnsi="宋体" w:cs="宋体"/>
                <w:b/>
                <w:bCs/>
                <w:sz w:val="24"/>
              </w:rPr>
            </w:pPr>
          </w:p>
        </w:tc>
        <w:tc>
          <w:tcPr>
            <w:tcW w:w="2955" w:type="dxa"/>
            <w:noWrap w:val="0"/>
            <w:vAlign w:val="top"/>
          </w:tcPr>
          <w:p w14:paraId="245BF08A">
            <w:pPr>
              <w:rPr>
                <w:rFonts w:hint="eastAsia" w:ascii="宋体" w:hAnsi="宋体" w:cs="宋体"/>
                <w:sz w:val="24"/>
              </w:rPr>
            </w:pPr>
          </w:p>
        </w:tc>
      </w:tr>
      <w:tr w14:paraId="337F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1108898">
            <w:pPr>
              <w:spacing w:line="360" w:lineRule="auto"/>
              <w:jc w:val="center"/>
              <w:rPr>
                <w:rFonts w:hint="eastAsia" w:ascii="宋体" w:hAnsi="宋体" w:cs="宋体"/>
                <w:b/>
                <w:bCs/>
                <w:sz w:val="24"/>
              </w:rPr>
            </w:pPr>
          </w:p>
        </w:tc>
        <w:tc>
          <w:tcPr>
            <w:tcW w:w="1260" w:type="dxa"/>
            <w:noWrap w:val="0"/>
            <w:vAlign w:val="top"/>
          </w:tcPr>
          <w:p w14:paraId="3DE3A401">
            <w:pPr>
              <w:spacing w:line="360" w:lineRule="auto"/>
              <w:jc w:val="center"/>
              <w:rPr>
                <w:rFonts w:hint="eastAsia" w:ascii="宋体" w:hAnsi="宋体" w:cs="宋体"/>
                <w:b/>
                <w:bCs/>
                <w:sz w:val="24"/>
              </w:rPr>
            </w:pPr>
          </w:p>
        </w:tc>
        <w:tc>
          <w:tcPr>
            <w:tcW w:w="855" w:type="dxa"/>
            <w:noWrap w:val="0"/>
            <w:vAlign w:val="center"/>
          </w:tcPr>
          <w:p w14:paraId="1C80CC67">
            <w:pPr>
              <w:spacing w:line="360" w:lineRule="auto"/>
              <w:jc w:val="center"/>
              <w:rPr>
                <w:rFonts w:hint="eastAsia" w:ascii="宋体" w:hAnsi="宋体" w:cs="宋体"/>
                <w:b/>
                <w:bCs/>
                <w:sz w:val="24"/>
              </w:rPr>
            </w:pPr>
          </w:p>
        </w:tc>
        <w:tc>
          <w:tcPr>
            <w:tcW w:w="2745" w:type="dxa"/>
            <w:noWrap w:val="0"/>
            <w:vAlign w:val="center"/>
          </w:tcPr>
          <w:p w14:paraId="25172F57">
            <w:pPr>
              <w:spacing w:line="360" w:lineRule="auto"/>
              <w:jc w:val="center"/>
              <w:rPr>
                <w:rFonts w:hint="eastAsia" w:ascii="宋体" w:hAnsi="宋体" w:cs="宋体"/>
                <w:b/>
                <w:bCs/>
                <w:sz w:val="24"/>
              </w:rPr>
            </w:pPr>
          </w:p>
        </w:tc>
        <w:tc>
          <w:tcPr>
            <w:tcW w:w="825" w:type="dxa"/>
            <w:noWrap w:val="0"/>
            <w:vAlign w:val="center"/>
          </w:tcPr>
          <w:p w14:paraId="4C293EB1">
            <w:pPr>
              <w:spacing w:line="360" w:lineRule="auto"/>
              <w:jc w:val="center"/>
              <w:rPr>
                <w:rFonts w:hint="eastAsia" w:ascii="宋体" w:hAnsi="宋体" w:cs="宋体"/>
                <w:b/>
                <w:bCs/>
                <w:sz w:val="24"/>
              </w:rPr>
            </w:pPr>
          </w:p>
        </w:tc>
        <w:tc>
          <w:tcPr>
            <w:tcW w:w="2955" w:type="dxa"/>
            <w:noWrap w:val="0"/>
            <w:vAlign w:val="top"/>
          </w:tcPr>
          <w:p w14:paraId="56C3FF5E">
            <w:pPr>
              <w:rPr>
                <w:rFonts w:hint="eastAsia" w:ascii="宋体" w:hAnsi="宋体" w:cs="宋体"/>
                <w:sz w:val="24"/>
              </w:rPr>
            </w:pPr>
          </w:p>
        </w:tc>
      </w:tr>
      <w:tr w14:paraId="4972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D132888">
            <w:pPr>
              <w:spacing w:line="360" w:lineRule="auto"/>
              <w:jc w:val="center"/>
              <w:rPr>
                <w:rFonts w:hint="eastAsia" w:ascii="宋体" w:hAnsi="宋体" w:cs="宋体"/>
                <w:b/>
                <w:bCs/>
                <w:sz w:val="24"/>
              </w:rPr>
            </w:pPr>
          </w:p>
        </w:tc>
        <w:tc>
          <w:tcPr>
            <w:tcW w:w="1260" w:type="dxa"/>
            <w:noWrap w:val="0"/>
            <w:vAlign w:val="top"/>
          </w:tcPr>
          <w:p w14:paraId="449CCEAF">
            <w:pPr>
              <w:spacing w:line="360" w:lineRule="auto"/>
              <w:jc w:val="center"/>
              <w:rPr>
                <w:rFonts w:hint="eastAsia" w:ascii="宋体" w:hAnsi="宋体" w:cs="宋体"/>
                <w:b/>
                <w:bCs/>
                <w:sz w:val="24"/>
              </w:rPr>
            </w:pPr>
          </w:p>
        </w:tc>
        <w:tc>
          <w:tcPr>
            <w:tcW w:w="855" w:type="dxa"/>
            <w:noWrap w:val="0"/>
            <w:vAlign w:val="center"/>
          </w:tcPr>
          <w:p w14:paraId="65F31CAB">
            <w:pPr>
              <w:spacing w:line="360" w:lineRule="auto"/>
              <w:jc w:val="center"/>
              <w:rPr>
                <w:rFonts w:hint="eastAsia" w:ascii="宋体" w:hAnsi="宋体" w:cs="宋体"/>
                <w:b/>
                <w:bCs/>
                <w:sz w:val="24"/>
              </w:rPr>
            </w:pPr>
          </w:p>
        </w:tc>
        <w:tc>
          <w:tcPr>
            <w:tcW w:w="2745" w:type="dxa"/>
            <w:noWrap w:val="0"/>
            <w:vAlign w:val="center"/>
          </w:tcPr>
          <w:p w14:paraId="15AEA206">
            <w:pPr>
              <w:spacing w:line="360" w:lineRule="auto"/>
              <w:jc w:val="center"/>
              <w:rPr>
                <w:rFonts w:hint="eastAsia" w:ascii="宋体" w:hAnsi="宋体" w:cs="宋体"/>
                <w:b/>
                <w:bCs/>
                <w:sz w:val="24"/>
              </w:rPr>
            </w:pPr>
          </w:p>
        </w:tc>
        <w:tc>
          <w:tcPr>
            <w:tcW w:w="825" w:type="dxa"/>
            <w:noWrap w:val="0"/>
            <w:vAlign w:val="center"/>
          </w:tcPr>
          <w:p w14:paraId="11D9D3F0">
            <w:pPr>
              <w:spacing w:line="360" w:lineRule="auto"/>
              <w:jc w:val="center"/>
              <w:rPr>
                <w:rFonts w:hint="eastAsia" w:ascii="宋体" w:hAnsi="宋体" w:cs="宋体"/>
                <w:b/>
                <w:bCs/>
                <w:sz w:val="24"/>
              </w:rPr>
            </w:pPr>
          </w:p>
        </w:tc>
        <w:tc>
          <w:tcPr>
            <w:tcW w:w="2955" w:type="dxa"/>
            <w:noWrap w:val="0"/>
            <w:vAlign w:val="top"/>
          </w:tcPr>
          <w:p w14:paraId="6AAE626E">
            <w:pPr>
              <w:rPr>
                <w:rFonts w:hint="eastAsia" w:ascii="宋体" w:hAnsi="宋体" w:cs="宋体"/>
                <w:sz w:val="24"/>
              </w:rPr>
            </w:pPr>
          </w:p>
        </w:tc>
      </w:tr>
      <w:tr w14:paraId="4762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ED947D0">
            <w:pPr>
              <w:spacing w:line="360" w:lineRule="auto"/>
              <w:jc w:val="center"/>
              <w:rPr>
                <w:rFonts w:hint="eastAsia" w:ascii="宋体" w:hAnsi="宋体" w:cs="宋体"/>
                <w:b/>
                <w:bCs/>
                <w:sz w:val="24"/>
              </w:rPr>
            </w:pPr>
          </w:p>
        </w:tc>
        <w:tc>
          <w:tcPr>
            <w:tcW w:w="1260" w:type="dxa"/>
            <w:noWrap w:val="0"/>
            <w:vAlign w:val="top"/>
          </w:tcPr>
          <w:p w14:paraId="3D2D18B0">
            <w:pPr>
              <w:spacing w:line="360" w:lineRule="auto"/>
              <w:jc w:val="center"/>
              <w:rPr>
                <w:rFonts w:hint="eastAsia" w:ascii="宋体" w:hAnsi="宋体" w:cs="宋体"/>
                <w:b/>
                <w:bCs/>
                <w:sz w:val="24"/>
              </w:rPr>
            </w:pPr>
          </w:p>
        </w:tc>
        <w:tc>
          <w:tcPr>
            <w:tcW w:w="855" w:type="dxa"/>
            <w:noWrap w:val="0"/>
            <w:vAlign w:val="center"/>
          </w:tcPr>
          <w:p w14:paraId="79EEB428">
            <w:pPr>
              <w:spacing w:line="360" w:lineRule="auto"/>
              <w:jc w:val="center"/>
              <w:rPr>
                <w:rFonts w:hint="eastAsia" w:ascii="宋体" w:hAnsi="宋体" w:cs="宋体"/>
                <w:b/>
                <w:bCs/>
                <w:sz w:val="24"/>
              </w:rPr>
            </w:pPr>
          </w:p>
        </w:tc>
        <w:tc>
          <w:tcPr>
            <w:tcW w:w="2745" w:type="dxa"/>
            <w:noWrap w:val="0"/>
            <w:vAlign w:val="center"/>
          </w:tcPr>
          <w:p w14:paraId="0B313700">
            <w:pPr>
              <w:spacing w:line="360" w:lineRule="auto"/>
              <w:jc w:val="center"/>
              <w:rPr>
                <w:rFonts w:hint="eastAsia" w:ascii="宋体" w:hAnsi="宋体" w:cs="宋体"/>
                <w:b/>
                <w:bCs/>
                <w:sz w:val="24"/>
              </w:rPr>
            </w:pPr>
          </w:p>
        </w:tc>
        <w:tc>
          <w:tcPr>
            <w:tcW w:w="825" w:type="dxa"/>
            <w:noWrap w:val="0"/>
            <w:vAlign w:val="center"/>
          </w:tcPr>
          <w:p w14:paraId="33829BAA">
            <w:pPr>
              <w:spacing w:line="360" w:lineRule="auto"/>
              <w:jc w:val="center"/>
              <w:rPr>
                <w:rFonts w:hint="eastAsia" w:ascii="宋体" w:hAnsi="宋体" w:cs="宋体"/>
                <w:b/>
                <w:bCs/>
                <w:sz w:val="24"/>
              </w:rPr>
            </w:pPr>
          </w:p>
        </w:tc>
        <w:tc>
          <w:tcPr>
            <w:tcW w:w="2955" w:type="dxa"/>
            <w:noWrap w:val="0"/>
            <w:vAlign w:val="top"/>
          </w:tcPr>
          <w:p w14:paraId="3F578D95">
            <w:pPr>
              <w:rPr>
                <w:rFonts w:hint="eastAsia" w:ascii="宋体" w:hAnsi="宋体" w:cs="宋体"/>
                <w:sz w:val="24"/>
              </w:rPr>
            </w:pPr>
          </w:p>
        </w:tc>
      </w:tr>
      <w:tr w14:paraId="399B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1D5E2F5">
            <w:pPr>
              <w:spacing w:line="360" w:lineRule="auto"/>
              <w:jc w:val="center"/>
              <w:rPr>
                <w:rFonts w:hint="eastAsia" w:ascii="宋体" w:hAnsi="宋体" w:cs="宋体"/>
                <w:b/>
                <w:bCs/>
                <w:sz w:val="24"/>
              </w:rPr>
            </w:pPr>
          </w:p>
        </w:tc>
        <w:tc>
          <w:tcPr>
            <w:tcW w:w="1260" w:type="dxa"/>
            <w:noWrap w:val="0"/>
            <w:vAlign w:val="top"/>
          </w:tcPr>
          <w:p w14:paraId="2C441802">
            <w:pPr>
              <w:spacing w:line="360" w:lineRule="auto"/>
              <w:jc w:val="center"/>
              <w:rPr>
                <w:rFonts w:hint="eastAsia" w:ascii="宋体" w:hAnsi="宋体" w:cs="宋体"/>
                <w:b/>
                <w:bCs/>
                <w:sz w:val="24"/>
              </w:rPr>
            </w:pPr>
          </w:p>
        </w:tc>
        <w:tc>
          <w:tcPr>
            <w:tcW w:w="855" w:type="dxa"/>
            <w:noWrap w:val="0"/>
            <w:vAlign w:val="center"/>
          </w:tcPr>
          <w:p w14:paraId="16BC8D0E">
            <w:pPr>
              <w:spacing w:line="360" w:lineRule="auto"/>
              <w:jc w:val="center"/>
              <w:rPr>
                <w:rFonts w:hint="eastAsia" w:ascii="宋体" w:hAnsi="宋体" w:cs="宋体"/>
                <w:b/>
                <w:bCs/>
                <w:sz w:val="24"/>
              </w:rPr>
            </w:pPr>
          </w:p>
        </w:tc>
        <w:tc>
          <w:tcPr>
            <w:tcW w:w="2745" w:type="dxa"/>
            <w:noWrap w:val="0"/>
            <w:vAlign w:val="center"/>
          </w:tcPr>
          <w:p w14:paraId="51C86A54">
            <w:pPr>
              <w:spacing w:line="360" w:lineRule="auto"/>
              <w:jc w:val="center"/>
              <w:rPr>
                <w:rFonts w:hint="eastAsia" w:ascii="宋体" w:hAnsi="宋体" w:cs="宋体"/>
                <w:b/>
                <w:bCs/>
                <w:sz w:val="24"/>
              </w:rPr>
            </w:pPr>
          </w:p>
        </w:tc>
        <w:tc>
          <w:tcPr>
            <w:tcW w:w="825" w:type="dxa"/>
            <w:noWrap w:val="0"/>
            <w:vAlign w:val="center"/>
          </w:tcPr>
          <w:p w14:paraId="3FDB171D">
            <w:pPr>
              <w:spacing w:line="360" w:lineRule="auto"/>
              <w:jc w:val="center"/>
              <w:rPr>
                <w:rFonts w:hint="eastAsia" w:ascii="宋体" w:hAnsi="宋体" w:cs="宋体"/>
                <w:b/>
                <w:bCs/>
                <w:sz w:val="24"/>
              </w:rPr>
            </w:pPr>
          </w:p>
        </w:tc>
        <w:tc>
          <w:tcPr>
            <w:tcW w:w="2955" w:type="dxa"/>
            <w:noWrap w:val="0"/>
            <w:vAlign w:val="top"/>
          </w:tcPr>
          <w:p w14:paraId="75651CAC">
            <w:pPr>
              <w:rPr>
                <w:rFonts w:hint="eastAsia" w:ascii="宋体" w:hAnsi="宋体" w:cs="宋体"/>
                <w:sz w:val="24"/>
              </w:rPr>
            </w:pPr>
          </w:p>
        </w:tc>
      </w:tr>
      <w:tr w14:paraId="1699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40AF917">
            <w:pPr>
              <w:spacing w:line="360" w:lineRule="auto"/>
              <w:jc w:val="center"/>
              <w:rPr>
                <w:rFonts w:hint="eastAsia" w:ascii="宋体" w:hAnsi="宋体" w:cs="宋体"/>
                <w:b/>
                <w:bCs/>
                <w:sz w:val="24"/>
              </w:rPr>
            </w:pPr>
          </w:p>
        </w:tc>
        <w:tc>
          <w:tcPr>
            <w:tcW w:w="1260" w:type="dxa"/>
            <w:noWrap w:val="0"/>
            <w:vAlign w:val="top"/>
          </w:tcPr>
          <w:p w14:paraId="3FC1E055">
            <w:pPr>
              <w:spacing w:line="360" w:lineRule="auto"/>
              <w:jc w:val="center"/>
              <w:rPr>
                <w:rFonts w:hint="eastAsia" w:ascii="宋体" w:hAnsi="宋体" w:cs="宋体"/>
                <w:b/>
                <w:bCs/>
                <w:sz w:val="24"/>
              </w:rPr>
            </w:pPr>
          </w:p>
        </w:tc>
        <w:tc>
          <w:tcPr>
            <w:tcW w:w="855" w:type="dxa"/>
            <w:noWrap w:val="0"/>
            <w:vAlign w:val="center"/>
          </w:tcPr>
          <w:p w14:paraId="5BB06980">
            <w:pPr>
              <w:spacing w:line="360" w:lineRule="auto"/>
              <w:jc w:val="center"/>
              <w:rPr>
                <w:rFonts w:hint="eastAsia" w:ascii="宋体" w:hAnsi="宋体" w:cs="宋体"/>
                <w:b/>
                <w:bCs/>
                <w:sz w:val="24"/>
              </w:rPr>
            </w:pPr>
          </w:p>
        </w:tc>
        <w:tc>
          <w:tcPr>
            <w:tcW w:w="2745" w:type="dxa"/>
            <w:noWrap w:val="0"/>
            <w:vAlign w:val="center"/>
          </w:tcPr>
          <w:p w14:paraId="1F351F31">
            <w:pPr>
              <w:spacing w:line="360" w:lineRule="auto"/>
              <w:jc w:val="center"/>
              <w:rPr>
                <w:rFonts w:hint="eastAsia" w:ascii="宋体" w:hAnsi="宋体" w:cs="宋体"/>
                <w:b/>
                <w:bCs/>
                <w:sz w:val="24"/>
              </w:rPr>
            </w:pPr>
          </w:p>
        </w:tc>
        <w:tc>
          <w:tcPr>
            <w:tcW w:w="825" w:type="dxa"/>
            <w:noWrap w:val="0"/>
            <w:vAlign w:val="center"/>
          </w:tcPr>
          <w:p w14:paraId="7D066928">
            <w:pPr>
              <w:spacing w:line="360" w:lineRule="auto"/>
              <w:jc w:val="center"/>
              <w:rPr>
                <w:rFonts w:hint="eastAsia" w:ascii="宋体" w:hAnsi="宋体" w:cs="宋体"/>
                <w:b/>
                <w:bCs/>
                <w:sz w:val="24"/>
              </w:rPr>
            </w:pPr>
          </w:p>
        </w:tc>
        <w:tc>
          <w:tcPr>
            <w:tcW w:w="2955" w:type="dxa"/>
            <w:noWrap w:val="0"/>
            <w:vAlign w:val="top"/>
          </w:tcPr>
          <w:p w14:paraId="732993DE">
            <w:pPr>
              <w:rPr>
                <w:rFonts w:hint="eastAsia" w:ascii="宋体" w:hAnsi="宋体" w:cs="宋体"/>
                <w:sz w:val="24"/>
              </w:rPr>
            </w:pPr>
          </w:p>
        </w:tc>
      </w:tr>
      <w:tr w14:paraId="2710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80312EB">
            <w:pPr>
              <w:spacing w:line="360" w:lineRule="auto"/>
              <w:jc w:val="center"/>
              <w:rPr>
                <w:rFonts w:hint="eastAsia" w:ascii="宋体" w:hAnsi="宋体" w:cs="宋体"/>
                <w:b/>
                <w:bCs/>
                <w:sz w:val="24"/>
              </w:rPr>
            </w:pPr>
          </w:p>
        </w:tc>
        <w:tc>
          <w:tcPr>
            <w:tcW w:w="1260" w:type="dxa"/>
            <w:noWrap w:val="0"/>
            <w:vAlign w:val="top"/>
          </w:tcPr>
          <w:p w14:paraId="54F89837">
            <w:pPr>
              <w:spacing w:line="360" w:lineRule="auto"/>
              <w:jc w:val="center"/>
              <w:rPr>
                <w:rFonts w:hint="eastAsia" w:ascii="宋体" w:hAnsi="宋体" w:cs="宋体"/>
                <w:b/>
                <w:bCs/>
                <w:sz w:val="24"/>
              </w:rPr>
            </w:pPr>
          </w:p>
        </w:tc>
        <w:tc>
          <w:tcPr>
            <w:tcW w:w="855" w:type="dxa"/>
            <w:noWrap w:val="0"/>
            <w:vAlign w:val="center"/>
          </w:tcPr>
          <w:p w14:paraId="537B39AC">
            <w:pPr>
              <w:spacing w:line="360" w:lineRule="auto"/>
              <w:jc w:val="center"/>
              <w:rPr>
                <w:rFonts w:hint="eastAsia" w:ascii="宋体" w:hAnsi="宋体" w:cs="宋体"/>
                <w:b/>
                <w:bCs/>
                <w:sz w:val="24"/>
              </w:rPr>
            </w:pPr>
          </w:p>
        </w:tc>
        <w:tc>
          <w:tcPr>
            <w:tcW w:w="2745" w:type="dxa"/>
            <w:noWrap w:val="0"/>
            <w:vAlign w:val="center"/>
          </w:tcPr>
          <w:p w14:paraId="5A71D3F0">
            <w:pPr>
              <w:spacing w:line="360" w:lineRule="auto"/>
              <w:jc w:val="center"/>
              <w:rPr>
                <w:rFonts w:hint="eastAsia" w:ascii="宋体" w:hAnsi="宋体" w:cs="宋体"/>
                <w:b/>
                <w:bCs/>
                <w:sz w:val="24"/>
              </w:rPr>
            </w:pPr>
          </w:p>
        </w:tc>
        <w:tc>
          <w:tcPr>
            <w:tcW w:w="825" w:type="dxa"/>
            <w:noWrap w:val="0"/>
            <w:vAlign w:val="center"/>
          </w:tcPr>
          <w:p w14:paraId="3159C42A">
            <w:pPr>
              <w:spacing w:line="360" w:lineRule="auto"/>
              <w:jc w:val="center"/>
              <w:rPr>
                <w:rFonts w:hint="eastAsia" w:ascii="宋体" w:hAnsi="宋体" w:cs="宋体"/>
                <w:b/>
                <w:bCs/>
                <w:sz w:val="24"/>
              </w:rPr>
            </w:pPr>
          </w:p>
        </w:tc>
        <w:tc>
          <w:tcPr>
            <w:tcW w:w="2955" w:type="dxa"/>
            <w:noWrap w:val="0"/>
            <w:vAlign w:val="top"/>
          </w:tcPr>
          <w:p w14:paraId="312CF6A2">
            <w:pPr>
              <w:rPr>
                <w:rFonts w:hint="eastAsia" w:ascii="宋体" w:hAnsi="宋体" w:cs="宋体"/>
                <w:sz w:val="24"/>
              </w:rPr>
            </w:pPr>
          </w:p>
        </w:tc>
      </w:tr>
    </w:tbl>
    <w:p w14:paraId="38213321">
      <w:pPr>
        <w:pStyle w:val="19"/>
        <w:spacing w:line="400" w:lineRule="atLeast"/>
        <w:rPr>
          <w:rFonts w:hint="eastAsia" w:hAnsi="宋体" w:cs="宋体"/>
          <w:sz w:val="24"/>
        </w:rPr>
      </w:pPr>
      <w:r>
        <w:rPr>
          <w:rFonts w:hint="eastAsia" w:hAnsi="宋体" w:cs="宋体"/>
          <w:sz w:val="24"/>
        </w:rPr>
        <w:t>投标方代表签字：____________________        职  务:____________</w:t>
      </w:r>
    </w:p>
    <w:p w14:paraId="04E28F36">
      <w:pPr>
        <w:spacing w:line="360" w:lineRule="auto"/>
        <w:rPr>
          <w:rFonts w:hint="eastAsia" w:ascii="宋体" w:hAnsi="宋体" w:cs="宋体"/>
          <w:sz w:val="24"/>
        </w:rPr>
      </w:pPr>
      <w:r>
        <w:rPr>
          <w:rFonts w:hint="eastAsia" w:ascii="宋体" w:hAnsi="宋体" w:cs="宋体"/>
          <w:sz w:val="24"/>
        </w:rPr>
        <w:t>日  期:________________</w:t>
      </w:r>
    </w:p>
    <w:p w14:paraId="6990C123">
      <w:pPr>
        <w:ind w:firstLine="240" w:firstLineChars="100"/>
        <w:rPr>
          <w:rFonts w:hint="eastAsia" w:ascii="宋体" w:hAnsi="宋体" w:cs="宋体"/>
        </w:rPr>
      </w:pPr>
      <w:r>
        <w:rPr>
          <w:rFonts w:hint="eastAsia" w:ascii="宋体" w:hAnsi="宋体" w:cs="宋体"/>
          <w:sz w:val="24"/>
        </w:rPr>
        <w:t>备注:</w:t>
      </w:r>
      <w:r>
        <w:rPr>
          <w:rFonts w:hint="eastAsia" w:ascii="宋体" w:hAnsi="宋体" w:cs="宋体"/>
          <w:b/>
          <w:bCs/>
        </w:rPr>
        <w:t xml:space="preserve"> </w:t>
      </w:r>
      <w:r>
        <w:rPr>
          <w:rFonts w:hint="eastAsia" w:ascii="宋体" w:hAnsi="宋体" w:cs="宋体"/>
        </w:rPr>
        <w:t>1、该表根据前面《招标货物一览表》中所列明货物清单，按每项货物详细填写。</w:t>
      </w:r>
    </w:p>
    <w:p w14:paraId="30FD3C03">
      <w:pPr>
        <w:ind w:firstLine="840" w:firstLineChars="400"/>
        <w:rPr>
          <w:rFonts w:hint="eastAsia" w:ascii="宋体" w:hAnsi="宋体" w:cs="宋体"/>
        </w:rPr>
      </w:pPr>
      <w:r>
        <w:rPr>
          <w:rFonts w:hint="eastAsia" w:ascii="宋体" w:hAnsi="宋体" w:cs="宋体"/>
        </w:rPr>
        <w:t>2、“规格及技术参数”栏中必须写明所投货物化学成分及物理性能参数等技术参数。</w:t>
      </w:r>
    </w:p>
    <w:p w14:paraId="5F3C295C">
      <w:pPr>
        <w:ind w:firstLine="840" w:firstLineChars="400"/>
        <w:rPr>
          <w:rFonts w:hint="eastAsia" w:ascii="宋体" w:hAnsi="宋体" w:cs="宋体"/>
          <w:b/>
          <w:bCs/>
          <w:sz w:val="44"/>
          <w:szCs w:val="44"/>
        </w:rPr>
      </w:pPr>
      <w:r>
        <w:rPr>
          <w:rFonts w:hint="eastAsia" w:ascii="宋体" w:hAnsi="宋体" w:cs="宋体"/>
        </w:rPr>
        <w:t>3、此表可在不改变格式的情况下自行制作。</w:t>
      </w:r>
    </w:p>
    <w:p w14:paraId="5B90D6EC">
      <w:pPr>
        <w:spacing w:line="360" w:lineRule="auto"/>
        <w:ind w:firstLine="2633" w:firstLineChars="596"/>
        <w:rPr>
          <w:rFonts w:hint="eastAsia" w:ascii="宋体" w:hAnsi="Times New Roman" w:cs="Times New Roman"/>
          <w:b/>
          <w:bCs/>
          <w:sz w:val="44"/>
          <w:szCs w:val="44"/>
        </w:rPr>
      </w:pPr>
    </w:p>
    <w:p w14:paraId="5ABCF87F">
      <w:pPr>
        <w:spacing w:line="360" w:lineRule="auto"/>
        <w:rPr>
          <w:rFonts w:hint="eastAsia" w:ascii="宋体" w:hAnsi="Times New Roman" w:cs="Times New Roman"/>
          <w:b/>
          <w:bCs/>
          <w:sz w:val="44"/>
          <w:szCs w:val="44"/>
        </w:rPr>
      </w:pPr>
    </w:p>
    <w:p w14:paraId="0F63BD5C">
      <w:pPr>
        <w:spacing w:line="360" w:lineRule="auto"/>
        <w:jc w:val="center"/>
        <w:rPr>
          <w:rFonts w:ascii="宋体" w:hAnsi="宋体" w:cs="Times New Roman"/>
          <w:b/>
          <w:sz w:val="36"/>
        </w:rPr>
      </w:pPr>
      <w:r>
        <w:rPr>
          <w:rFonts w:hint="eastAsia" w:ascii="宋体" w:hAnsi="Times New Roman" w:cs="Times New Roman"/>
          <w:b/>
          <w:bCs/>
          <w:sz w:val="44"/>
          <w:szCs w:val="44"/>
        </w:rPr>
        <w:t>产品质量保证承诺书</w:t>
      </w:r>
    </w:p>
    <w:p w14:paraId="7C96A155">
      <w:pPr>
        <w:spacing w:line="360" w:lineRule="auto"/>
        <w:rPr>
          <w:rFonts w:ascii="宋体" w:hAnsi="宋体" w:cs="Times New Roman"/>
          <w:b/>
          <w:sz w:val="24"/>
        </w:rPr>
      </w:pPr>
      <w:r>
        <w:rPr>
          <w:rFonts w:hint="eastAsia" w:ascii="宋体" w:hAnsi="宋体" w:cs="Times New Roman"/>
          <w:b/>
          <w:sz w:val="24"/>
        </w:rPr>
        <w:t xml:space="preserve"> </w:t>
      </w:r>
    </w:p>
    <w:p w14:paraId="20B990DD">
      <w:pPr>
        <w:widowControl w:val="0"/>
        <w:snapToGrid w:val="0"/>
        <w:spacing w:after="0" w:line="360" w:lineRule="auto"/>
        <w:jc w:val="both"/>
        <w:rPr>
          <w:rFonts w:ascii="Times New Roman" w:hAnsi="Times New Roman" w:eastAsia="宋体" w:cs="Times New Roman"/>
          <w:kern w:val="2"/>
          <w:sz w:val="24"/>
          <w:szCs w:val="18"/>
          <w:lang w:val="en-US" w:eastAsia="zh-CN" w:bidi="ar-SA"/>
        </w:rPr>
      </w:pPr>
      <w:r>
        <w:rPr>
          <w:rFonts w:hint="eastAsia" w:ascii="Times New Roman" w:hAnsi="Times New Roman" w:eastAsia="宋体" w:cs="Times New Roman"/>
          <w:b/>
          <w:kern w:val="2"/>
          <w:sz w:val="24"/>
          <w:szCs w:val="24"/>
          <w:lang w:val="en-US" w:eastAsia="zh-CN" w:bidi="ar-SA"/>
        </w:rPr>
        <w:t xml:space="preserve">    </w:t>
      </w:r>
      <w:r>
        <w:rPr>
          <w:rFonts w:ascii="Times New Roman" w:hAnsi="Times New Roman" w:eastAsia="宋体" w:cs="Times New Roman"/>
          <w:kern w:val="2"/>
          <w:sz w:val="24"/>
          <w:szCs w:val="18"/>
          <w:lang w:val="en-US" w:eastAsia="zh-CN" w:bidi="ar-SA"/>
        </w:rPr>
        <w:t>根据贵方为</w:t>
      </w:r>
      <w:r>
        <w:rPr>
          <w:rFonts w:hint="eastAsia" w:ascii="Times New Roman" w:hAnsi="Times New Roman" w:eastAsia="宋体" w:cs="Times New Roman"/>
          <w:kern w:val="2"/>
          <w:sz w:val="24"/>
          <w:szCs w:val="18"/>
          <w:u w:val="single"/>
          <w:lang w:val="en-US" w:eastAsia="zh-CN" w:bidi="ar-SA"/>
        </w:rPr>
        <w:t xml:space="preserve">      </w:t>
      </w:r>
      <w:r>
        <w:rPr>
          <w:rFonts w:ascii="Times New Roman" w:hAnsi="Times New Roman" w:eastAsia="宋体" w:cs="Times New Roman"/>
          <w:kern w:val="2"/>
          <w:sz w:val="24"/>
          <w:szCs w:val="18"/>
          <w:lang w:val="en-US" w:eastAsia="zh-CN" w:bidi="ar-SA"/>
        </w:rPr>
        <w:t>年</w:t>
      </w:r>
      <w:r>
        <w:rPr>
          <w:rFonts w:hint="eastAsia" w:ascii="Times New Roman" w:hAnsi="Times New Roman" w:eastAsia="宋体" w:cs="Times New Roman"/>
          <w:kern w:val="2"/>
          <w:sz w:val="24"/>
          <w:szCs w:val="18"/>
          <w:lang w:val="en-US" w:eastAsia="zh-CN" w:bidi="ar-SA"/>
        </w:rPr>
        <w:t xml:space="preserve"> </w:t>
      </w:r>
      <w:r>
        <w:rPr>
          <w:rFonts w:hint="eastAsia" w:ascii="Times New Roman" w:hAnsi="Times New Roman" w:eastAsia="宋体" w:cs="Times New Roman"/>
          <w:kern w:val="2"/>
          <w:sz w:val="24"/>
          <w:szCs w:val="18"/>
          <w:u w:val="single"/>
          <w:lang w:val="en-US" w:eastAsia="zh-CN" w:bidi="ar-SA"/>
        </w:rPr>
        <w:t xml:space="preserve">   </w:t>
      </w:r>
      <w:r>
        <w:rPr>
          <w:rFonts w:ascii="Times New Roman" w:hAnsi="Times New Roman" w:eastAsia="宋体" w:cs="Times New Roman"/>
          <w:kern w:val="2"/>
          <w:sz w:val="24"/>
          <w:szCs w:val="18"/>
          <w:lang w:val="en-US" w:eastAsia="zh-CN" w:bidi="ar-SA"/>
        </w:rPr>
        <w:t>月</w:t>
      </w:r>
      <w:r>
        <w:rPr>
          <w:rFonts w:hint="eastAsia" w:ascii="Times New Roman" w:hAnsi="Times New Roman" w:eastAsia="宋体" w:cs="Times New Roman"/>
          <w:kern w:val="2"/>
          <w:sz w:val="24"/>
          <w:szCs w:val="18"/>
          <w:u w:val="single"/>
          <w:lang w:val="en-US" w:eastAsia="zh-CN" w:bidi="ar-SA"/>
        </w:rPr>
        <w:t xml:space="preserve">   </w:t>
      </w:r>
      <w:r>
        <w:rPr>
          <w:rFonts w:hint="eastAsia" w:ascii="Times New Roman" w:hAnsi="Times New Roman" w:eastAsia="宋体" w:cs="Times New Roman"/>
          <w:kern w:val="2"/>
          <w:sz w:val="24"/>
          <w:szCs w:val="18"/>
          <w:lang w:val="en-US" w:eastAsia="zh-CN" w:bidi="ar-SA"/>
        </w:rPr>
        <w:t>日</w:t>
      </w:r>
      <w:r>
        <w:rPr>
          <w:rFonts w:hint="eastAsia" w:ascii="Times New Roman" w:hAnsi="Times New Roman" w:eastAsia="宋体" w:cs="Times New Roman"/>
          <w:kern w:val="2"/>
          <w:sz w:val="24"/>
          <w:szCs w:val="18"/>
          <w:u w:val="single"/>
          <w:lang w:val="en-US" w:eastAsia="zh-CN" w:bidi="ar-SA"/>
        </w:rPr>
        <w:t xml:space="preserve">          </w:t>
      </w:r>
      <w:r>
        <w:rPr>
          <w:rFonts w:ascii="Times New Roman" w:hAnsi="Times New Roman" w:eastAsia="宋体" w:cs="Times New Roman"/>
          <w:kern w:val="2"/>
          <w:sz w:val="24"/>
          <w:szCs w:val="18"/>
          <w:lang w:val="en-US" w:eastAsia="zh-CN" w:bidi="ar-SA"/>
        </w:rPr>
        <w:t>（</w:t>
      </w:r>
      <w:r>
        <w:rPr>
          <w:rFonts w:hint="eastAsia" w:ascii="Times New Roman" w:hAnsi="Times New Roman" w:eastAsia="宋体" w:cs="Times New Roman"/>
          <w:kern w:val="2"/>
          <w:sz w:val="24"/>
          <w:szCs w:val="18"/>
          <w:lang w:val="en-US" w:eastAsia="zh-CN" w:bidi="ar-SA"/>
        </w:rPr>
        <w:t>采购</w:t>
      </w:r>
      <w:r>
        <w:rPr>
          <w:rFonts w:ascii="Times New Roman" w:hAnsi="Times New Roman" w:eastAsia="宋体" w:cs="Times New Roman"/>
          <w:kern w:val="2"/>
          <w:sz w:val="24"/>
          <w:szCs w:val="18"/>
          <w:lang w:val="en-US" w:eastAsia="zh-CN" w:bidi="ar-SA"/>
        </w:rPr>
        <w:t>编号）招标项目的投标邀请，我</w:t>
      </w:r>
      <w:r>
        <w:rPr>
          <w:rFonts w:hint="eastAsia" w:ascii="Times New Roman" w:hAnsi="Times New Roman" w:eastAsia="宋体" w:cs="Times New Roman"/>
          <w:kern w:val="2"/>
          <w:sz w:val="24"/>
          <w:szCs w:val="18"/>
          <w:lang w:val="en-US" w:eastAsia="zh-CN" w:bidi="ar-SA"/>
        </w:rPr>
        <w:t>方</w:t>
      </w:r>
      <w:r>
        <w:rPr>
          <w:rFonts w:ascii="Times New Roman" w:hAnsi="Times New Roman" w:eastAsia="宋体" w:cs="Times New Roman"/>
          <w:kern w:val="2"/>
          <w:sz w:val="24"/>
          <w:szCs w:val="18"/>
          <w:lang w:val="en-US" w:eastAsia="zh-CN" w:bidi="ar-SA"/>
        </w:rPr>
        <w:t>对该项目做出如下</w:t>
      </w:r>
      <w:r>
        <w:rPr>
          <w:rFonts w:hint="eastAsia" w:ascii="Times New Roman" w:hAnsi="Times New Roman" w:eastAsia="宋体" w:cs="Times New Roman"/>
          <w:kern w:val="2"/>
          <w:sz w:val="24"/>
          <w:szCs w:val="18"/>
          <w:lang w:val="en-US" w:eastAsia="zh-CN" w:bidi="ar-SA"/>
        </w:rPr>
        <w:t>产品质量</w:t>
      </w:r>
      <w:r>
        <w:rPr>
          <w:rFonts w:ascii="Times New Roman" w:hAnsi="Times New Roman" w:eastAsia="宋体" w:cs="Times New Roman"/>
          <w:kern w:val="2"/>
          <w:sz w:val="24"/>
          <w:szCs w:val="18"/>
          <w:lang w:val="en-US" w:eastAsia="zh-CN" w:bidi="ar-SA"/>
        </w:rPr>
        <w:t>承诺：</w:t>
      </w:r>
    </w:p>
    <w:p w14:paraId="43E8EC0C">
      <w:pPr>
        <w:numPr>
          <w:ilvl w:val="0"/>
          <w:numId w:val="5"/>
        </w:numPr>
        <w:tabs>
          <w:tab w:val="left" w:pos="840"/>
          <w:tab w:val="clear" w:pos="786"/>
        </w:tabs>
        <w:spacing w:line="360" w:lineRule="auto"/>
        <w:ind w:left="840"/>
        <w:rPr>
          <w:rFonts w:ascii="宋体" w:hAnsi="宋体" w:cs="Times New Roman"/>
          <w:bCs/>
          <w:sz w:val="24"/>
        </w:rPr>
      </w:pPr>
      <w:r>
        <w:rPr>
          <w:rFonts w:hint="eastAsia" w:ascii="宋体" w:hAnsi="宋体" w:cs="Times New Roman"/>
          <w:bCs/>
          <w:sz w:val="24"/>
        </w:rPr>
        <w:t>技术规范及相关产品标准：</w:t>
      </w:r>
    </w:p>
    <w:p w14:paraId="22976DDC">
      <w:pPr>
        <w:spacing w:line="360" w:lineRule="auto"/>
        <w:rPr>
          <w:rFonts w:ascii="宋体" w:hAnsi="宋体" w:cs="Times New Roman"/>
          <w:bCs/>
          <w:sz w:val="24"/>
        </w:rPr>
      </w:pPr>
    </w:p>
    <w:p w14:paraId="600ADA25">
      <w:pPr>
        <w:spacing w:line="360" w:lineRule="auto"/>
        <w:rPr>
          <w:rFonts w:ascii="宋体" w:hAnsi="宋体" w:cs="Times New Roman"/>
          <w:bCs/>
          <w:sz w:val="24"/>
        </w:rPr>
      </w:pPr>
    </w:p>
    <w:p w14:paraId="412908C0">
      <w:pPr>
        <w:numPr>
          <w:ilvl w:val="0"/>
          <w:numId w:val="5"/>
        </w:numPr>
        <w:tabs>
          <w:tab w:val="left" w:pos="840"/>
          <w:tab w:val="clear" w:pos="786"/>
        </w:tabs>
        <w:spacing w:line="360" w:lineRule="auto"/>
        <w:ind w:left="840"/>
        <w:rPr>
          <w:rFonts w:ascii="Times New Roman" w:hAnsi="Times New Roman" w:cs="Times New Roman"/>
          <w:sz w:val="24"/>
          <w:szCs w:val="18"/>
        </w:rPr>
      </w:pPr>
      <w:r>
        <w:rPr>
          <w:rFonts w:ascii="Times New Roman" w:hAnsi="Times New Roman" w:cs="Times New Roman"/>
          <w:sz w:val="24"/>
          <w:szCs w:val="18"/>
        </w:rPr>
        <w:t>产品都属于厂家原装正品产品</w:t>
      </w:r>
      <w:r>
        <w:rPr>
          <w:rFonts w:hint="eastAsia" w:ascii="Times New Roman" w:hAnsi="Times New Roman" w:cs="Times New Roman"/>
          <w:sz w:val="24"/>
          <w:szCs w:val="18"/>
        </w:rPr>
        <w:t>：</w:t>
      </w:r>
    </w:p>
    <w:p w14:paraId="7D623E65">
      <w:pPr>
        <w:spacing w:line="360" w:lineRule="auto"/>
        <w:rPr>
          <w:rFonts w:ascii="宋体" w:hAnsi="宋体" w:cs="Times New Roman"/>
          <w:bCs/>
          <w:sz w:val="24"/>
        </w:rPr>
      </w:pPr>
    </w:p>
    <w:p w14:paraId="0CCC4D3E">
      <w:pPr>
        <w:spacing w:line="360" w:lineRule="auto"/>
        <w:rPr>
          <w:rFonts w:ascii="宋体" w:hAnsi="宋体" w:cs="Times New Roman"/>
          <w:bCs/>
          <w:sz w:val="24"/>
        </w:rPr>
      </w:pPr>
    </w:p>
    <w:p w14:paraId="6AE1898C">
      <w:pPr>
        <w:spacing w:line="360" w:lineRule="auto"/>
        <w:rPr>
          <w:rFonts w:ascii="宋体" w:hAnsi="宋体" w:cs="Times New Roman"/>
          <w:bCs/>
          <w:sz w:val="24"/>
        </w:rPr>
      </w:pPr>
    </w:p>
    <w:p w14:paraId="5B36EC99">
      <w:pPr>
        <w:numPr>
          <w:ilvl w:val="0"/>
          <w:numId w:val="5"/>
        </w:numPr>
        <w:tabs>
          <w:tab w:val="left" w:pos="840"/>
          <w:tab w:val="clear" w:pos="786"/>
        </w:tabs>
        <w:spacing w:line="360" w:lineRule="auto"/>
        <w:ind w:left="840"/>
        <w:rPr>
          <w:rFonts w:ascii="宋体" w:hAnsi="宋体" w:cs="Times New Roman"/>
          <w:bCs/>
          <w:sz w:val="24"/>
        </w:rPr>
      </w:pPr>
      <w:r>
        <w:rPr>
          <w:rFonts w:hint="eastAsia" w:ascii="宋体" w:hAnsi="宋体" w:cs="Times New Roman"/>
          <w:bCs/>
          <w:sz w:val="24"/>
        </w:rPr>
        <w:t>产品“三包”内容：</w:t>
      </w:r>
    </w:p>
    <w:p w14:paraId="161DA096">
      <w:pPr>
        <w:spacing w:line="360" w:lineRule="auto"/>
        <w:rPr>
          <w:rFonts w:ascii="宋体" w:hAnsi="宋体" w:cs="Times New Roman"/>
          <w:bCs/>
          <w:sz w:val="24"/>
        </w:rPr>
      </w:pPr>
    </w:p>
    <w:p w14:paraId="6C9E8643">
      <w:pPr>
        <w:spacing w:line="360" w:lineRule="auto"/>
        <w:rPr>
          <w:rFonts w:ascii="宋体" w:hAnsi="宋体" w:cs="Times New Roman"/>
          <w:bCs/>
          <w:sz w:val="24"/>
        </w:rPr>
      </w:pPr>
    </w:p>
    <w:p w14:paraId="44791198">
      <w:pPr>
        <w:spacing w:line="360" w:lineRule="auto"/>
        <w:rPr>
          <w:rFonts w:ascii="宋体" w:hAnsi="宋体" w:cs="Times New Roman"/>
          <w:bCs/>
          <w:sz w:val="24"/>
        </w:rPr>
      </w:pPr>
    </w:p>
    <w:p w14:paraId="1FD85C77">
      <w:pPr>
        <w:numPr>
          <w:ilvl w:val="0"/>
          <w:numId w:val="5"/>
        </w:numPr>
        <w:tabs>
          <w:tab w:val="left" w:pos="840"/>
          <w:tab w:val="clear" w:pos="786"/>
        </w:tabs>
        <w:spacing w:line="360" w:lineRule="auto"/>
        <w:ind w:left="840"/>
        <w:rPr>
          <w:rFonts w:ascii="宋体" w:hAnsi="宋体" w:cs="Times New Roman"/>
          <w:bCs/>
          <w:sz w:val="24"/>
        </w:rPr>
      </w:pPr>
      <w:r>
        <w:rPr>
          <w:rFonts w:hint="eastAsia" w:ascii="宋体" w:hAnsi="宋体" w:cs="Times New Roman"/>
          <w:bCs/>
          <w:sz w:val="24"/>
        </w:rPr>
        <w:t>质量问题的处理：</w:t>
      </w:r>
    </w:p>
    <w:p w14:paraId="730E0589">
      <w:pPr>
        <w:spacing w:line="360" w:lineRule="auto"/>
        <w:rPr>
          <w:rFonts w:ascii="宋体" w:hAnsi="宋体" w:cs="Times New Roman"/>
          <w:bCs/>
          <w:sz w:val="24"/>
        </w:rPr>
      </w:pPr>
    </w:p>
    <w:p w14:paraId="480F4ECA">
      <w:pPr>
        <w:spacing w:line="360" w:lineRule="auto"/>
        <w:rPr>
          <w:rFonts w:ascii="宋体" w:hAnsi="宋体" w:cs="Times New Roman"/>
          <w:bCs/>
          <w:sz w:val="24"/>
        </w:rPr>
      </w:pPr>
    </w:p>
    <w:p w14:paraId="262A88B1">
      <w:pPr>
        <w:spacing w:line="360" w:lineRule="auto"/>
        <w:rPr>
          <w:rFonts w:ascii="宋体" w:hAnsi="宋体" w:cs="Times New Roman"/>
          <w:bCs/>
          <w:sz w:val="24"/>
        </w:rPr>
      </w:pPr>
    </w:p>
    <w:p w14:paraId="1CD69F5D">
      <w:pPr>
        <w:numPr>
          <w:ilvl w:val="0"/>
          <w:numId w:val="5"/>
        </w:numPr>
        <w:tabs>
          <w:tab w:val="left" w:pos="840"/>
          <w:tab w:val="clear" w:pos="786"/>
        </w:tabs>
        <w:spacing w:line="360" w:lineRule="auto"/>
        <w:ind w:left="840"/>
        <w:rPr>
          <w:rFonts w:ascii="宋体" w:hAnsi="宋体" w:cs="Times New Roman"/>
          <w:bCs/>
          <w:sz w:val="24"/>
        </w:rPr>
      </w:pPr>
      <w:r>
        <w:rPr>
          <w:rFonts w:hint="eastAsia" w:ascii="宋体" w:hAnsi="宋体" w:cs="Times New Roman"/>
          <w:bCs/>
          <w:sz w:val="24"/>
        </w:rPr>
        <w:t>质量投诉的处理：</w:t>
      </w:r>
    </w:p>
    <w:p w14:paraId="24A3235E">
      <w:pPr>
        <w:spacing w:line="360" w:lineRule="auto"/>
        <w:jc w:val="center"/>
        <w:rPr>
          <w:rFonts w:ascii="宋体" w:hAnsi="宋体" w:cs="Times New Roman"/>
          <w:b/>
          <w:sz w:val="24"/>
        </w:rPr>
      </w:pPr>
    </w:p>
    <w:p w14:paraId="279AF92B">
      <w:pPr>
        <w:spacing w:line="360" w:lineRule="auto"/>
        <w:jc w:val="center"/>
        <w:rPr>
          <w:rFonts w:ascii="宋体" w:hAnsi="宋体" w:cs="Times New Roman"/>
          <w:b/>
          <w:sz w:val="24"/>
        </w:rPr>
      </w:pPr>
    </w:p>
    <w:p w14:paraId="7D7FEC06">
      <w:pPr>
        <w:spacing w:line="360" w:lineRule="auto"/>
        <w:rPr>
          <w:rFonts w:ascii="宋体" w:hAnsi="宋体" w:cs="Times New Roman"/>
          <w:bCs/>
          <w:sz w:val="24"/>
        </w:rPr>
      </w:pPr>
      <w:r>
        <w:rPr>
          <w:rFonts w:hint="eastAsia" w:ascii="宋体" w:hAnsi="宋体" w:cs="Times New Roman"/>
          <w:bCs/>
          <w:sz w:val="24"/>
        </w:rPr>
        <w:t xml:space="preserve">    6、其它：</w:t>
      </w:r>
    </w:p>
    <w:p w14:paraId="216F04E3">
      <w:pPr>
        <w:spacing w:line="360" w:lineRule="auto"/>
        <w:jc w:val="center"/>
        <w:rPr>
          <w:rFonts w:ascii="宋体" w:hAnsi="宋体" w:cs="Times New Roman"/>
          <w:b/>
          <w:sz w:val="24"/>
        </w:rPr>
      </w:pPr>
    </w:p>
    <w:p w14:paraId="67786F9D">
      <w:pPr>
        <w:spacing w:line="360" w:lineRule="auto"/>
        <w:jc w:val="center"/>
        <w:rPr>
          <w:rFonts w:ascii="宋体" w:hAnsi="宋体" w:cs="Times New Roman"/>
          <w:b/>
          <w:sz w:val="24"/>
        </w:rPr>
      </w:pPr>
    </w:p>
    <w:p w14:paraId="3382BC86">
      <w:pPr>
        <w:spacing w:line="360" w:lineRule="auto"/>
        <w:jc w:val="center"/>
        <w:rPr>
          <w:rFonts w:ascii="宋体" w:hAnsi="宋体" w:cs="Times New Roman"/>
          <w:b/>
          <w:sz w:val="24"/>
        </w:rPr>
      </w:pPr>
    </w:p>
    <w:p w14:paraId="33D7991A">
      <w:pPr>
        <w:spacing w:line="360" w:lineRule="auto"/>
        <w:jc w:val="right"/>
        <w:rPr>
          <w:rFonts w:ascii="宋体" w:hAnsi="宋体" w:cs="Times New Roman"/>
          <w:b/>
          <w:sz w:val="24"/>
        </w:rPr>
      </w:pPr>
      <w:r>
        <w:rPr>
          <w:rFonts w:hint="eastAsia" w:ascii="宋体" w:hAnsi="宋体" w:cs="Times New Roman"/>
          <w:b/>
          <w:sz w:val="24"/>
        </w:rPr>
        <w:t>企业名称（盖</w:t>
      </w:r>
      <w:r>
        <w:rPr>
          <w:rFonts w:hint="eastAsia" w:ascii="宋体" w:hAnsi="宋体" w:cs="Times New Roman"/>
          <w:b/>
          <w:sz w:val="24"/>
          <w:lang w:val="en-US" w:eastAsia="zh-CN"/>
        </w:rPr>
        <w:t>电子签</w:t>
      </w:r>
      <w:r>
        <w:rPr>
          <w:rFonts w:hint="eastAsia" w:ascii="宋体" w:hAnsi="宋体" w:cs="Times New Roman"/>
          <w:b/>
          <w:sz w:val="24"/>
        </w:rPr>
        <w:t>章）:________________________</w:t>
      </w:r>
    </w:p>
    <w:p w14:paraId="32EAE294">
      <w:pPr>
        <w:spacing w:line="360" w:lineRule="auto"/>
        <w:jc w:val="right"/>
        <w:rPr>
          <w:rFonts w:ascii="宋体" w:hAnsi="宋体" w:cs="Times New Roman"/>
          <w:b/>
          <w:sz w:val="24"/>
        </w:rPr>
      </w:pPr>
      <w:r>
        <w:rPr>
          <w:rFonts w:hint="eastAsia" w:ascii="宋体" w:hAnsi="宋体" w:cs="Times New Roman"/>
          <w:b/>
          <w:sz w:val="24"/>
        </w:rPr>
        <w:t>签字代表：________________________</w:t>
      </w:r>
    </w:p>
    <w:p w14:paraId="74146D5C">
      <w:pPr>
        <w:pStyle w:val="19"/>
        <w:spacing w:line="360" w:lineRule="auto"/>
        <w:jc w:val="right"/>
        <w:rPr>
          <w:rFonts w:hint="eastAsia" w:ascii="宋体" w:hAnsi="宋体" w:eastAsia="宋体" w:cs="宋体"/>
          <w:b/>
          <w:color w:val="auto"/>
          <w:sz w:val="32"/>
          <w:szCs w:val="32"/>
          <w:highlight w:val="none"/>
          <w:lang w:eastAsia="zh-CN"/>
        </w:rPr>
      </w:pPr>
      <w:r>
        <w:rPr>
          <w:rFonts w:hint="eastAsia" w:hAnsi="宋体"/>
          <w:b/>
          <w:sz w:val="24"/>
        </w:rPr>
        <w:t>年        月        日</w:t>
      </w:r>
      <w:r>
        <w:rPr>
          <w:rFonts w:hint="eastAsia"/>
          <w:bCs/>
          <w:color w:val="auto"/>
          <w:sz w:val="24"/>
          <w:szCs w:val="28"/>
          <w:highlight w:val="none"/>
          <w:u w:val="single"/>
        </w:rPr>
        <w:t xml:space="preserve"> </w:t>
      </w:r>
    </w:p>
    <w:p w14:paraId="33380368">
      <w:pPr>
        <w:spacing w:line="360" w:lineRule="auto"/>
        <w:jc w:val="center"/>
        <w:outlineLvl w:val="9"/>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售后服务承诺书</w:t>
      </w:r>
    </w:p>
    <w:p w14:paraId="30A3CE01">
      <w:pPr>
        <w:spacing w:line="360" w:lineRule="auto"/>
        <w:rPr>
          <w:rFonts w:ascii="宋体"/>
          <w:color w:val="auto"/>
          <w:sz w:val="24"/>
          <w:highlight w:val="none"/>
        </w:rPr>
      </w:pPr>
    </w:p>
    <w:p w14:paraId="51E4AEE4">
      <w:pP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5D47C367">
      <w:pPr>
        <w:spacing w:line="360" w:lineRule="auto"/>
        <w:rPr>
          <w:rFonts w:ascii="宋体"/>
          <w:color w:val="auto"/>
          <w:sz w:val="24"/>
          <w:highlight w:val="none"/>
        </w:rPr>
      </w:pPr>
    </w:p>
    <w:p w14:paraId="386C01D8">
      <w:pPr>
        <w:spacing w:line="360" w:lineRule="auto"/>
        <w:rPr>
          <w:rFonts w:hint="eastAsia" w:ascii="宋体"/>
          <w:color w:val="auto"/>
          <w:sz w:val="24"/>
          <w:highlight w:val="none"/>
        </w:rPr>
      </w:pPr>
    </w:p>
    <w:p w14:paraId="36171B8B">
      <w:pPr>
        <w:spacing w:line="360" w:lineRule="auto"/>
        <w:rPr>
          <w:rFonts w:hint="eastAsia" w:ascii="宋体"/>
          <w:color w:val="auto"/>
          <w:sz w:val="24"/>
          <w:highlight w:val="none"/>
        </w:rPr>
      </w:pPr>
    </w:p>
    <w:p w14:paraId="7894F562">
      <w:pPr>
        <w:spacing w:line="360" w:lineRule="auto"/>
        <w:rPr>
          <w:rFonts w:ascii="宋体"/>
          <w:color w:val="auto"/>
          <w:sz w:val="24"/>
          <w:highlight w:val="none"/>
        </w:rPr>
      </w:pPr>
      <w:r>
        <w:rPr>
          <w:rFonts w:hint="eastAsia" w:ascii="宋体"/>
          <w:color w:val="auto"/>
          <w:sz w:val="24"/>
          <w:highlight w:val="none"/>
        </w:rPr>
        <w:t>2、解决问题、排除故障的速度</w:t>
      </w:r>
    </w:p>
    <w:p w14:paraId="2C6E7B25">
      <w:pPr>
        <w:spacing w:line="360" w:lineRule="auto"/>
        <w:rPr>
          <w:rFonts w:ascii="宋体"/>
          <w:color w:val="auto"/>
          <w:sz w:val="24"/>
          <w:highlight w:val="none"/>
        </w:rPr>
      </w:pPr>
    </w:p>
    <w:p w14:paraId="7950E7A1">
      <w:pPr>
        <w:spacing w:line="360" w:lineRule="auto"/>
        <w:rPr>
          <w:rFonts w:hint="eastAsia" w:ascii="宋体"/>
          <w:color w:val="auto"/>
          <w:sz w:val="24"/>
          <w:highlight w:val="none"/>
        </w:rPr>
      </w:pPr>
    </w:p>
    <w:p w14:paraId="1CEE97AB">
      <w:pPr>
        <w:spacing w:line="360" w:lineRule="auto"/>
        <w:rPr>
          <w:rFonts w:hint="eastAsia" w:ascii="宋体"/>
          <w:color w:val="auto"/>
          <w:sz w:val="24"/>
          <w:highlight w:val="none"/>
        </w:rPr>
      </w:pPr>
    </w:p>
    <w:p w14:paraId="4C6DB310">
      <w:pPr>
        <w:spacing w:line="360" w:lineRule="auto"/>
        <w:rPr>
          <w:rFonts w:ascii="宋体"/>
          <w:color w:val="auto"/>
          <w:sz w:val="24"/>
          <w:highlight w:val="none"/>
        </w:rPr>
      </w:pPr>
      <w:r>
        <w:rPr>
          <w:rFonts w:hint="eastAsia" w:ascii="宋体"/>
          <w:color w:val="auto"/>
          <w:sz w:val="24"/>
          <w:highlight w:val="none"/>
        </w:rPr>
        <w:t>3、设备使用的培训、指导</w:t>
      </w:r>
    </w:p>
    <w:p w14:paraId="117A6238">
      <w:pPr>
        <w:spacing w:line="360" w:lineRule="auto"/>
        <w:rPr>
          <w:rFonts w:ascii="宋体"/>
          <w:color w:val="auto"/>
          <w:sz w:val="24"/>
          <w:highlight w:val="none"/>
        </w:rPr>
      </w:pPr>
    </w:p>
    <w:p w14:paraId="4D06D3A1">
      <w:pPr>
        <w:spacing w:line="360" w:lineRule="auto"/>
        <w:rPr>
          <w:rFonts w:hint="eastAsia" w:ascii="宋体"/>
          <w:color w:val="auto"/>
          <w:sz w:val="24"/>
          <w:highlight w:val="none"/>
        </w:rPr>
      </w:pPr>
    </w:p>
    <w:p w14:paraId="7708A519">
      <w:pPr>
        <w:spacing w:line="360" w:lineRule="auto"/>
        <w:rPr>
          <w:rFonts w:hint="eastAsia" w:ascii="宋体"/>
          <w:color w:val="auto"/>
          <w:sz w:val="24"/>
          <w:highlight w:val="none"/>
        </w:rPr>
      </w:pPr>
    </w:p>
    <w:p w14:paraId="7D4D7D15">
      <w:pP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4158B9E2">
      <w:pPr>
        <w:spacing w:line="360" w:lineRule="auto"/>
        <w:rPr>
          <w:rFonts w:ascii="宋体"/>
          <w:color w:val="auto"/>
          <w:sz w:val="24"/>
          <w:highlight w:val="none"/>
        </w:rPr>
      </w:pPr>
    </w:p>
    <w:p w14:paraId="5ACFDABE">
      <w:pPr>
        <w:spacing w:line="360" w:lineRule="auto"/>
        <w:rPr>
          <w:rFonts w:hint="eastAsia" w:ascii="宋体"/>
          <w:color w:val="auto"/>
          <w:sz w:val="24"/>
          <w:highlight w:val="none"/>
        </w:rPr>
      </w:pPr>
    </w:p>
    <w:p w14:paraId="6D98EC21">
      <w:pPr>
        <w:spacing w:line="360" w:lineRule="auto"/>
        <w:rPr>
          <w:rFonts w:hint="eastAsia" w:ascii="宋体"/>
          <w:color w:val="auto"/>
          <w:sz w:val="24"/>
          <w:highlight w:val="none"/>
        </w:rPr>
      </w:pPr>
    </w:p>
    <w:p w14:paraId="1B2BA2CB">
      <w:pP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37DEF557">
      <w:pPr>
        <w:spacing w:line="360" w:lineRule="auto"/>
        <w:rPr>
          <w:rFonts w:ascii="宋体"/>
          <w:color w:val="auto"/>
          <w:sz w:val="24"/>
          <w:highlight w:val="none"/>
        </w:rPr>
      </w:pPr>
    </w:p>
    <w:p w14:paraId="052972AD">
      <w:pPr>
        <w:spacing w:line="360" w:lineRule="auto"/>
        <w:rPr>
          <w:rFonts w:hint="eastAsia" w:ascii="宋体"/>
          <w:color w:val="auto"/>
          <w:sz w:val="24"/>
          <w:highlight w:val="none"/>
        </w:rPr>
      </w:pPr>
    </w:p>
    <w:p w14:paraId="06BFF341">
      <w:pPr>
        <w:spacing w:line="360" w:lineRule="auto"/>
        <w:rPr>
          <w:rFonts w:hint="eastAsia" w:ascii="宋体"/>
          <w:color w:val="auto"/>
          <w:sz w:val="24"/>
          <w:highlight w:val="none"/>
        </w:rPr>
      </w:pPr>
    </w:p>
    <w:p w14:paraId="315929A2">
      <w:pPr>
        <w:spacing w:line="360" w:lineRule="auto"/>
        <w:rPr>
          <w:rFonts w:ascii="宋体"/>
          <w:color w:val="auto"/>
          <w:sz w:val="24"/>
          <w:highlight w:val="none"/>
        </w:rPr>
      </w:pPr>
      <w:r>
        <w:rPr>
          <w:rFonts w:hint="eastAsia" w:ascii="宋体"/>
          <w:color w:val="auto"/>
          <w:sz w:val="24"/>
          <w:highlight w:val="none"/>
        </w:rPr>
        <w:t>6、其他</w:t>
      </w:r>
      <w:r>
        <w:rPr>
          <w:rFonts w:hint="eastAsia" w:ascii="宋体"/>
          <w:color w:val="auto"/>
          <w:sz w:val="24"/>
          <w:highlight w:val="none"/>
          <w:lang w:eastAsia="zh-CN"/>
        </w:rPr>
        <w:t>：</w:t>
      </w:r>
      <w:r>
        <w:rPr>
          <w:rFonts w:hint="eastAsia" w:ascii="宋体"/>
          <w:color w:val="auto"/>
          <w:sz w:val="24"/>
          <w:highlight w:val="none"/>
        </w:rPr>
        <w:t>散装，罐车运输，自带卸料泵，现场卸料泵入3个各 100m</w:t>
      </w:r>
      <w:r>
        <w:rPr>
          <w:rFonts w:hint="eastAsia" w:ascii="宋体"/>
          <w:color w:val="auto"/>
          <w:sz w:val="24"/>
          <w:highlight w:val="none"/>
          <w:vertAlign w:val="superscript"/>
          <w:lang w:val="en-US" w:eastAsia="zh-CN"/>
        </w:rPr>
        <w:t>3</w:t>
      </w:r>
      <w:r>
        <w:rPr>
          <w:rFonts w:hint="eastAsia" w:ascii="宋体"/>
          <w:color w:val="auto"/>
          <w:sz w:val="24"/>
          <w:highlight w:val="none"/>
        </w:rPr>
        <w:t xml:space="preserve"> 的料仓，必须能流畅地通过料仓进料口过滤器(筛网孔径为 1cm)。</w:t>
      </w:r>
    </w:p>
    <w:p w14:paraId="2EF3A63C">
      <w:pPr>
        <w:spacing w:line="360" w:lineRule="auto"/>
        <w:rPr>
          <w:rFonts w:ascii="宋体"/>
          <w:color w:val="auto"/>
          <w:sz w:val="24"/>
          <w:highlight w:val="none"/>
        </w:rPr>
      </w:pPr>
    </w:p>
    <w:p w14:paraId="03D72129">
      <w:pPr>
        <w:spacing w:line="360" w:lineRule="auto"/>
        <w:rPr>
          <w:rFonts w:ascii="宋体"/>
          <w:color w:val="auto"/>
          <w:sz w:val="24"/>
          <w:highlight w:val="none"/>
        </w:rPr>
      </w:pPr>
    </w:p>
    <w:p w14:paraId="2D83E2C3">
      <w:pPr>
        <w:spacing w:line="360" w:lineRule="auto"/>
        <w:rPr>
          <w:rFonts w:ascii="宋体"/>
          <w:color w:val="auto"/>
          <w:sz w:val="24"/>
          <w:highlight w:val="none"/>
        </w:rPr>
      </w:pPr>
    </w:p>
    <w:p w14:paraId="644EB0C4">
      <w:pPr>
        <w:spacing w:line="360" w:lineRule="auto"/>
        <w:jc w:val="center"/>
        <w:rPr>
          <w:rFonts w:ascii="宋体"/>
          <w:color w:val="auto"/>
          <w:sz w:val="24"/>
          <w:highlight w:val="none"/>
          <w:u w:val="single"/>
        </w:rPr>
      </w:pPr>
      <w:r>
        <w:rPr>
          <w:rFonts w:hint="eastAsia" w:ascii="宋体"/>
          <w:color w:val="auto"/>
          <w:sz w:val="24"/>
          <w:highlight w:val="none"/>
          <w:lang w:val="en-US" w:eastAsia="zh-CN"/>
        </w:rPr>
        <w:t xml:space="preserve">                                                </w:t>
      </w:r>
      <w:r>
        <w:rPr>
          <w:rFonts w:hint="eastAsia" w:ascii="宋体"/>
          <w:color w:val="auto"/>
          <w:sz w:val="24"/>
          <w:highlight w:val="none"/>
        </w:rPr>
        <w:t>企业名称（盖电子签章）：</w:t>
      </w:r>
      <w:r>
        <w:rPr>
          <w:rFonts w:ascii="宋体"/>
          <w:color w:val="auto"/>
          <w:sz w:val="24"/>
          <w:highlight w:val="none"/>
          <w:u w:val="single"/>
        </w:rPr>
        <w:t xml:space="preserve">                           </w:t>
      </w:r>
    </w:p>
    <w:p w14:paraId="400F2347">
      <w:pPr>
        <w:spacing w:line="360" w:lineRule="auto"/>
        <w:jc w:val="center"/>
        <w:rPr>
          <w:rFonts w:ascii="宋体"/>
          <w:color w:val="auto"/>
          <w:sz w:val="24"/>
          <w:highlight w:val="none"/>
        </w:rPr>
      </w:pPr>
      <w:r>
        <w:rPr>
          <w:rFonts w:hint="eastAsia" w:ascii="宋体"/>
          <w:color w:val="auto"/>
          <w:sz w:val="24"/>
          <w:highlight w:val="none"/>
          <w:lang w:val="en-US" w:eastAsia="zh-CN"/>
        </w:rPr>
        <w:t xml:space="preserve">                                    </w:t>
      </w:r>
      <w:r>
        <w:rPr>
          <w:rFonts w:hint="eastAsia" w:ascii="宋体"/>
          <w:color w:val="auto"/>
          <w:sz w:val="24"/>
          <w:highlight w:val="none"/>
        </w:rPr>
        <w:t>签字代表：</w:t>
      </w:r>
      <w:r>
        <w:rPr>
          <w:rFonts w:ascii="宋体"/>
          <w:color w:val="auto"/>
          <w:sz w:val="24"/>
          <w:highlight w:val="none"/>
          <w:u w:val="single"/>
        </w:rPr>
        <w:t xml:space="preserve">                            </w:t>
      </w:r>
      <w:r>
        <w:rPr>
          <w:rFonts w:ascii="宋体"/>
          <w:color w:val="auto"/>
          <w:sz w:val="24"/>
          <w:highlight w:val="none"/>
        </w:rPr>
        <w:t xml:space="preserve">           </w:t>
      </w:r>
    </w:p>
    <w:p w14:paraId="67910EBF">
      <w:pPr>
        <w:spacing w:line="360" w:lineRule="auto"/>
        <w:jc w:val="center"/>
        <w:rPr>
          <w:rFonts w:hint="eastAsia" w:ascii="宋体" w:hAnsi="宋体" w:eastAsia="宋体" w:cs="宋体"/>
          <w:b/>
          <w:color w:val="auto"/>
          <w:sz w:val="32"/>
          <w:szCs w:val="32"/>
          <w:highlight w:val="none"/>
        </w:rPr>
      </w:pPr>
      <w:r>
        <w:rPr>
          <w:rFonts w:hint="eastAsia" w:ascii="宋体"/>
          <w:color w:val="auto"/>
          <w:sz w:val="24"/>
          <w:highlight w:val="none"/>
          <w:lang w:val="en-US" w:eastAsia="zh-CN"/>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780D3A0D">
      <w:pPr>
        <w:pStyle w:val="3"/>
        <w:rPr>
          <w:rFonts w:hint="eastAsia"/>
        </w:rPr>
      </w:pPr>
    </w:p>
    <w:p w14:paraId="1102CBFF">
      <w:pPr>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开标一览表</w:t>
      </w:r>
    </w:p>
    <w:p w14:paraId="68F26F26">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3E87FAF2">
      <w:pPr>
        <w:spacing w:line="480" w:lineRule="exact"/>
        <w:ind w:firstLine="210" w:firstLineChars="100"/>
        <w:rPr>
          <w:rFonts w:hint="eastAsia" w:ascii="宋体"/>
          <w:color w:val="auto"/>
          <w:szCs w:val="21"/>
          <w:highlight w:val="none"/>
        </w:rPr>
      </w:pPr>
      <w:r>
        <w:rPr>
          <w:rFonts w:hint="eastAsia" w:ascii="宋体"/>
          <w:color w:val="auto"/>
          <w:szCs w:val="21"/>
          <w:highlight w:val="none"/>
        </w:rPr>
        <w:t>投标人名称（电子签章）：</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0A3793B1">
      <w:pPr>
        <w:spacing w:line="480" w:lineRule="exact"/>
        <w:ind w:firstLine="210" w:firstLineChars="100"/>
        <w:rPr>
          <w:rFonts w:hint="eastAsia" w:ascii="宋体"/>
          <w:color w:val="auto"/>
          <w:szCs w:val="21"/>
          <w:highlight w:val="none"/>
          <w:u w:val="single"/>
        </w:rPr>
      </w:pPr>
      <w:r>
        <w:rPr>
          <w:rFonts w:hint="eastAsia" w:ascii="宋体"/>
          <w:color w:val="auto"/>
          <w:szCs w:val="21"/>
          <w:highlight w:val="none"/>
        </w:rPr>
        <w:t>招标编号：</w:t>
      </w:r>
      <w:r>
        <w:rPr>
          <w:rFonts w:hint="eastAsia" w:ascii="宋体"/>
          <w:color w:val="auto"/>
          <w:szCs w:val="21"/>
          <w:highlight w:val="none"/>
          <w:u w:val="single"/>
        </w:rPr>
        <w:t xml:space="preserve">                             </w:t>
      </w:r>
      <w:r>
        <w:rPr>
          <w:rFonts w:hint="eastAsia" w:ascii="宋体"/>
          <w:color w:val="auto"/>
          <w:szCs w:val="21"/>
          <w:highlight w:val="none"/>
        </w:rPr>
        <w:t xml:space="preserve">      </w:t>
      </w: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258"/>
        <w:gridCol w:w="708"/>
        <w:gridCol w:w="832"/>
        <w:gridCol w:w="805"/>
        <w:gridCol w:w="1654"/>
        <w:gridCol w:w="1727"/>
        <w:gridCol w:w="2044"/>
      </w:tblGrid>
      <w:tr w14:paraId="7480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8" w:type="pct"/>
            <w:noWrap w:val="0"/>
            <w:vAlign w:val="center"/>
          </w:tcPr>
          <w:p w14:paraId="0C00F28C">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28" w:type="pct"/>
            <w:gridSpan w:val="2"/>
            <w:noWrap w:val="0"/>
            <w:vAlign w:val="center"/>
          </w:tcPr>
          <w:p w14:paraId="1858FB33">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435" w:type="pct"/>
            <w:noWrap w:val="0"/>
            <w:vAlign w:val="center"/>
          </w:tcPr>
          <w:p w14:paraId="4A3F5785">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421" w:type="pct"/>
            <w:noWrap w:val="0"/>
            <w:vAlign w:val="center"/>
          </w:tcPr>
          <w:p w14:paraId="7F61D13F">
            <w:pPr>
              <w:spacing w:line="4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单位</w:t>
            </w:r>
          </w:p>
        </w:tc>
        <w:tc>
          <w:tcPr>
            <w:tcW w:w="865" w:type="pct"/>
            <w:noWrap w:val="0"/>
            <w:vAlign w:val="center"/>
          </w:tcPr>
          <w:p w14:paraId="0334E247">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单价（元</w:t>
            </w:r>
            <w:r>
              <w:rPr>
                <w:rFonts w:hint="eastAsia" w:ascii="宋体" w:hAnsi="宋体" w:cs="宋体"/>
                <w:color w:val="auto"/>
                <w:szCs w:val="21"/>
                <w:highlight w:val="none"/>
                <w:lang w:val="en-US" w:eastAsia="zh-CN"/>
              </w:rPr>
              <w:t>/吨</w:t>
            </w:r>
            <w:r>
              <w:rPr>
                <w:rFonts w:hint="eastAsia" w:ascii="宋体" w:hAnsi="宋体" w:cs="宋体"/>
                <w:color w:val="auto"/>
                <w:szCs w:val="21"/>
                <w:highlight w:val="none"/>
              </w:rPr>
              <w:t>）</w:t>
            </w:r>
          </w:p>
        </w:tc>
        <w:tc>
          <w:tcPr>
            <w:tcW w:w="903" w:type="pct"/>
            <w:noWrap w:val="0"/>
            <w:vAlign w:val="center"/>
          </w:tcPr>
          <w:p w14:paraId="0BC53067">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总价（元）</w:t>
            </w:r>
          </w:p>
        </w:tc>
        <w:tc>
          <w:tcPr>
            <w:tcW w:w="1068" w:type="pct"/>
            <w:noWrap w:val="0"/>
            <w:vAlign w:val="center"/>
          </w:tcPr>
          <w:p w14:paraId="764C7D4F">
            <w:pPr>
              <w:spacing w:line="4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备注</w:t>
            </w:r>
          </w:p>
        </w:tc>
      </w:tr>
      <w:tr w14:paraId="6825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8" w:type="pct"/>
            <w:noWrap w:val="0"/>
            <w:vAlign w:val="center"/>
          </w:tcPr>
          <w:p w14:paraId="6A3AADFC">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28" w:type="pct"/>
            <w:gridSpan w:val="2"/>
            <w:noWrap w:val="0"/>
            <w:vAlign w:val="center"/>
          </w:tcPr>
          <w:p w14:paraId="4F3A2FF1">
            <w:pPr>
              <w:jc w:val="left"/>
              <w:rPr>
                <w:rFonts w:hint="eastAsia" w:ascii="宋体" w:hAnsi="宋体" w:cs="宋体"/>
                <w:color w:val="auto"/>
                <w:szCs w:val="21"/>
                <w:highlight w:val="none"/>
              </w:rPr>
            </w:pPr>
          </w:p>
        </w:tc>
        <w:tc>
          <w:tcPr>
            <w:tcW w:w="435" w:type="pct"/>
            <w:noWrap w:val="0"/>
            <w:vAlign w:val="center"/>
          </w:tcPr>
          <w:p w14:paraId="65CD2E78">
            <w:pPr>
              <w:spacing w:line="480" w:lineRule="exact"/>
              <w:jc w:val="center"/>
              <w:rPr>
                <w:rFonts w:hint="eastAsia" w:ascii="宋体" w:hAnsi="宋体" w:cs="宋体"/>
                <w:color w:val="auto"/>
                <w:szCs w:val="21"/>
                <w:highlight w:val="none"/>
              </w:rPr>
            </w:pPr>
            <w:r>
              <w:rPr>
                <w:rFonts w:hint="eastAsia" w:hAnsi="宋体" w:cs="Times New Roman"/>
                <w:color w:val="auto"/>
                <w:highlight w:val="none"/>
              </w:rPr>
              <w:t>5475</w:t>
            </w:r>
          </w:p>
        </w:tc>
        <w:tc>
          <w:tcPr>
            <w:tcW w:w="421" w:type="pct"/>
            <w:noWrap w:val="0"/>
            <w:vAlign w:val="center"/>
          </w:tcPr>
          <w:p w14:paraId="2595E126">
            <w:pPr>
              <w:spacing w:line="480" w:lineRule="exact"/>
              <w:jc w:val="center"/>
              <w:rPr>
                <w:rFonts w:hint="eastAsia" w:ascii="宋体" w:hAnsi="宋体" w:cs="宋体"/>
                <w:color w:val="auto"/>
                <w:szCs w:val="21"/>
                <w:highlight w:val="none"/>
              </w:rPr>
            </w:pPr>
            <w:r>
              <w:rPr>
                <w:rFonts w:hint="eastAsia" w:hAnsi="宋体" w:cs="Times New Roman"/>
                <w:color w:val="auto"/>
                <w:highlight w:val="none"/>
              </w:rPr>
              <w:t>吨</w:t>
            </w:r>
          </w:p>
        </w:tc>
        <w:tc>
          <w:tcPr>
            <w:tcW w:w="865" w:type="pct"/>
            <w:noWrap w:val="0"/>
            <w:vAlign w:val="center"/>
          </w:tcPr>
          <w:p w14:paraId="7BE86A93">
            <w:pPr>
              <w:spacing w:line="480" w:lineRule="exact"/>
              <w:jc w:val="center"/>
              <w:rPr>
                <w:rFonts w:hint="eastAsia" w:ascii="宋体" w:hAnsi="宋体" w:cs="宋体"/>
                <w:color w:val="auto"/>
                <w:szCs w:val="21"/>
                <w:highlight w:val="none"/>
              </w:rPr>
            </w:pPr>
          </w:p>
        </w:tc>
        <w:tc>
          <w:tcPr>
            <w:tcW w:w="903" w:type="pct"/>
            <w:noWrap w:val="0"/>
            <w:vAlign w:val="center"/>
          </w:tcPr>
          <w:p w14:paraId="6E3068B8">
            <w:pPr>
              <w:spacing w:line="480" w:lineRule="exact"/>
              <w:jc w:val="center"/>
              <w:rPr>
                <w:rFonts w:hint="eastAsia" w:ascii="宋体" w:hAnsi="宋体" w:cs="宋体"/>
                <w:color w:val="auto"/>
                <w:szCs w:val="21"/>
                <w:highlight w:val="none"/>
              </w:rPr>
            </w:pPr>
          </w:p>
        </w:tc>
        <w:tc>
          <w:tcPr>
            <w:tcW w:w="1068" w:type="pct"/>
            <w:noWrap w:val="0"/>
            <w:vAlign w:val="center"/>
          </w:tcPr>
          <w:p w14:paraId="235C0156">
            <w:pPr>
              <w:spacing w:line="480" w:lineRule="exact"/>
              <w:jc w:val="both"/>
              <w:rPr>
                <w:rFonts w:hint="eastAsia" w:ascii="宋体" w:hAnsi="宋体" w:cs="宋体"/>
                <w:color w:val="auto"/>
                <w:szCs w:val="21"/>
                <w:highlight w:val="none"/>
              </w:rPr>
            </w:pPr>
            <w:r>
              <w:rPr>
                <w:rFonts w:hint="eastAsia" w:hAnsi="宋体"/>
                <w:b/>
                <w:color w:val="auto"/>
                <w:highlight w:val="none"/>
              </w:rPr>
              <w:t>采购单价最高限价：</w:t>
            </w:r>
            <w:r>
              <w:rPr>
                <w:rFonts w:hint="eastAsia" w:hAnsi="宋体"/>
                <w:b/>
                <w:color w:val="auto"/>
                <w:highlight w:val="none"/>
                <w:lang w:val="en-US" w:eastAsia="zh-CN"/>
              </w:rPr>
              <w:t>23</w:t>
            </w:r>
            <w:r>
              <w:rPr>
                <w:rFonts w:hint="eastAsia" w:hAnsi="宋体"/>
                <w:b/>
                <w:color w:val="auto"/>
                <w:highlight w:val="none"/>
              </w:rPr>
              <w:t>00元/吨。</w:t>
            </w:r>
          </w:p>
        </w:tc>
      </w:tr>
      <w:tr w14:paraId="6068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8" w:type="pct"/>
            <w:noWrap w:val="0"/>
            <w:vAlign w:val="center"/>
          </w:tcPr>
          <w:p w14:paraId="7BF9B97E">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28" w:type="pct"/>
            <w:gridSpan w:val="2"/>
            <w:noWrap w:val="0"/>
            <w:vAlign w:val="center"/>
          </w:tcPr>
          <w:p w14:paraId="33EBD964">
            <w:pPr>
              <w:jc w:val="left"/>
              <w:rPr>
                <w:rFonts w:hint="eastAsia" w:ascii="宋体" w:hAnsi="宋体" w:cs="宋体"/>
                <w:color w:val="auto"/>
                <w:szCs w:val="21"/>
                <w:highlight w:val="none"/>
              </w:rPr>
            </w:pPr>
          </w:p>
        </w:tc>
        <w:tc>
          <w:tcPr>
            <w:tcW w:w="435" w:type="pct"/>
            <w:noWrap w:val="0"/>
            <w:vAlign w:val="center"/>
          </w:tcPr>
          <w:p w14:paraId="4470AF76">
            <w:pPr>
              <w:spacing w:line="480" w:lineRule="exact"/>
              <w:jc w:val="center"/>
              <w:rPr>
                <w:rFonts w:hint="eastAsia" w:ascii="宋体" w:hAnsi="宋体" w:cs="宋体"/>
                <w:color w:val="auto"/>
                <w:szCs w:val="21"/>
                <w:highlight w:val="none"/>
              </w:rPr>
            </w:pPr>
          </w:p>
        </w:tc>
        <w:tc>
          <w:tcPr>
            <w:tcW w:w="421" w:type="pct"/>
            <w:noWrap w:val="0"/>
            <w:vAlign w:val="center"/>
          </w:tcPr>
          <w:p w14:paraId="02E9C0EE">
            <w:pPr>
              <w:spacing w:line="480" w:lineRule="exact"/>
              <w:jc w:val="center"/>
              <w:rPr>
                <w:rFonts w:hint="eastAsia" w:ascii="宋体" w:hAnsi="宋体" w:cs="宋体"/>
                <w:color w:val="auto"/>
                <w:szCs w:val="21"/>
                <w:highlight w:val="none"/>
              </w:rPr>
            </w:pPr>
          </w:p>
        </w:tc>
        <w:tc>
          <w:tcPr>
            <w:tcW w:w="865" w:type="pct"/>
            <w:noWrap w:val="0"/>
            <w:vAlign w:val="center"/>
          </w:tcPr>
          <w:p w14:paraId="1CE11227">
            <w:pPr>
              <w:spacing w:line="480" w:lineRule="exact"/>
              <w:jc w:val="center"/>
              <w:rPr>
                <w:rFonts w:hint="eastAsia" w:ascii="宋体" w:hAnsi="宋体" w:cs="宋体"/>
                <w:color w:val="auto"/>
                <w:szCs w:val="21"/>
                <w:highlight w:val="none"/>
              </w:rPr>
            </w:pPr>
          </w:p>
        </w:tc>
        <w:tc>
          <w:tcPr>
            <w:tcW w:w="903" w:type="pct"/>
            <w:noWrap w:val="0"/>
            <w:vAlign w:val="center"/>
          </w:tcPr>
          <w:p w14:paraId="2031FE75">
            <w:pPr>
              <w:spacing w:line="480" w:lineRule="exact"/>
              <w:jc w:val="center"/>
              <w:rPr>
                <w:rFonts w:hint="eastAsia" w:ascii="宋体" w:hAnsi="宋体" w:cs="宋体"/>
                <w:color w:val="auto"/>
                <w:szCs w:val="21"/>
                <w:highlight w:val="none"/>
              </w:rPr>
            </w:pPr>
          </w:p>
        </w:tc>
        <w:tc>
          <w:tcPr>
            <w:tcW w:w="1068" w:type="pct"/>
            <w:noWrap w:val="0"/>
            <w:vAlign w:val="center"/>
          </w:tcPr>
          <w:p w14:paraId="4F40EBC0">
            <w:pPr>
              <w:spacing w:line="480" w:lineRule="exact"/>
              <w:jc w:val="center"/>
              <w:rPr>
                <w:rFonts w:hint="eastAsia" w:ascii="宋体" w:hAnsi="宋体" w:cs="宋体"/>
                <w:color w:val="auto"/>
                <w:szCs w:val="21"/>
                <w:highlight w:val="none"/>
              </w:rPr>
            </w:pPr>
          </w:p>
        </w:tc>
      </w:tr>
      <w:tr w14:paraId="0935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8" w:type="pct"/>
            <w:noWrap w:val="0"/>
            <w:vAlign w:val="center"/>
          </w:tcPr>
          <w:p w14:paraId="159F08D7">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28" w:type="pct"/>
            <w:gridSpan w:val="2"/>
            <w:noWrap w:val="0"/>
            <w:vAlign w:val="center"/>
          </w:tcPr>
          <w:p w14:paraId="103FC59D">
            <w:pPr>
              <w:jc w:val="left"/>
              <w:rPr>
                <w:rFonts w:hint="eastAsia" w:ascii="宋体" w:hAnsi="宋体" w:cs="宋体"/>
                <w:color w:val="auto"/>
                <w:szCs w:val="21"/>
                <w:highlight w:val="none"/>
              </w:rPr>
            </w:pPr>
          </w:p>
        </w:tc>
        <w:tc>
          <w:tcPr>
            <w:tcW w:w="435" w:type="pct"/>
            <w:noWrap w:val="0"/>
            <w:vAlign w:val="center"/>
          </w:tcPr>
          <w:p w14:paraId="28B3835C">
            <w:pPr>
              <w:spacing w:line="480" w:lineRule="exact"/>
              <w:jc w:val="center"/>
              <w:rPr>
                <w:rFonts w:hint="eastAsia" w:ascii="宋体" w:hAnsi="宋体" w:cs="宋体"/>
                <w:color w:val="auto"/>
                <w:szCs w:val="21"/>
                <w:highlight w:val="none"/>
              </w:rPr>
            </w:pPr>
          </w:p>
        </w:tc>
        <w:tc>
          <w:tcPr>
            <w:tcW w:w="421" w:type="pct"/>
            <w:noWrap w:val="0"/>
            <w:vAlign w:val="center"/>
          </w:tcPr>
          <w:p w14:paraId="4F6079EA">
            <w:pPr>
              <w:spacing w:line="480" w:lineRule="exact"/>
              <w:jc w:val="center"/>
              <w:rPr>
                <w:rFonts w:hint="eastAsia" w:ascii="宋体" w:hAnsi="宋体" w:cs="宋体"/>
                <w:color w:val="auto"/>
                <w:szCs w:val="21"/>
                <w:highlight w:val="none"/>
              </w:rPr>
            </w:pPr>
          </w:p>
        </w:tc>
        <w:tc>
          <w:tcPr>
            <w:tcW w:w="865" w:type="pct"/>
            <w:noWrap w:val="0"/>
            <w:vAlign w:val="center"/>
          </w:tcPr>
          <w:p w14:paraId="35C200A3">
            <w:pPr>
              <w:spacing w:line="480" w:lineRule="exact"/>
              <w:jc w:val="center"/>
              <w:rPr>
                <w:rFonts w:hint="eastAsia" w:ascii="宋体" w:hAnsi="宋体" w:cs="宋体"/>
                <w:color w:val="auto"/>
                <w:szCs w:val="21"/>
                <w:highlight w:val="none"/>
              </w:rPr>
            </w:pPr>
          </w:p>
        </w:tc>
        <w:tc>
          <w:tcPr>
            <w:tcW w:w="903" w:type="pct"/>
            <w:noWrap w:val="0"/>
            <w:vAlign w:val="center"/>
          </w:tcPr>
          <w:p w14:paraId="15E36D22">
            <w:pPr>
              <w:spacing w:line="480" w:lineRule="exact"/>
              <w:jc w:val="center"/>
              <w:rPr>
                <w:rFonts w:hint="eastAsia" w:ascii="宋体" w:hAnsi="宋体" w:cs="宋体"/>
                <w:color w:val="auto"/>
                <w:szCs w:val="21"/>
                <w:highlight w:val="none"/>
              </w:rPr>
            </w:pPr>
          </w:p>
        </w:tc>
        <w:tc>
          <w:tcPr>
            <w:tcW w:w="1068" w:type="pct"/>
            <w:noWrap w:val="0"/>
            <w:vAlign w:val="center"/>
          </w:tcPr>
          <w:p w14:paraId="0F37CE19">
            <w:pPr>
              <w:spacing w:line="480" w:lineRule="exact"/>
              <w:jc w:val="center"/>
              <w:rPr>
                <w:rFonts w:hint="eastAsia" w:ascii="宋体" w:hAnsi="宋体" w:cs="宋体"/>
                <w:color w:val="auto"/>
                <w:szCs w:val="21"/>
                <w:highlight w:val="none"/>
              </w:rPr>
            </w:pPr>
          </w:p>
        </w:tc>
      </w:tr>
      <w:tr w14:paraId="0940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8" w:type="pct"/>
            <w:noWrap w:val="0"/>
            <w:vAlign w:val="center"/>
          </w:tcPr>
          <w:p w14:paraId="35456B92">
            <w:pPr>
              <w:spacing w:line="4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028" w:type="pct"/>
            <w:gridSpan w:val="2"/>
            <w:noWrap w:val="0"/>
            <w:vAlign w:val="top"/>
          </w:tcPr>
          <w:p w14:paraId="0A1753F4">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435" w:type="pct"/>
            <w:noWrap w:val="0"/>
            <w:vAlign w:val="center"/>
          </w:tcPr>
          <w:p w14:paraId="7AB93F1B">
            <w:pPr>
              <w:spacing w:line="480" w:lineRule="exact"/>
              <w:jc w:val="center"/>
              <w:rPr>
                <w:rFonts w:hint="eastAsia" w:ascii="宋体" w:hAnsi="宋体" w:cs="宋体"/>
                <w:color w:val="auto"/>
                <w:szCs w:val="21"/>
                <w:highlight w:val="none"/>
              </w:rPr>
            </w:pPr>
          </w:p>
        </w:tc>
        <w:tc>
          <w:tcPr>
            <w:tcW w:w="421" w:type="pct"/>
            <w:noWrap w:val="0"/>
            <w:vAlign w:val="center"/>
          </w:tcPr>
          <w:p w14:paraId="2039E452">
            <w:pPr>
              <w:spacing w:line="480" w:lineRule="exact"/>
              <w:jc w:val="center"/>
              <w:rPr>
                <w:rFonts w:hint="eastAsia" w:ascii="宋体" w:hAnsi="宋体" w:cs="宋体"/>
                <w:color w:val="auto"/>
                <w:szCs w:val="21"/>
                <w:highlight w:val="none"/>
              </w:rPr>
            </w:pPr>
          </w:p>
        </w:tc>
        <w:tc>
          <w:tcPr>
            <w:tcW w:w="865" w:type="pct"/>
            <w:noWrap w:val="0"/>
            <w:vAlign w:val="center"/>
          </w:tcPr>
          <w:p w14:paraId="55E6F4C3">
            <w:pPr>
              <w:spacing w:line="480" w:lineRule="exact"/>
              <w:jc w:val="center"/>
              <w:rPr>
                <w:rFonts w:hint="eastAsia" w:ascii="宋体" w:hAnsi="宋体" w:cs="宋体"/>
                <w:color w:val="auto"/>
                <w:szCs w:val="21"/>
                <w:highlight w:val="none"/>
              </w:rPr>
            </w:pPr>
          </w:p>
        </w:tc>
        <w:tc>
          <w:tcPr>
            <w:tcW w:w="903" w:type="pct"/>
            <w:noWrap w:val="0"/>
            <w:vAlign w:val="center"/>
          </w:tcPr>
          <w:p w14:paraId="7A4A5A39">
            <w:pPr>
              <w:spacing w:line="480" w:lineRule="exact"/>
              <w:jc w:val="center"/>
              <w:rPr>
                <w:rFonts w:hint="eastAsia" w:ascii="宋体" w:hAnsi="宋体" w:cs="宋体"/>
                <w:color w:val="auto"/>
                <w:szCs w:val="21"/>
                <w:highlight w:val="none"/>
              </w:rPr>
            </w:pPr>
          </w:p>
        </w:tc>
        <w:tc>
          <w:tcPr>
            <w:tcW w:w="1068" w:type="pct"/>
            <w:noWrap w:val="0"/>
            <w:vAlign w:val="center"/>
          </w:tcPr>
          <w:p w14:paraId="06329CA1">
            <w:pPr>
              <w:spacing w:line="480" w:lineRule="exact"/>
              <w:jc w:val="center"/>
              <w:rPr>
                <w:rFonts w:hint="eastAsia" w:ascii="宋体" w:hAnsi="宋体" w:cs="宋体"/>
                <w:color w:val="auto"/>
                <w:szCs w:val="21"/>
                <w:highlight w:val="none"/>
              </w:rPr>
            </w:pPr>
          </w:p>
        </w:tc>
      </w:tr>
      <w:tr w14:paraId="02C8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278" w:type="pct"/>
            <w:noWrap w:val="0"/>
            <w:vAlign w:val="center"/>
          </w:tcPr>
          <w:p w14:paraId="717A64A4">
            <w:pPr>
              <w:spacing w:line="4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58" w:type="pct"/>
            <w:noWrap w:val="0"/>
            <w:vAlign w:val="center"/>
          </w:tcPr>
          <w:p w14:paraId="39183651">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4063" w:type="pct"/>
            <w:gridSpan w:val="6"/>
            <w:noWrap w:val="0"/>
            <w:vAlign w:val="top"/>
          </w:tcPr>
          <w:p w14:paraId="5751322D">
            <w:pPr>
              <w:spacing w:line="480" w:lineRule="exact"/>
              <w:rPr>
                <w:rFonts w:hint="eastAsia"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p w14:paraId="45CF9F51">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3902E65B">
      <w:pPr>
        <w:spacing w:line="480" w:lineRule="exact"/>
        <w:ind w:firstLine="210" w:firstLineChars="100"/>
        <w:rPr>
          <w:rFonts w:hint="eastAsia" w:ascii="宋体"/>
          <w:color w:val="auto"/>
          <w:szCs w:val="21"/>
          <w:highlight w:val="none"/>
        </w:rPr>
      </w:pPr>
      <w:r>
        <w:rPr>
          <w:rFonts w:hint="eastAsia" w:ascii="宋体"/>
          <w:color w:val="auto"/>
          <w:szCs w:val="21"/>
          <w:highlight w:val="none"/>
        </w:rPr>
        <w:t xml:space="preserve">全权代表签字：                   </w:t>
      </w:r>
    </w:p>
    <w:p w14:paraId="55501D61">
      <w:pPr>
        <w:spacing w:line="480" w:lineRule="exact"/>
        <w:ind w:firstLine="210" w:firstLineChars="100"/>
        <w:rPr>
          <w:rFonts w:hint="eastAsia" w:ascii="宋体"/>
          <w:color w:val="auto"/>
          <w:szCs w:val="21"/>
          <w:highlight w:val="none"/>
        </w:rPr>
      </w:pPr>
      <w:r>
        <w:rPr>
          <w:rFonts w:hint="eastAsia" w:ascii="宋体"/>
          <w:color w:val="auto"/>
          <w:szCs w:val="21"/>
          <w:highlight w:val="none"/>
        </w:rPr>
        <w:t xml:space="preserve">日 期：           </w:t>
      </w:r>
    </w:p>
    <w:p w14:paraId="24707A84">
      <w:pPr>
        <w:rPr>
          <w:rFonts w:hint="eastAsia" w:ascii="宋体"/>
          <w:color w:val="auto"/>
          <w:szCs w:val="21"/>
          <w:highlight w:val="none"/>
        </w:rPr>
      </w:pPr>
    </w:p>
    <w:p w14:paraId="2861EE63">
      <w:pPr>
        <w:rPr>
          <w:rFonts w:hint="eastAsia" w:ascii="宋体"/>
          <w:color w:val="auto"/>
          <w:szCs w:val="21"/>
          <w:highlight w:val="none"/>
        </w:rPr>
      </w:pPr>
      <w:r>
        <w:rPr>
          <w:rFonts w:hint="eastAsia" w:ascii="宋体"/>
          <w:color w:val="auto"/>
          <w:szCs w:val="21"/>
          <w:highlight w:val="none"/>
        </w:rPr>
        <w:t>备注：</w:t>
      </w:r>
    </w:p>
    <w:p w14:paraId="54E0CE80">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kern w:val="2"/>
          <w:sz w:val="21"/>
          <w:szCs w:val="21"/>
          <w:lang w:val="en-US" w:eastAsia="zh-CN" w:bidi="ar-SA"/>
        </w:rPr>
        <w:t>1.</w:t>
      </w:r>
      <w:r>
        <w:rPr>
          <w:rFonts w:hint="eastAsia" w:ascii="宋体"/>
          <w:color w:val="auto"/>
          <w:szCs w:val="21"/>
          <w:highlight w:val="none"/>
        </w:rPr>
        <w:t>投标人应根据国家的有关规定和实际情况并结合企业的实际情况进行投标报价。投标报价为投标人所能承受的最低、最终一次性报价。</w:t>
      </w:r>
    </w:p>
    <w:p w14:paraId="1FE0966C">
      <w:pPr>
        <w:keepNext w:val="0"/>
        <w:keepLines w:val="0"/>
        <w:pageBreakBefore w:val="0"/>
        <w:widowControl w:val="0"/>
        <w:kinsoku/>
        <w:wordWrap/>
        <w:overflowPunct/>
        <w:topLinePunct w:val="0"/>
        <w:autoSpaceDE/>
        <w:autoSpaceDN/>
        <w:bidi w:val="0"/>
        <w:adjustRightInd/>
        <w:snapToGrid/>
        <w:spacing w:line="440" w:lineRule="atLeast"/>
        <w:ind w:left="785" w:leftChars="199" w:hanging="367" w:hangingChars="175"/>
        <w:textAlignment w:val="auto"/>
        <w:rPr>
          <w:rFonts w:hint="eastAsia" w:ascii="宋体" w:hAnsi="宋体" w:eastAsia="宋体" w:cs="宋体"/>
          <w:color w:val="auto"/>
          <w:szCs w:val="21"/>
          <w:highlight w:val="none"/>
          <w:lang w:val="en-US" w:eastAsia="zh-CN"/>
        </w:rPr>
      </w:pPr>
      <w:r>
        <w:rPr>
          <w:rFonts w:hint="eastAsia" w:ascii="宋体"/>
          <w:color w:val="auto"/>
          <w:szCs w:val="21"/>
          <w:highlight w:val="none"/>
          <w:lang w:val="en-US" w:eastAsia="zh-CN"/>
        </w:rPr>
        <w:t>2</w:t>
      </w:r>
      <w:r>
        <w:rPr>
          <w:rFonts w:hint="eastAsia" w:ascii="宋体"/>
          <w:color w:val="auto"/>
          <w:szCs w:val="21"/>
          <w:highlight w:val="none"/>
        </w:rPr>
        <w:t>.此表在不改变表式内容的情况下，可自行制作</w:t>
      </w:r>
      <w:r>
        <w:rPr>
          <w:rFonts w:hint="eastAsia" w:ascii="宋体"/>
          <w:color w:val="auto"/>
          <w:szCs w:val="21"/>
          <w:highlight w:val="none"/>
          <w:lang w:eastAsia="zh-CN"/>
        </w:rPr>
        <w:t>。</w:t>
      </w:r>
    </w:p>
    <w:p w14:paraId="29B75913">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1E3E748">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 疑 函 范 本（供参考）</w:t>
      </w:r>
    </w:p>
    <w:p w14:paraId="765952FE">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0EB8D4E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6BFD90C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1F31ABF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066467D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52F0B53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5EB0B39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7C38179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14111274">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1F396D11">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3A83A9AD">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710D44D9">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5CFF2955">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5105551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3C5D7F31">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18F44B92">
      <w:pPr>
        <w:adjustRightInd w:val="0"/>
        <w:snapToGrid w:val="0"/>
        <w:spacing w:line="360" w:lineRule="auto"/>
        <w:rPr>
          <w:rFonts w:ascii="宋体" w:hAnsi="宋体" w:cs="宋体"/>
          <w:color w:val="auto"/>
          <w:highlight w:val="none"/>
        </w:rPr>
      </w:pPr>
    </w:p>
    <w:p w14:paraId="6851712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1227EBCE">
      <w:pPr>
        <w:adjustRightInd w:val="0"/>
        <w:snapToGrid w:val="0"/>
        <w:spacing w:line="360" w:lineRule="auto"/>
        <w:rPr>
          <w:rFonts w:ascii="宋体" w:hAnsi="宋体" w:cs="宋体"/>
          <w:color w:val="auto"/>
          <w:highlight w:val="none"/>
          <w:u w:val="dotted"/>
        </w:rPr>
      </w:pPr>
    </w:p>
    <w:p w14:paraId="09F6692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02BAA54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166EB8E2">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2438E22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1908FE52">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586E1675">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178F2986">
      <w:pPr>
        <w:spacing w:line="360" w:lineRule="auto"/>
        <w:rPr>
          <w:rFonts w:ascii="宋体" w:hAnsi="宋体" w:cs="宋体"/>
          <w:color w:val="auto"/>
          <w:highlight w:val="none"/>
        </w:rPr>
      </w:pPr>
    </w:p>
    <w:p w14:paraId="0147933E">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03D7462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2F539DCB">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3EF07C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6FA30C5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4001763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6DF48BFD">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1FA17096">
      <w:pPr>
        <w:pStyle w:val="65"/>
        <w:rPr>
          <w:color w:val="auto"/>
          <w:highlight w:val="none"/>
        </w:rPr>
      </w:pPr>
    </w:p>
    <w:p w14:paraId="4F46E285">
      <w:pPr>
        <w:pStyle w:val="19"/>
        <w:spacing w:line="460" w:lineRule="exact"/>
        <w:rPr>
          <w:rFonts w:cs="Times New Roman"/>
          <w:color w:val="auto"/>
          <w:highlight w:val="none"/>
        </w:rPr>
      </w:pPr>
    </w:p>
    <w:p w14:paraId="707250F0">
      <w:pPr>
        <w:rPr>
          <w:color w:val="auto"/>
          <w:highlight w:val="none"/>
        </w:rPr>
      </w:pPr>
    </w:p>
    <w:p w14:paraId="6562263A">
      <w:pPr>
        <w:rPr>
          <w:color w:val="auto"/>
          <w:highlight w:val="none"/>
        </w:rPr>
      </w:pPr>
    </w:p>
    <w:p w14:paraId="6F7EB9BD">
      <w:pPr>
        <w:pStyle w:val="4"/>
        <w:rPr>
          <w:color w:val="auto"/>
          <w:highlight w:val="none"/>
        </w:rPr>
      </w:pPr>
    </w:p>
    <w:p w14:paraId="6904090C">
      <w:pPr>
        <w:rPr>
          <w:color w:val="auto"/>
          <w:highlight w:val="none"/>
        </w:rPr>
      </w:pPr>
    </w:p>
    <w:p w14:paraId="0D061E28">
      <w:pPr>
        <w:jc w:val="center"/>
        <w:rPr>
          <w:rFonts w:hint="eastAsia" w:ascii="宋体" w:hAnsi="宋体"/>
          <w:b/>
          <w:color w:val="auto"/>
          <w:sz w:val="36"/>
          <w:szCs w:val="36"/>
          <w:highlight w:val="none"/>
        </w:rPr>
      </w:pPr>
    </w:p>
    <w:p w14:paraId="0EB2DF1A">
      <w:pPr>
        <w:jc w:val="center"/>
        <w:rPr>
          <w:rFonts w:hint="eastAsia" w:ascii="宋体" w:hAnsi="宋体"/>
          <w:b/>
          <w:color w:val="auto"/>
          <w:sz w:val="36"/>
          <w:szCs w:val="36"/>
          <w:highlight w:val="none"/>
        </w:rPr>
      </w:pPr>
    </w:p>
    <w:p w14:paraId="575F20A5">
      <w:pPr>
        <w:jc w:val="center"/>
        <w:rPr>
          <w:rFonts w:hint="eastAsia" w:ascii="宋体" w:hAnsi="宋体"/>
          <w:b/>
          <w:color w:val="auto"/>
          <w:sz w:val="36"/>
          <w:szCs w:val="36"/>
          <w:highlight w:val="none"/>
        </w:rPr>
      </w:pPr>
    </w:p>
    <w:p w14:paraId="3965FA58">
      <w:pPr>
        <w:jc w:val="center"/>
        <w:rPr>
          <w:rFonts w:hint="eastAsia" w:ascii="宋体" w:hAnsi="宋体"/>
          <w:b/>
          <w:color w:val="auto"/>
          <w:sz w:val="36"/>
          <w:szCs w:val="36"/>
          <w:highlight w:val="none"/>
        </w:rPr>
      </w:pPr>
    </w:p>
    <w:p w14:paraId="36F18225">
      <w:pPr>
        <w:jc w:val="center"/>
        <w:rPr>
          <w:rFonts w:hint="eastAsia" w:ascii="宋体" w:hAnsi="宋体"/>
          <w:b/>
          <w:color w:val="auto"/>
          <w:sz w:val="36"/>
          <w:szCs w:val="36"/>
          <w:highlight w:val="none"/>
        </w:rPr>
      </w:pPr>
    </w:p>
    <w:p w14:paraId="30D1C554">
      <w:pPr>
        <w:jc w:val="center"/>
        <w:rPr>
          <w:rFonts w:hint="eastAsia" w:ascii="宋体" w:hAnsi="宋体"/>
          <w:b/>
          <w:color w:val="auto"/>
          <w:sz w:val="36"/>
          <w:szCs w:val="36"/>
          <w:highlight w:val="none"/>
        </w:rPr>
      </w:pPr>
    </w:p>
    <w:p w14:paraId="1D6C2FF6">
      <w:pPr>
        <w:jc w:val="center"/>
        <w:rPr>
          <w:rFonts w:hint="eastAsia" w:ascii="宋体" w:hAnsi="宋体"/>
          <w:b/>
          <w:color w:val="auto"/>
          <w:sz w:val="36"/>
          <w:szCs w:val="36"/>
          <w:highlight w:val="none"/>
        </w:rPr>
      </w:pPr>
    </w:p>
    <w:p w14:paraId="042C137B">
      <w:pPr>
        <w:jc w:val="center"/>
        <w:rPr>
          <w:rFonts w:hint="eastAsia" w:ascii="宋体" w:hAnsi="宋体"/>
          <w:b/>
          <w:color w:val="auto"/>
          <w:sz w:val="36"/>
          <w:szCs w:val="36"/>
          <w:highlight w:val="none"/>
        </w:rPr>
      </w:pPr>
    </w:p>
    <w:p w14:paraId="2A6E587B">
      <w:pPr>
        <w:jc w:val="center"/>
        <w:rPr>
          <w:rFonts w:hint="eastAsia" w:ascii="宋体" w:hAnsi="宋体"/>
          <w:b/>
          <w:color w:val="auto"/>
          <w:sz w:val="36"/>
          <w:szCs w:val="36"/>
          <w:highlight w:val="none"/>
        </w:rPr>
      </w:pPr>
    </w:p>
    <w:p w14:paraId="7FB1B8C1">
      <w:pPr>
        <w:jc w:val="center"/>
        <w:rPr>
          <w:rFonts w:hint="eastAsia" w:ascii="宋体" w:hAnsi="宋体"/>
          <w:b/>
          <w:color w:val="auto"/>
          <w:sz w:val="36"/>
          <w:szCs w:val="36"/>
          <w:highlight w:val="none"/>
        </w:rPr>
      </w:pPr>
    </w:p>
    <w:bookmarkEnd w:id="71"/>
    <w:bookmarkEnd w:id="72"/>
    <w:bookmarkEnd w:id="73"/>
    <w:bookmarkEnd w:id="74"/>
    <w:bookmarkEnd w:id="75"/>
    <w:bookmarkEnd w:id="76"/>
    <w:p w14:paraId="5331CAB8">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monospace">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Arial Unicode MS">
    <w:altName w:val="DejaVu Sans"/>
    <w:panose1 w:val="020B0604020202020204"/>
    <w:charset w:val="86"/>
    <w:family w:val="swiss"/>
    <w:pitch w:val="default"/>
    <w:sig w:usb0="00000000" w:usb1="00000000" w:usb2="0000003F" w:usb3="00000000" w:csb0="603F01FF" w:csb1="FFFF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方正黑体_GBK"/>
    <w:panose1 w:val="020B0503020204020204"/>
    <w:charset w:val="86"/>
    <w:family w:val="auto"/>
    <w:pitch w:val="default"/>
    <w:sig w:usb0="00000000" w:usb1="00000000" w:usb2="00000016" w:usb3="00000000" w:csb0="0004001F" w:csb1="00000000"/>
  </w:font>
  <w:font w:name="PMingLiU">
    <w:altName w:val="文泉驿微米黑"/>
    <w:panose1 w:val="02020500000000000000"/>
    <w:charset w:val="00"/>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D6A6">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2001D">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12001D">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13B5">
    <w:pPr>
      <w:pStyle w:val="23"/>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3226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523226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1B9B">
    <w:pPr>
      <w:pStyle w:val="23"/>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8394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A8394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0CAC2">
    <w:pPr>
      <w:pStyle w:val="24"/>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2">
    <w:nsid w:val="0000000C"/>
    <w:multiLevelType w:val="multilevel"/>
    <w:tmpl w:val="0000000C"/>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70D4A16"/>
    <w:multiLevelType w:val="singleLevel"/>
    <w:tmpl w:val="270D4A16"/>
    <w:lvl w:ilvl="0" w:tentative="0">
      <w:start w:val="1"/>
      <w:numFmt w:val="decimal"/>
      <w:suff w:val="nothing"/>
      <w:lvlText w:val="%1."/>
      <w:lvlJc w:val="left"/>
      <w:pPr>
        <w:ind w:left="-2"/>
      </w:pPr>
      <w:rPr>
        <w:rFonts w:hint="default"/>
        <w:b/>
        <w:bCs/>
        <w:sz w:val="21"/>
        <w:szCs w:val="21"/>
      </w:rPr>
    </w:lvl>
  </w:abstractNum>
  <w:abstractNum w:abstractNumId="4">
    <w:nsid w:val="5F1A4518"/>
    <w:multiLevelType w:val="singleLevel"/>
    <w:tmpl w:val="5F1A4518"/>
    <w:lvl w:ilvl="0" w:tentative="0">
      <w:start w:val="5"/>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VmZGNlZmI4ZWQ2M2MxMTRiNzE4MWM5MjU5NjQifQ=="/>
  </w:docVars>
  <w:rsids>
    <w:rsidRoot w:val="00172A27"/>
    <w:rsid w:val="00003500"/>
    <w:rsid w:val="000036B1"/>
    <w:rsid w:val="00004783"/>
    <w:rsid w:val="00004B2C"/>
    <w:rsid w:val="000105BB"/>
    <w:rsid w:val="0001067D"/>
    <w:rsid w:val="00011392"/>
    <w:rsid w:val="00013654"/>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76D34"/>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181C"/>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3F417C"/>
    <w:rsid w:val="00401846"/>
    <w:rsid w:val="00406C51"/>
    <w:rsid w:val="004130D9"/>
    <w:rsid w:val="00414FB6"/>
    <w:rsid w:val="00415BE9"/>
    <w:rsid w:val="00420EF7"/>
    <w:rsid w:val="00421B0B"/>
    <w:rsid w:val="00423C6D"/>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D4AEB"/>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39A0"/>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0597"/>
    <w:rsid w:val="006140F3"/>
    <w:rsid w:val="00617A7A"/>
    <w:rsid w:val="00620DA7"/>
    <w:rsid w:val="00621C19"/>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4A62"/>
    <w:rsid w:val="006E6D04"/>
    <w:rsid w:val="00701CC3"/>
    <w:rsid w:val="00702224"/>
    <w:rsid w:val="00705C5C"/>
    <w:rsid w:val="00705DCF"/>
    <w:rsid w:val="0071434C"/>
    <w:rsid w:val="00734AB5"/>
    <w:rsid w:val="007508BE"/>
    <w:rsid w:val="0075476C"/>
    <w:rsid w:val="00755970"/>
    <w:rsid w:val="00757273"/>
    <w:rsid w:val="007605DB"/>
    <w:rsid w:val="0076594B"/>
    <w:rsid w:val="00771B68"/>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750"/>
    <w:rsid w:val="009209BC"/>
    <w:rsid w:val="009224FE"/>
    <w:rsid w:val="00922C0F"/>
    <w:rsid w:val="00923BAF"/>
    <w:rsid w:val="00925F01"/>
    <w:rsid w:val="00926ECF"/>
    <w:rsid w:val="009271CE"/>
    <w:rsid w:val="00930024"/>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15CF"/>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470B"/>
    <w:rsid w:val="00A36323"/>
    <w:rsid w:val="00A37C17"/>
    <w:rsid w:val="00A37E78"/>
    <w:rsid w:val="00A40385"/>
    <w:rsid w:val="00A524B5"/>
    <w:rsid w:val="00A5279B"/>
    <w:rsid w:val="00A561E3"/>
    <w:rsid w:val="00A573DF"/>
    <w:rsid w:val="00A60DF2"/>
    <w:rsid w:val="00A619A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1302"/>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2DE3"/>
    <w:rsid w:val="00C1383C"/>
    <w:rsid w:val="00C138B5"/>
    <w:rsid w:val="00C1421C"/>
    <w:rsid w:val="00C14B91"/>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26D9F"/>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A97"/>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40E8"/>
    <w:rsid w:val="00EA5C81"/>
    <w:rsid w:val="00EB3DE7"/>
    <w:rsid w:val="00EB7BC9"/>
    <w:rsid w:val="00EC171D"/>
    <w:rsid w:val="00EC6F04"/>
    <w:rsid w:val="00ED016E"/>
    <w:rsid w:val="00ED3D4D"/>
    <w:rsid w:val="00ED4275"/>
    <w:rsid w:val="00ED5161"/>
    <w:rsid w:val="00ED5986"/>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27441"/>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0FF79DE"/>
    <w:rsid w:val="0103164E"/>
    <w:rsid w:val="01050F22"/>
    <w:rsid w:val="010B405F"/>
    <w:rsid w:val="01121891"/>
    <w:rsid w:val="01161381"/>
    <w:rsid w:val="01253372"/>
    <w:rsid w:val="0132783D"/>
    <w:rsid w:val="013D4B60"/>
    <w:rsid w:val="013E5A8C"/>
    <w:rsid w:val="01423F24"/>
    <w:rsid w:val="014A2DD9"/>
    <w:rsid w:val="014A4B87"/>
    <w:rsid w:val="01545A05"/>
    <w:rsid w:val="01552887"/>
    <w:rsid w:val="01830099"/>
    <w:rsid w:val="018E7169"/>
    <w:rsid w:val="019329D2"/>
    <w:rsid w:val="0194674A"/>
    <w:rsid w:val="01AC5842"/>
    <w:rsid w:val="01BD17FD"/>
    <w:rsid w:val="01C34939"/>
    <w:rsid w:val="01CD7566"/>
    <w:rsid w:val="01D54D98"/>
    <w:rsid w:val="01D803E5"/>
    <w:rsid w:val="01D8357C"/>
    <w:rsid w:val="01EE5E5A"/>
    <w:rsid w:val="01F33470"/>
    <w:rsid w:val="021448C1"/>
    <w:rsid w:val="021B4775"/>
    <w:rsid w:val="021D673F"/>
    <w:rsid w:val="0224362A"/>
    <w:rsid w:val="022950E4"/>
    <w:rsid w:val="022C24DE"/>
    <w:rsid w:val="02357F37"/>
    <w:rsid w:val="02465A96"/>
    <w:rsid w:val="02565064"/>
    <w:rsid w:val="02631873"/>
    <w:rsid w:val="026B1259"/>
    <w:rsid w:val="026C4FD1"/>
    <w:rsid w:val="026D3223"/>
    <w:rsid w:val="028A3112"/>
    <w:rsid w:val="02A66735"/>
    <w:rsid w:val="02A76009"/>
    <w:rsid w:val="02A97FD3"/>
    <w:rsid w:val="02B40E52"/>
    <w:rsid w:val="02B56978"/>
    <w:rsid w:val="02BA3F8E"/>
    <w:rsid w:val="02BD75DA"/>
    <w:rsid w:val="02CB7559"/>
    <w:rsid w:val="02D0730E"/>
    <w:rsid w:val="02DD6E97"/>
    <w:rsid w:val="02E62FD5"/>
    <w:rsid w:val="02E96621"/>
    <w:rsid w:val="02EF3E7D"/>
    <w:rsid w:val="02FF5E45"/>
    <w:rsid w:val="031A4A2D"/>
    <w:rsid w:val="031A67DB"/>
    <w:rsid w:val="032633D2"/>
    <w:rsid w:val="033B1182"/>
    <w:rsid w:val="033C0E47"/>
    <w:rsid w:val="03575D3D"/>
    <w:rsid w:val="036068E4"/>
    <w:rsid w:val="03630182"/>
    <w:rsid w:val="03675EC4"/>
    <w:rsid w:val="037800D1"/>
    <w:rsid w:val="038509C9"/>
    <w:rsid w:val="03936CB9"/>
    <w:rsid w:val="03962305"/>
    <w:rsid w:val="03993BA4"/>
    <w:rsid w:val="039E11BA"/>
    <w:rsid w:val="03A2514E"/>
    <w:rsid w:val="03A74512"/>
    <w:rsid w:val="03A964DC"/>
    <w:rsid w:val="03BE7AAE"/>
    <w:rsid w:val="03D1158F"/>
    <w:rsid w:val="03D177E1"/>
    <w:rsid w:val="03E12C8F"/>
    <w:rsid w:val="03E63A70"/>
    <w:rsid w:val="04021749"/>
    <w:rsid w:val="04097E63"/>
    <w:rsid w:val="040A2CF3"/>
    <w:rsid w:val="041B0A5C"/>
    <w:rsid w:val="041D47D5"/>
    <w:rsid w:val="041F054D"/>
    <w:rsid w:val="043B2EAD"/>
    <w:rsid w:val="04534B4C"/>
    <w:rsid w:val="045A3333"/>
    <w:rsid w:val="047343F5"/>
    <w:rsid w:val="04781A0B"/>
    <w:rsid w:val="047A1C27"/>
    <w:rsid w:val="04891E6A"/>
    <w:rsid w:val="04936845"/>
    <w:rsid w:val="049A75AA"/>
    <w:rsid w:val="049F51EA"/>
    <w:rsid w:val="04A24CDA"/>
    <w:rsid w:val="04AB3B8E"/>
    <w:rsid w:val="04E86B91"/>
    <w:rsid w:val="04F05330"/>
    <w:rsid w:val="04FA4B16"/>
    <w:rsid w:val="05031AF8"/>
    <w:rsid w:val="050F6813"/>
    <w:rsid w:val="052849AD"/>
    <w:rsid w:val="053E0EA6"/>
    <w:rsid w:val="0543026B"/>
    <w:rsid w:val="05445D91"/>
    <w:rsid w:val="054963DC"/>
    <w:rsid w:val="054A15F9"/>
    <w:rsid w:val="054B5371"/>
    <w:rsid w:val="054D733B"/>
    <w:rsid w:val="054F4E62"/>
    <w:rsid w:val="05575AC4"/>
    <w:rsid w:val="055A7363"/>
    <w:rsid w:val="056A57F8"/>
    <w:rsid w:val="056D178C"/>
    <w:rsid w:val="05755D10"/>
    <w:rsid w:val="057C377D"/>
    <w:rsid w:val="05907523"/>
    <w:rsid w:val="05A35726"/>
    <w:rsid w:val="05BD626F"/>
    <w:rsid w:val="05E355AA"/>
    <w:rsid w:val="05FE4192"/>
    <w:rsid w:val="05FE5C3A"/>
    <w:rsid w:val="06071298"/>
    <w:rsid w:val="060F6696"/>
    <w:rsid w:val="061D286A"/>
    <w:rsid w:val="06224324"/>
    <w:rsid w:val="062260D2"/>
    <w:rsid w:val="06336531"/>
    <w:rsid w:val="064029FC"/>
    <w:rsid w:val="064E5119"/>
    <w:rsid w:val="064F49ED"/>
    <w:rsid w:val="06500E91"/>
    <w:rsid w:val="06533545"/>
    <w:rsid w:val="065B3392"/>
    <w:rsid w:val="065D535C"/>
    <w:rsid w:val="06622973"/>
    <w:rsid w:val="0664493D"/>
    <w:rsid w:val="066E30C6"/>
    <w:rsid w:val="067276B4"/>
    <w:rsid w:val="067B3A34"/>
    <w:rsid w:val="06897EFF"/>
    <w:rsid w:val="06905732"/>
    <w:rsid w:val="06952D48"/>
    <w:rsid w:val="069F3BC7"/>
    <w:rsid w:val="06AE3E0A"/>
    <w:rsid w:val="06BD229F"/>
    <w:rsid w:val="06C23411"/>
    <w:rsid w:val="06C4362D"/>
    <w:rsid w:val="06C74ECC"/>
    <w:rsid w:val="06D66EBD"/>
    <w:rsid w:val="0708351A"/>
    <w:rsid w:val="070B125C"/>
    <w:rsid w:val="07133C6D"/>
    <w:rsid w:val="07140111"/>
    <w:rsid w:val="072365A6"/>
    <w:rsid w:val="07293490"/>
    <w:rsid w:val="073D7647"/>
    <w:rsid w:val="074F4C03"/>
    <w:rsid w:val="07510E9A"/>
    <w:rsid w:val="0757624F"/>
    <w:rsid w:val="076444C8"/>
    <w:rsid w:val="07666493"/>
    <w:rsid w:val="0777244E"/>
    <w:rsid w:val="07862691"/>
    <w:rsid w:val="078B414B"/>
    <w:rsid w:val="07943000"/>
    <w:rsid w:val="079A613C"/>
    <w:rsid w:val="079D726B"/>
    <w:rsid w:val="07A82607"/>
    <w:rsid w:val="07B92E8A"/>
    <w:rsid w:val="07BA233A"/>
    <w:rsid w:val="07C66F31"/>
    <w:rsid w:val="07D57174"/>
    <w:rsid w:val="07DE071F"/>
    <w:rsid w:val="07DF13ED"/>
    <w:rsid w:val="07FE7AC6"/>
    <w:rsid w:val="08002443"/>
    <w:rsid w:val="080041F1"/>
    <w:rsid w:val="08063664"/>
    <w:rsid w:val="080C528C"/>
    <w:rsid w:val="080C703A"/>
    <w:rsid w:val="081163FE"/>
    <w:rsid w:val="08135DD7"/>
    <w:rsid w:val="08326375"/>
    <w:rsid w:val="083D4E69"/>
    <w:rsid w:val="083E11BD"/>
    <w:rsid w:val="08406CE4"/>
    <w:rsid w:val="08430582"/>
    <w:rsid w:val="085B1D6F"/>
    <w:rsid w:val="085C6899"/>
    <w:rsid w:val="085E53BC"/>
    <w:rsid w:val="08602EE2"/>
    <w:rsid w:val="087B7D1C"/>
    <w:rsid w:val="0882554E"/>
    <w:rsid w:val="08872B64"/>
    <w:rsid w:val="088C1F29"/>
    <w:rsid w:val="08962DDD"/>
    <w:rsid w:val="08A13C26"/>
    <w:rsid w:val="08AC25CB"/>
    <w:rsid w:val="08B33959"/>
    <w:rsid w:val="08BD0334"/>
    <w:rsid w:val="08BF40AC"/>
    <w:rsid w:val="08C469A0"/>
    <w:rsid w:val="08C94F2B"/>
    <w:rsid w:val="08CC0577"/>
    <w:rsid w:val="08DC4C5E"/>
    <w:rsid w:val="08DD4532"/>
    <w:rsid w:val="08E104C7"/>
    <w:rsid w:val="08EC0C19"/>
    <w:rsid w:val="08ED4DD6"/>
    <w:rsid w:val="08EF118D"/>
    <w:rsid w:val="08F14B17"/>
    <w:rsid w:val="08F16230"/>
    <w:rsid w:val="08F33D56"/>
    <w:rsid w:val="09045F63"/>
    <w:rsid w:val="090E6DE2"/>
    <w:rsid w:val="091343F8"/>
    <w:rsid w:val="092E2C7C"/>
    <w:rsid w:val="0932268F"/>
    <w:rsid w:val="09376339"/>
    <w:rsid w:val="093C359F"/>
    <w:rsid w:val="093F0D49"/>
    <w:rsid w:val="09475E50"/>
    <w:rsid w:val="094C3466"/>
    <w:rsid w:val="094D790A"/>
    <w:rsid w:val="095073FA"/>
    <w:rsid w:val="095567BF"/>
    <w:rsid w:val="096207EF"/>
    <w:rsid w:val="09896468"/>
    <w:rsid w:val="098A290C"/>
    <w:rsid w:val="098F1CD1"/>
    <w:rsid w:val="09906519"/>
    <w:rsid w:val="099866AB"/>
    <w:rsid w:val="09992B4F"/>
    <w:rsid w:val="09AA4D5C"/>
    <w:rsid w:val="09AB63DF"/>
    <w:rsid w:val="09D41DD9"/>
    <w:rsid w:val="09D45935"/>
    <w:rsid w:val="09DB3168"/>
    <w:rsid w:val="09E4606F"/>
    <w:rsid w:val="0A0A57FB"/>
    <w:rsid w:val="0A140428"/>
    <w:rsid w:val="0A285C81"/>
    <w:rsid w:val="0A287A2F"/>
    <w:rsid w:val="0A331619"/>
    <w:rsid w:val="0A3B3C06"/>
    <w:rsid w:val="0A4C5E14"/>
    <w:rsid w:val="0A4C7BC2"/>
    <w:rsid w:val="0A4D56E8"/>
    <w:rsid w:val="0A5D3B7D"/>
    <w:rsid w:val="0A5E78F5"/>
    <w:rsid w:val="0A652A31"/>
    <w:rsid w:val="0A6B1C9E"/>
    <w:rsid w:val="0A8F6925"/>
    <w:rsid w:val="0AA47989"/>
    <w:rsid w:val="0AB67C5B"/>
    <w:rsid w:val="0AB87005"/>
    <w:rsid w:val="0AC0235E"/>
    <w:rsid w:val="0ACB4F8A"/>
    <w:rsid w:val="0ACE05D7"/>
    <w:rsid w:val="0AD11E75"/>
    <w:rsid w:val="0AE53B72"/>
    <w:rsid w:val="0AEC5484"/>
    <w:rsid w:val="0AF142C5"/>
    <w:rsid w:val="0AF73FD1"/>
    <w:rsid w:val="0B1A381C"/>
    <w:rsid w:val="0B1B1342"/>
    <w:rsid w:val="0B2428ED"/>
    <w:rsid w:val="0B2E376B"/>
    <w:rsid w:val="0B5C2086"/>
    <w:rsid w:val="0B6C0A55"/>
    <w:rsid w:val="0B772A1C"/>
    <w:rsid w:val="0B7A69B0"/>
    <w:rsid w:val="0B923CFA"/>
    <w:rsid w:val="0B9C2483"/>
    <w:rsid w:val="0BA354C3"/>
    <w:rsid w:val="0BAC014B"/>
    <w:rsid w:val="0BB2614A"/>
    <w:rsid w:val="0BB93035"/>
    <w:rsid w:val="0BC0059A"/>
    <w:rsid w:val="0BC11EE9"/>
    <w:rsid w:val="0BCB4B16"/>
    <w:rsid w:val="0BED0F30"/>
    <w:rsid w:val="0BF16C73"/>
    <w:rsid w:val="0BF26547"/>
    <w:rsid w:val="0BF40511"/>
    <w:rsid w:val="0C02165E"/>
    <w:rsid w:val="0C0369A6"/>
    <w:rsid w:val="0C107BA8"/>
    <w:rsid w:val="0C1464BD"/>
    <w:rsid w:val="0C19141A"/>
    <w:rsid w:val="0C2506CA"/>
    <w:rsid w:val="0C37664F"/>
    <w:rsid w:val="0C4D5E73"/>
    <w:rsid w:val="0C517711"/>
    <w:rsid w:val="0C523489"/>
    <w:rsid w:val="0C590374"/>
    <w:rsid w:val="0C5E1E2E"/>
    <w:rsid w:val="0C632FA1"/>
    <w:rsid w:val="0C711B61"/>
    <w:rsid w:val="0C7C5C90"/>
    <w:rsid w:val="0C7D22B4"/>
    <w:rsid w:val="0C801DA5"/>
    <w:rsid w:val="0C864D53"/>
    <w:rsid w:val="0C867851"/>
    <w:rsid w:val="0C923886"/>
    <w:rsid w:val="0C937D2A"/>
    <w:rsid w:val="0C945850"/>
    <w:rsid w:val="0C9D4705"/>
    <w:rsid w:val="0CA27745"/>
    <w:rsid w:val="0CA912FB"/>
    <w:rsid w:val="0CAE6912"/>
    <w:rsid w:val="0CBD6B55"/>
    <w:rsid w:val="0CBE467B"/>
    <w:rsid w:val="0CC53C5B"/>
    <w:rsid w:val="0CD16FA1"/>
    <w:rsid w:val="0CD81BE1"/>
    <w:rsid w:val="0CDE6ACB"/>
    <w:rsid w:val="0CE12BAF"/>
    <w:rsid w:val="0D044784"/>
    <w:rsid w:val="0D0E115E"/>
    <w:rsid w:val="0D103128"/>
    <w:rsid w:val="0D183D8B"/>
    <w:rsid w:val="0D200E92"/>
    <w:rsid w:val="0D2210AE"/>
    <w:rsid w:val="0D316917"/>
    <w:rsid w:val="0D335069"/>
    <w:rsid w:val="0D350DE1"/>
    <w:rsid w:val="0D35493D"/>
    <w:rsid w:val="0D4D75F3"/>
    <w:rsid w:val="0D4E1D51"/>
    <w:rsid w:val="0D533015"/>
    <w:rsid w:val="0D696CDD"/>
    <w:rsid w:val="0D847E39"/>
    <w:rsid w:val="0D8B6C53"/>
    <w:rsid w:val="0D961154"/>
    <w:rsid w:val="0D9C676A"/>
    <w:rsid w:val="0D9D24E2"/>
    <w:rsid w:val="0DA33F9D"/>
    <w:rsid w:val="0DA47D15"/>
    <w:rsid w:val="0DAA6242"/>
    <w:rsid w:val="0DAD4E1B"/>
    <w:rsid w:val="0DB8731C"/>
    <w:rsid w:val="0DCD1019"/>
    <w:rsid w:val="0DD71E98"/>
    <w:rsid w:val="0DDE75AF"/>
    <w:rsid w:val="0DE87C01"/>
    <w:rsid w:val="0DEB4982"/>
    <w:rsid w:val="0DEF71E2"/>
    <w:rsid w:val="0E097B78"/>
    <w:rsid w:val="0E100F06"/>
    <w:rsid w:val="0E177DB4"/>
    <w:rsid w:val="0E2A646C"/>
    <w:rsid w:val="0E3A7EF6"/>
    <w:rsid w:val="0E4A08BC"/>
    <w:rsid w:val="0E545297"/>
    <w:rsid w:val="0E552DBD"/>
    <w:rsid w:val="0E7771D7"/>
    <w:rsid w:val="0E852257"/>
    <w:rsid w:val="0E883192"/>
    <w:rsid w:val="0E900C18"/>
    <w:rsid w:val="0E99714E"/>
    <w:rsid w:val="0EA31D7A"/>
    <w:rsid w:val="0EB14497"/>
    <w:rsid w:val="0EB81C86"/>
    <w:rsid w:val="0EC266A4"/>
    <w:rsid w:val="0EC95C85"/>
    <w:rsid w:val="0ECE329B"/>
    <w:rsid w:val="0ED4462A"/>
    <w:rsid w:val="0EE91E83"/>
    <w:rsid w:val="0EFA4090"/>
    <w:rsid w:val="0EFD76DC"/>
    <w:rsid w:val="0F07055B"/>
    <w:rsid w:val="0F0C791F"/>
    <w:rsid w:val="0F0E19B1"/>
    <w:rsid w:val="0F0E3698"/>
    <w:rsid w:val="0F276507"/>
    <w:rsid w:val="0F2A5FF8"/>
    <w:rsid w:val="0F44355D"/>
    <w:rsid w:val="0F492922"/>
    <w:rsid w:val="0F4C0664"/>
    <w:rsid w:val="0F5F5CA1"/>
    <w:rsid w:val="0F625791"/>
    <w:rsid w:val="0F6E05DA"/>
    <w:rsid w:val="0F756041"/>
    <w:rsid w:val="0F7E5CE7"/>
    <w:rsid w:val="0F8120BC"/>
    <w:rsid w:val="0F984E8D"/>
    <w:rsid w:val="0FAD7CAC"/>
    <w:rsid w:val="0FAE4E7B"/>
    <w:rsid w:val="0FAE6C29"/>
    <w:rsid w:val="0FB6788B"/>
    <w:rsid w:val="0FC24FD2"/>
    <w:rsid w:val="0FC621C4"/>
    <w:rsid w:val="0FC95811"/>
    <w:rsid w:val="0FDF67C4"/>
    <w:rsid w:val="0FE12B5A"/>
    <w:rsid w:val="0FE268D2"/>
    <w:rsid w:val="0FE32D76"/>
    <w:rsid w:val="0FE60171"/>
    <w:rsid w:val="0FF02D9D"/>
    <w:rsid w:val="0FF76461"/>
    <w:rsid w:val="0FFC3E38"/>
    <w:rsid w:val="10036F74"/>
    <w:rsid w:val="10042CED"/>
    <w:rsid w:val="10120F66"/>
    <w:rsid w:val="10260EB5"/>
    <w:rsid w:val="10284C2D"/>
    <w:rsid w:val="1031101D"/>
    <w:rsid w:val="10315202"/>
    <w:rsid w:val="1053332C"/>
    <w:rsid w:val="105477D0"/>
    <w:rsid w:val="105E064F"/>
    <w:rsid w:val="1067787C"/>
    <w:rsid w:val="107439CE"/>
    <w:rsid w:val="107734BE"/>
    <w:rsid w:val="107A6B0B"/>
    <w:rsid w:val="10953945"/>
    <w:rsid w:val="109B53FF"/>
    <w:rsid w:val="10AD0C8E"/>
    <w:rsid w:val="10B71B0D"/>
    <w:rsid w:val="10BC7123"/>
    <w:rsid w:val="10C0356C"/>
    <w:rsid w:val="10C466DE"/>
    <w:rsid w:val="10CA5CE4"/>
    <w:rsid w:val="10CC55B8"/>
    <w:rsid w:val="10DB4392"/>
    <w:rsid w:val="10E072B6"/>
    <w:rsid w:val="10E5667A"/>
    <w:rsid w:val="10E741A0"/>
    <w:rsid w:val="10EC7A09"/>
    <w:rsid w:val="10ED552F"/>
    <w:rsid w:val="10F468BD"/>
    <w:rsid w:val="10F51CCB"/>
    <w:rsid w:val="112278CE"/>
    <w:rsid w:val="1125116C"/>
    <w:rsid w:val="11254CC9"/>
    <w:rsid w:val="113E3FDC"/>
    <w:rsid w:val="114C52E5"/>
    <w:rsid w:val="115A7068"/>
    <w:rsid w:val="115C76E5"/>
    <w:rsid w:val="115F642C"/>
    <w:rsid w:val="116C28F7"/>
    <w:rsid w:val="11780E78"/>
    <w:rsid w:val="117B2B3A"/>
    <w:rsid w:val="117C68F9"/>
    <w:rsid w:val="118714DF"/>
    <w:rsid w:val="118C0FA3"/>
    <w:rsid w:val="118E286E"/>
    <w:rsid w:val="11904838"/>
    <w:rsid w:val="11951E4E"/>
    <w:rsid w:val="119A3908"/>
    <w:rsid w:val="11A976A8"/>
    <w:rsid w:val="11AE1162"/>
    <w:rsid w:val="11B12A00"/>
    <w:rsid w:val="11BB3757"/>
    <w:rsid w:val="11BB73DB"/>
    <w:rsid w:val="11BD75F7"/>
    <w:rsid w:val="11BF435B"/>
    <w:rsid w:val="11C11F49"/>
    <w:rsid w:val="11C72224"/>
    <w:rsid w:val="11D0732A"/>
    <w:rsid w:val="11D32976"/>
    <w:rsid w:val="11DE03FE"/>
    <w:rsid w:val="11DE5F31"/>
    <w:rsid w:val="11FF551A"/>
    <w:rsid w:val="120D40DA"/>
    <w:rsid w:val="12130FC5"/>
    <w:rsid w:val="121865DB"/>
    <w:rsid w:val="121F796A"/>
    <w:rsid w:val="12260CF8"/>
    <w:rsid w:val="12354647"/>
    <w:rsid w:val="123553DF"/>
    <w:rsid w:val="12375B71"/>
    <w:rsid w:val="123C2565"/>
    <w:rsid w:val="123C676E"/>
    <w:rsid w:val="12447199"/>
    <w:rsid w:val="12486EC1"/>
    <w:rsid w:val="124B075F"/>
    <w:rsid w:val="124B4C03"/>
    <w:rsid w:val="124D2729"/>
    <w:rsid w:val="125735A8"/>
    <w:rsid w:val="125F420A"/>
    <w:rsid w:val="12655CC4"/>
    <w:rsid w:val="126A32DB"/>
    <w:rsid w:val="12855BBF"/>
    <w:rsid w:val="128D521B"/>
    <w:rsid w:val="12955E7E"/>
    <w:rsid w:val="12A06CFD"/>
    <w:rsid w:val="12A460C1"/>
    <w:rsid w:val="12A82075"/>
    <w:rsid w:val="12A85BB1"/>
    <w:rsid w:val="12B47007"/>
    <w:rsid w:val="12C10A21"/>
    <w:rsid w:val="12C527A4"/>
    <w:rsid w:val="12D70244"/>
    <w:rsid w:val="12E36BE9"/>
    <w:rsid w:val="12F26E2C"/>
    <w:rsid w:val="12FB2185"/>
    <w:rsid w:val="130D1EB8"/>
    <w:rsid w:val="131E7C21"/>
    <w:rsid w:val="1324792E"/>
    <w:rsid w:val="13301948"/>
    <w:rsid w:val="133B6A25"/>
    <w:rsid w:val="134E57BA"/>
    <w:rsid w:val="13517FF7"/>
    <w:rsid w:val="135E44C2"/>
    <w:rsid w:val="13693592"/>
    <w:rsid w:val="136A730B"/>
    <w:rsid w:val="13750189"/>
    <w:rsid w:val="13855EF2"/>
    <w:rsid w:val="13874694"/>
    <w:rsid w:val="13961EAE"/>
    <w:rsid w:val="139A7BF0"/>
    <w:rsid w:val="139B74C4"/>
    <w:rsid w:val="139D4FEA"/>
    <w:rsid w:val="13A50B07"/>
    <w:rsid w:val="13A520F1"/>
    <w:rsid w:val="13B30CB1"/>
    <w:rsid w:val="13BB7B66"/>
    <w:rsid w:val="13C22CA3"/>
    <w:rsid w:val="13C24A51"/>
    <w:rsid w:val="13CA1B57"/>
    <w:rsid w:val="13CC58CF"/>
    <w:rsid w:val="13CD0840"/>
    <w:rsid w:val="13CE1647"/>
    <w:rsid w:val="13CF716E"/>
    <w:rsid w:val="13D12EE6"/>
    <w:rsid w:val="13DB5B12"/>
    <w:rsid w:val="13E26EA1"/>
    <w:rsid w:val="13E60D9B"/>
    <w:rsid w:val="13F60B9E"/>
    <w:rsid w:val="13F90EA8"/>
    <w:rsid w:val="13FD3CDB"/>
    <w:rsid w:val="13FF4DA6"/>
    <w:rsid w:val="14101C60"/>
    <w:rsid w:val="14180B15"/>
    <w:rsid w:val="141B23B3"/>
    <w:rsid w:val="142179C9"/>
    <w:rsid w:val="14244083"/>
    <w:rsid w:val="143A4F2F"/>
    <w:rsid w:val="143C2A55"/>
    <w:rsid w:val="143D057B"/>
    <w:rsid w:val="14494355"/>
    <w:rsid w:val="14565C1B"/>
    <w:rsid w:val="147026FF"/>
    <w:rsid w:val="1481490C"/>
    <w:rsid w:val="14830684"/>
    <w:rsid w:val="148937C0"/>
    <w:rsid w:val="148B12E6"/>
    <w:rsid w:val="14904B4F"/>
    <w:rsid w:val="14956609"/>
    <w:rsid w:val="14972381"/>
    <w:rsid w:val="14A01236"/>
    <w:rsid w:val="14A44E1C"/>
    <w:rsid w:val="14B06F9F"/>
    <w:rsid w:val="14B20F69"/>
    <w:rsid w:val="14B22D17"/>
    <w:rsid w:val="14BF5434"/>
    <w:rsid w:val="14C667C2"/>
    <w:rsid w:val="14CC3796"/>
    <w:rsid w:val="14D56A06"/>
    <w:rsid w:val="14D7277E"/>
    <w:rsid w:val="14E37374"/>
    <w:rsid w:val="14EF7AC7"/>
    <w:rsid w:val="15023C9F"/>
    <w:rsid w:val="15080B89"/>
    <w:rsid w:val="150D2643"/>
    <w:rsid w:val="15175270"/>
    <w:rsid w:val="15215E1A"/>
    <w:rsid w:val="153E3A1B"/>
    <w:rsid w:val="154A11A2"/>
    <w:rsid w:val="154F0566"/>
    <w:rsid w:val="15590B5F"/>
    <w:rsid w:val="15634011"/>
    <w:rsid w:val="15655FDB"/>
    <w:rsid w:val="15681628"/>
    <w:rsid w:val="156C1118"/>
    <w:rsid w:val="157955E3"/>
    <w:rsid w:val="158666B5"/>
    <w:rsid w:val="15867E05"/>
    <w:rsid w:val="158721E5"/>
    <w:rsid w:val="158D108E"/>
    <w:rsid w:val="15AB3F87"/>
    <w:rsid w:val="15B36D47"/>
    <w:rsid w:val="15CC1BB7"/>
    <w:rsid w:val="15DA4676"/>
    <w:rsid w:val="15DD2016"/>
    <w:rsid w:val="15DD3DC4"/>
    <w:rsid w:val="15E05662"/>
    <w:rsid w:val="15EB4733"/>
    <w:rsid w:val="15EC04AB"/>
    <w:rsid w:val="160457F4"/>
    <w:rsid w:val="16133C89"/>
    <w:rsid w:val="161F43DC"/>
    <w:rsid w:val="16273291"/>
    <w:rsid w:val="162B0FD3"/>
    <w:rsid w:val="16302145"/>
    <w:rsid w:val="164B51D1"/>
    <w:rsid w:val="164B6F7F"/>
    <w:rsid w:val="165C73DE"/>
    <w:rsid w:val="167E0875"/>
    <w:rsid w:val="16976668"/>
    <w:rsid w:val="16A13043"/>
    <w:rsid w:val="16A86180"/>
    <w:rsid w:val="16AE750E"/>
    <w:rsid w:val="16BF34C9"/>
    <w:rsid w:val="16CA259A"/>
    <w:rsid w:val="16CA3CE6"/>
    <w:rsid w:val="16CF7BB0"/>
    <w:rsid w:val="16D03928"/>
    <w:rsid w:val="16D43419"/>
    <w:rsid w:val="16D451C7"/>
    <w:rsid w:val="1703785A"/>
    <w:rsid w:val="170415AA"/>
    <w:rsid w:val="170829E4"/>
    <w:rsid w:val="173C2D6C"/>
    <w:rsid w:val="17555BDC"/>
    <w:rsid w:val="176302F9"/>
    <w:rsid w:val="1772485E"/>
    <w:rsid w:val="177B1AE6"/>
    <w:rsid w:val="177D4EC7"/>
    <w:rsid w:val="17822E75"/>
    <w:rsid w:val="17852965"/>
    <w:rsid w:val="178A2087"/>
    <w:rsid w:val="178D5376"/>
    <w:rsid w:val="17914300"/>
    <w:rsid w:val="17986848"/>
    <w:rsid w:val="17A252C5"/>
    <w:rsid w:val="17B03764"/>
    <w:rsid w:val="17B1375A"/>
    <w:rsid w:val="17D11C8B"/>
    <w:rsid w:val="17D64F6F"/>
    <w:rsid w:val="17EA0A1A"/>
    <w:rsid w:val="17F536DC"/>
    <w:rsid w:val="17FE0021"/>
    <w:rsid w:val="17FF6273"/>
    <w:rsid w:val="18131D1F"/>
    <w:rsid w:val="18185587"/>
    <w:rsid w:val="18277578"/>
    <w:rsid w:val="182A0E16"/>
    <w:rsid w:val="18335F1D"/>
    <w:rsid w:val="185145F5"/>
    <w:rsid w:val="18522553"/>
    <w:rsid w:val="185760AF"/>
    <w:rsid w:val="185D2F9A"/>
    <w:rsid w:val="18616F2E"/>
    <w:rsid w:val="18695DE3"/>
    <w:rsid w:val="186E33F9"/>
    <w:rsid w:val="18715354"/>
    <w:rsid w:val="18716A45"/>
    <w:rsid w:val="187327BD"/>
    <w:rsid w:val="187529D9"/>
    <w:rsid w:val="187B0A12"/>
    <w:rsid w:val="18822A00"/>
    <w:rsid w:val="18826EA4"/>
    <w:rsid w:val="189F1804"/>
    <w:rsid w:val="18A137CE"/>
    <w:rsid w:val="18A230A3"/>
    <w:rsid w:val="18B359C5"/>
    <w:rsid w:val="18C474BD"/>
    <w:rsid w:val="18C64FE3"/>
    <w:rsid w:val="18CD45C3"/>
    <w:rsid w:val="18CE52D6"/>
    <w:rsid w:val="18D019BE"/>
    <w:rsid w:val="18D21BDA"/>
    <w:rsid w:val="19080C81"/>
    <w:rsid w:val="190D676E"/>
    <w:rsid w:val="19263CD4"/>
    <w:rsid w:val="193D1FA8"/>
    <w:rsid w:val="19406B43"/>
    <w:rsid w:val="19551E2D"/>
    <w:rsid w:val="196640D0"/>
    <w:rsid w:val="196A1E12"/>
    <w:rsid w:val="19792055"/>
    <w:rsid w:val="19874772"/>
    <w:rsid w:val="19892176"/>
    <w:rsid w:val="1997610B"/>
    <w:rsid w:val="19AF7D62"/>
    <w:rsid w:val="19B117EF"/>
    <w:rsid w:val="19C57049"/>
    <w:rsid w:val="19CE05F3"/>
    <w:rsid w:val="19D5497B"/>
    <w:rsid w:val="19ED020C"/>
    <w:rsid w:val="19F94F44"/>
    <w:rsid w:val="1A141D7E"/>
    <w:rsid w:val="1A18186E"/>
    <w:rsid w:val="1A2024D1"/>
    <w:rsid w:val="1A22449B"/>
    <w:rsid w:val="1A2C70C8"/>
    <w:rsid w:val="1A2E2E40"/>
    <w:rsid w:val="1A2E4BEE"/>
    <w:rsid w:val="1A393593"/>
    <w:rsid w:val="1A442663"/>
    <w:rsid w:val="1A475CB0"/>
    <w:rsid w:val="1A4F2DB6"/>
    <w:rsid w:val="1A5403CD"/>
    <w:rsid w:val="1A7B3BAB"/>
    <w:rsid w:val="1A7F369B"/>
    <w:rsid w:val="1A807414"/>
    <w:rsid w:val="1A856BB0"/>
    <w:rsid w:val="1A864A2A"/>
    <w:rsid w:val="1A8707A2"/>
    <w:rsid w:val="1A996BA6"/>
    <w:rsid w:val="1A9C29CA"/>
    <w:rsid w:val="1A9D5276"/>
    <w:rsid w:val="1AD35795"/>
    <w:rsid w:val="1AE479A2"/>
    <w:rsid w:val="1B06199E"/>
    <w:rsid w:val="1B083691"/>
    <w:rsid w:val="1B0A4705"/>
    <w:rsid w:val="1B171B26"/>
    <w:rsid w:val="1B1C713C"/>
    <w:rsid w:val="1B1E1106"/>
    <w:rsid w:val="1B24793F"/>
    <w:rsid w:val="1B446693"/>
    <w:rsid w:val="1B4548E5"/>
    <w:rsid w:val="1B4B17D0"/>
    <w:rsid w:val="1B4D72F6"/>
    <w:rsid w:val="1B6B3C20"/>
    <w:rsid w:val="1B754A9E"/>
    <w:rsid w:val="1B776A68"/>
    <w:rsid w:val="1B860A99"/>
    <w:rsid w:val="1B884DC4"/>
    <w:rsid w:val="1B99253B"/>
    <w:rsid w:val="1BB6133F"/>
    <w:rsid w:val="1BD01CD5"/>
    <w:rsid w:val="1BDE43F2"/>
    <w:rsid w:val="1BE0016A"/>
    <w:rsid w:val="1BEB27A3"/>
    <w:rsid w:val="1C0F6CA1"/>
    <w:rsid w:val="1C116575"/>
    <w:rsid w:val="1C1B73F4"/>
    <w:rsid w:val="1C1F4874"/>
    <w:rsid w:val="1C21339E"/>
    <w:rsid w:val="1C295FB5"/>
    <w:rsid w:val="1C2F10F1"/>
    <w:rsid w:val="1C353ED6"/>
    <w:rsid w:val="1C3861F8"/>
    <w:rsid w:val="1C395ACC"/>
    <w:rsid w:val="1C3D28C4"/>
    <w:rsid w:val="1C3D736A"/>
    <w:rsid w:val="1C3E3F31"/>
    <w:rsid w:val="1C4E5993"/>
    <w:rsid w:val="1C4F52EF"/>
    <w:rsid w:val="1C532879"/>
    <w:rsid w:val="1C676ADD"/>
    <w:rsid w:val="1C737230"/>
    <w:rsid w:val="1C77062D"/>
    <w:rsid w:val="1C7B7E93"/>
    <w:rsid w:val="1C844F99"/>
    <w:rsid w:val="1C984EE8"/>
    <w:rsid w:val="1C986C96"/>
    <w:rsid w:val="1C9A0C60"/>
    <w:rsid w:val="1CA05B4B"/>
    <w:rsid w:val="1CA22EBC"/>
    <w:rsid w:val="1CA23671"/>
    <w:rsid w:val="1CAD0994"/>
    <w:rsid w:val="1CB30F21"/>
    <w:rsid w:val="1CBD04AB"/>
    <w:rsid w:val="1CBD2FEC"/>
    <w:rsid w:val="1CC161ED"/>
    <w:rsid w:val="1CC730D8"/>
    <w:rsid w:val="1CE367E1"/>
    <w:rsid w:val="1CE41EDC"/>
    <w:rsid w:val="1D091942"/>
    <w:rsid w:val="1D0D1432"/>
    <w:rsid w:val="1D110191"/>
    <w:rsid w:val="1D116F6D"/>
    <w:rsid w:val="1D13456F"/>
    <w:rsid w:val="1D1D0F4A"/>
    <w:rsid w:val="1D214EDE"/>
    <w:rsid w:val="1D230C56"/>
    <w:rsid w:val="1D291FE4"/>
    <w:rsid w:val="1D554B87"/>
    <w:rsid w:val="1D5A03F0"/>
    <w:rsid w:val="1D5F1562"/>
    <w:rsid w:val="1D5F18A9"/>
    <w:rsid w:val="1D61177E"/>
    <w:rsid w:val="1D6152DA"/>
    <w:rsid w:val="1D772D50"/>
    <w:rsid w:val="1D774AFE"/>
    <w:rsid w:val="1D7A639C"/>
    <w:rsid w:val="1D8B2357"/>
    <w:rsid w:val="1D8D4321"/>
    <w:rsid w:val="1D8D60CF"/>
    <w:rsid w:val="1D9E02DC"/>
    <w:rsid w:val="1DA17DCD"/>
    <w:rsid w:val="1DAA4ED3"/>
    <w:rsid w:val="1DCD0BC2"/>
    <w:rsid w:val="1DCD471E"/>
    <w:rsid w:val="1DD2442A"/>
    <w:rsid w:val="1DDC2BB3"/>
    <w:rsid w:val="1DDE4B7D"/>
    <w:rsid w:val="1DF95513"/>
    <w:rsid w:val="1E036392"/>
    <w:rsid w:val="1E05210A"/>
    <w:rsid w:val="1E0D0FBE"/>
    <w:rsid w:val="1E14059F"/>
    <w:rsid w:val="1E162569"/>
    <w:rsid w:val="1E1B192D"/>
    <w:rsid w:val="1E2D340E"/>
    <w:rsid w:val="1E42335E"/>
    <w:rsid w:val="1E4C5F8A"/>
    <w:rsid w:val="1E537319"/>
    <w:rsid w:val="1E561D3A"/>
    <w:rsid w:val="1E5828D6"/>
    <w:rsid w:val="1E605592"/>
    <w:rsid w:val="1E62130A"/>
    <w:rsid w:val="1E6908EA"/>
    <w:rsid w:val="1E731769"/>
    <w:rsid w:val="1E737FBB"/>
    <w:rsid w:val="1E7840F1"/>
    <w:rsid w:val="1E85149C"/>
    <w:rsid w:val="1E854FF8"/>
    <w:rsid w:val="1E876FC3"/>
    <w:rsid w:val="1E8A0861"/>
    <w:rsid w:val="1E8C282B"/>
    <w:rsid w:val="1E8E0351"/>
    <w:rsid w:val="1E91567A"/>
    <w:rsid w:val="1E935967"/>
    <w:rsid w:val="1E94348E"/>
    <w:rsid w:val="1E960FB4"/>
    <w:rsid w:val="1E9F0D6A"/>
    <w:rsid w:val="1EA96F39"/>
    <w:rsid w:val="1EAE09F3"/>
    <w:rsid w:val="1EBA012E"/>
    <w:rsid w:val="1EBA1146"/>
    <w:rsid w:val="1EC21DA9"/>
    <w:rsid w:val="1EC6380E"/>
    <w:rsid w:val="1ED76968"/>
    <w:rsid w:val="1EDA01AA"/>
    <w:rsid w:val="1EDF0BAD"/>
    <w:rsid w:val="1EF65EF6"/>
    <w:rsid w:val="1EF67CA4"/>
    <w:rsid w:val="1EFA1543"/>
    <w:rsid w:val="1F0028D1"/>
    <w:rsid w:val="1F022AED"/>
    <w:rsid w:val="1F02489B"/>
    <w:rsid w:val="1F095C2A"/>
    <w:rsid w:val="1F0F41F0"/>
    <w:rsid w:val="1F170835"/>
    <w:rsid w:val="1F176598"/>
    <w:rsid w:val="1F26058A"/>
    <w:rsid w:val="1F3233D2"/>
    <w:rsid w:val="1F327753"/>
    <w:rsid w:val="1F332CA6"/>
    <w:rsid w:val="1F3F789D"/>
    <w:rsid w:val="1F486752"/>
    <w:rsid w:val="1F505606"/>
    <w:rsid w:val="1F5F3A9B"/>
    <w:rsid w:val="1F615A66"/>
    <w:rsid w:val="1F66307C"/>
    <w:rsid w:val="1F6D440A"/>
    <w:rsid w:val="1F707A57"/>
    <w:rsid w:val="1F7233D5"/>
    <w:rsid w:val="1F7D3F22"/>
    <w:rsid w:val="1F8756A4"/>
    <w:rsid w:val="1F8B2AE2"/>
    <w:rsid w:val="1F99183C"/>
    <w:rsid w:val="1FAA740D"/>
    <w:rsid w:val="1FAD4807"/>
    <w:rsid w:val="1FB913FE"/>
    <w:rsid w:val="1FBC0EEE"/>
    <w:rsid w:val="1FD93E60"/>
    <w:rsid w:val="1FDB4421"/>
    <w:rsid w:val="1FDE0E64"/>
    <w:rsid w:val="1FDE2C12"/>
    <w:rsid w:val="1FE87F35"/>
    <w:rsid w:val="1FEB532F"/>
    <w:rsid w:val="1FEE7A64"/>
    <w:rsid w:val="1FF24910"/>
    <w:rsid w:val="20000DDB"/>
    <w:rsid w:val="20142AD8"/>
    <w:rsid w:val="2020322B"/>
    <w:rsid w:val="20256A93"/>
    <w:rsid w:val="20340A84"/>
    <w:rsid w:val="20346CD6"/>
    <w:rsid w:val="20476A09"/>
    <w:rsid w:val="204C58AF"/>
    <w:rsid w:val="20586E69"/>
    <w:rsid w:val="2059498F"/>
    <w:rsid w:val="206A51C4"/>
    <w:rsid w:val="206F7D0E"/>
    <w:rsid w:val="20715776"/>
    <w:rsid w:val="2079293B"/>
    <w:rsid w:val="20803CC9"/>
    <w:rsid w:val="208732AA"/>
    <w:rsid w:val="208F215E"/>
    <w:rsid w:val="209854B7"/>
    <w:rsid w:val="209D0D1F"/>
    <w:rsid w:val="20A34F62"/>
    <w:rsid w:val="20AE4CDA"/>
    <w:rsid w:val="20B66BBF"/>
    <w:rsid w:val="20C22D60"/>
    <w:rsid w:val="20C92A4A"/>
    <w:rsid w:val="20CA13E8"/>
    <w:rsid w:val="20D9162C"/>
    <w:rsid w:val="20DB53A4"/>
    <w:rsid w:val="20E34258"/>
    <w:rsid w:val="20E64474"/>
    <w:rsid w:val="20F06820"/>
    <w:rsid w:val="20F14BC7"/>
    <w:rsid w:val="20F52909"/>
    <w:rsid w:val="20FB5A46"/>
    <w:rsid w:val="210466A8"/>
    <w:rsid w:val="210668C5"/>
    <w:rsid w:val="211803A6"/>
    <w:rsid w:val="211B7E4D"/>
    <w:rsid w:val="211C7457"/>
    <w:rsid w:val="21240AF9"/>
    <w:rsid w:val="2131530E"/>
    <w:rsid w:val="214F1F02"/>
    <w:rsid w:val="21505633"/>
    <w:rsid w:val="215313DE"/>
    <w:rsid w:val="21535882"/>
    <w:rsid w:val="215C4736"/>
    <w:rsid w:val="21627873"/>
    <w:rsid w:val="217575A6"/>
    <w:rsid w:val="21837F15"/>
    <w:rsid w:val="218767FE"/>
    <w:rsid w:val="218D48F0"/>
    <w:rsid w:val="219236CE"/>
    <w:rsid w:val="219263AA"/>
    <w:rsid w:val="219C4B33"/>
    <w:rsid w:val="219F0AC7"/>
    <w:rsid w:val="219F2875"/>
    <w:rsid w:val="21AB2FC8"/>
    <w:rsid w:val="21E169EA"/>
    <w:rsid w:val="21E309B4"/>
    <w:rsid w:val="22093F32"/>
    <w:rsid w:val="2210107D"/>
    <w:rsid w:val="22145011"/>
    <w:rsid w:val="2216237D"/>
    <w:rsid w:val="221943D6"/>
    <w:rsid w:val="22246984"/>
    <w:rsid w:val="222B4109"/>
    <w:rsid w:val="223707EE"/>
    <w:rsid w:val="223E5BEA"/>
    <w:rsid w:val="224D22D1"/>
    <w:rsid w:val="226513C9"/>
    <w:rsid w:val="227C4964"/>
    <w:rsid w:val="22806203"/>
    <w:rsid w:val="2292483A"/>
    <w:rsid w:val="22A068A5"/>
    <w:rsid w:val="22A2261D"/>
    <w:rsid w:val="22AF0896"/>
    <w:rsid w:val="22BD1205"/>
    <w:rsid w:val="22C04851"/>
    <w:rsid w:val="22D27C35"/>
    <w:rsid w:val="22D36C7A"/>
    <w:rsid w:val="22E542B8"/>
    <w:rsid w:val="22ED4B08"/>
    <w:rsid w:val="22F015DA"/>
    <w:rsid w:val="22F83FEB"/>
    <w:rsid w:val="23005595"/>
    <w:rsid w:val="230476A6"/>
    <w:rsid w:val="232A616E"/>
    <w:rsid w:val="232C1EE7"/>
    <w:rsid w:val="233314C7"/>
    <w:rsid w:val="2338088B"/>
    <w:rsid w:val="233C481F"/>
    <w:rsid w:val="236C6787"/>
    <w:rsid w:val="23700025"/>
    <w:rsid w:val="23713D9D"/>
    <w:rsid w:val="23733FB9"/>
    <w:rsid w:val="23757618"/>
    <w:rsid w:val="237F64BA"/>
    <w:rsid w:val="238241FC"/>
    <w:rsid w:val="23827D58"/>
    <w:rsid w:val="23A14683"/>
    <w:rsid w:val="23A221A9"/>
    <w:rsid w:val="23B31D5F"/>
    <w:rsid w:val="23B4085A"/>
    <w:rsid w:val="23BA1BE8"/>
    <w:rsid w:val="23BF447B"/>
    <w:rsid w:val="23CB5BA3"/>
    <w:rsid w:val="23CD36CA"/>
    <w:rsid w:val="23D2079E"/>
    <w:rsid w:val="23D74548"/>
    <w:rsid w:val="23F1AFB4"/>
    <w:rsid w:val="23F5677C"/>
    <w:rsid w:val="23F9544D"/>
    <w:rsid w:val="23FA0237"/>
    <w:rsid w:val="240370EB"/>
    <w:rsid w:val="24174945"/>
    <w:rsid w:val="242332EA"/>
    <w:rsid w:val="24415E66"/>
    <w:rsid w:val="24443260"/>
    <w:rsid w:val="244F2331"/>
    <w:rsid w:val="245060A9"/>
    <w:rsid w:val="24575689"/>
    <w:rsid w:val="246F4781"/>
    <w:rsid w:val="247104F9"/>
    <w:rsid w:val="2471674B"/>
    <w:rsid w:val="248046D8"/>
    <w:rsid w:val="2480698E"/>
    <w:rsid w:val="24877D1C"/>
    <w:rsid w:val="248A1E01"/>
    <w:rsid w:val="248F4E23"/>
    <w:rsid w:val="248F6BD1"/>
    <w:rsid w:val="24A24B56"/>
    <w:rsid w:val="24BD16AB"/>
    <w:rsid w:val="24BE3012"/>
    <w:rsid w:val="24C90335"/>
    <w:rsid w:val="24D32F62"/>
    <w:rsid w:val="24DE5462"/>
    <w:rsid w:val="24E11174"/>
    <w:rsid w:val="24EC4023"/>
    <w:rsid w:val="24F627AC"/>
    <w:rsid w:val="25056E93"/>
    <w:rsid w:val="25076767"/>
    <w:rsid w:val="251A03EB"/>
    <w:rsid w:val="25276E09"/>
    <w:rsid w:val="253908EB"/>
    <w:rsid w:val="25457290"/>
    <w:rsid w:val="254774AC"/>
    <w:rsid w:val="25493224"/>
    <w:rsid w:val="254E25E8"/>
    <w:rsid w:val="255816B9"/>
    <w:rsid w:val="255A0F8D"/>
    <w:rsid w:val="25740E92"/>
    <w:rsid w:val="257D4C7B"/>
    <w:rsid w:val="258C3110"/>
    <w:rsid w:val="25910727"/>
    <w:rsid w:val="25954889"/>
    <w:rsid w:val="25A72595"/>
    <w:rsid w:val="25BC3478"/>
    <w:rsid w:val="25BD7BDD"/>
    <w:rsid w:val="25C1725E"/>
    <w:rsid w:val="25D0124F"/>
    <w:rsid w:val="25D105C8"/>
    <w:rsid w:val="25DD571A"/>
    <w:rsid w:val="25E27C61"/>
    <w:rsid w:val="25E32D48"/>
    <w:rsid w:val="25E847EB"/>
    <w:rsid w:val="25F0369F"/>
    <w:rsid w:val="25F74A2E"/>
    <w:rsid w:val="25FD5DBC"/>
    <w:rsid w:val="25FD7B6A"/>
    <w:rsid w:val="25FF1B34"/>
    <w:rsid w:val="260929B3"/>
    <w:rsid w:val="2613738E"/>
    <w:rsid w:val="26154EB4"/>
    <w:rsid w:val="26240F85"/>
    <w:rsid w:val="26325A66"/>
    <w:rsid w:val="2637307C"/>
    <w:rsid w:val="26396DF4"/>
    <w:rsid w:val="26404627"/>
    <w:rsid w:val="26431A21"/>
    <w:rsid w:val="265359DC"/>
    <w:rsid w:val="26583D33"/>
    <w:rsid w:val="265C2AE3"/>
    <w:rsid w:val="26600825"/>
    <w:rsid w:val="266F2816"/>
    <w:rsid w:val="26864004"/>
    <w:rsid w:val="2694227D"/>
    <w:rsid w:val="26AA35DB"/>
    <w:rsid w:val="26AB6A4C"/>
    <w:rsid w:val="26B26BA7"/>
    <w:rsid w:val="26B96187"/>
    <w:rsid w:val="26BE58C2"/>
    <w:rsid w:val="26CA0394"/>
    <w:rsid w:val="26CC5EBA"/>
    <w:rsid w:val="26E8081A"/>
    <w:rsid w:val="26EA00EF"/>
    <w:rsid w:val="26F90805"/>
    <w:rsid w:val="26FB3ED3"/>
    <w:rsid w:val="26FE3B9A"/>
    <w:rsid w:val="27007912"/>
    <w:rsid w:val="270513CC"/>
    <w:rsid w:val="270A69E3"/>
    <w:rsid w:val="2714160F"/>
    <w:rsid w:val="272735B8"/>
    <w:rsid w:val="2729330D"/>
    <w:rsid w:val="273121C1"/>
    <w:rsid w:val="27391076"/>
    <w:rsid w:val="274A6DDF"/>
    <w:rsid w:val="27532138"/>
    <w:rsid w:val="27662D4D"/>
    <w:rsid w:val="276E2ACE"/>
    <w:rsid w:val="27722E27"/>
    <w:rsid w:val="27785933"/>
    <w:rsid w:val="277924A6"/>
    <w:rsid w:val="277A3B68"/>
    <w:rsid w:val="27814EF7"/>
    <w:rsid w:val="278D305D"/>
    <w:rsid w:val="27A029BC"/>
    <w:rsid w:val="27B64475"/>
    <w:rsid w:val="27B70919"/>
    <w:rsid w:val="27B94FAB"/>
    <w:rsid w:val="27BA5D13"/>
    <w:rsid w:val="27BD3F01"/>
    <w:rsid w:val="27C272BD"/>
    <w:rsid w:val="27D65E40"/>
    <w:rsid w:val="27EC31AA"/>
    <w:rsid w:val="27EFE123"/>
    <w:rsid w:val="27F136FF"/>
    <w:rsid w:val="27FA6A57"/>
    <w:rsid w:val="28011B94"/>
    <w:rsid w:val="280671AA"/>
    <w:rsid w:val="281C4C20"/>
    <w:rsid w:val="28212FEC"/>
    <w:rsid w:val="28235FAE"/>
    <w:rsid w:val="28281B98"/>
    <w:rsid w:val="28321D4D"/>
    <w:rsid w:val="283E5914"/>
    <w:rsid w:val="284952E9"/>
    <w:rsid w:val="28537F15"/>
    <w:rsid w:val="285739C1"/>
    <w:rsid w:val="285B7B62"/>
    <w:rsid w:val="28672083"/>
    <w:rsid w:val="286B3A4E"/>
    <w:rsid w:val="28773C04"/>
    <w:rsid w:val="287B7B98"/>
    <w:rsid w:val="287E44DE"/>
    <w:rsid w:val="288822B5"/>
    <w:rsid w:val="2895052E"/>
    <w:rsid w:val="289F315B"/>
    <w:rsid w:val="28AF7842"/>
    <w:rsid w:val="28B20B36"/>
    <w:rsid w:val="28B906C0"/>
    <w:rsid w:val="28C9682E"/>
    <w:rsid w:val="28D167FB"/>
    <w:rsid w:val="28D42E04"/>
    <w:rsid w:val="28D870B1"/>
    <w:rsid w:val="28DC43AF"/>
    <w:rsid w:val="28E36B60"/>
    <w:rsid w:val="28E60D8A"/>
    <w:rsid w:val="28EB0C2F"/>
    <w:rsid w:val="28ED3EC6"/>
    <w:rsid w:val="28F60FCD"/>
    <w:rsid w:val="28FE2577"/>
    <w:rsid w:val="290F6532"/>
    <w:rsid w:val="29127DD1"/>
    <w:rsid w:val="291E6775"/>
    <w:rsid w:val="292213BA"/>
    <w:rsid w:val="29363ABF"/>
    <w:rsid w:val="293E4722"/>
    <w:rsid w:val="29424212"/>
    <w:rsid w:val="294F2DD3"/>
    <w:rsid w:val="295403E9"/>
    <w:rsid w:val="29564161"/>
    <w:rsid w:val="296879F1"/>
    <w:rsid w:val="297168A5"/>
    <w:rsid w:val="298A3E0B"/>
    <w:rsid w:val="29930F11"/>
    <w:rsid w:val="299B7DC6"/>
    <w:rsid w:val="29A45E3F"/>
    <w:rsid w:val="29AB625B"/>
    <w:rsid w:val="29AF561F"/>
    <w:rsid w:val="29AF73CD"/>
    <w:rsid w:val="29CA4E9C"/>
    <w:rsid w:val="29D46E34"/>
    <w:rsid w:val="29DF5F05"/>
    <w:rsid w:val="29E77A40"/>
    <w:rsid w:val="29E90B31"/>
    <w:rsid w:val="29ED41C7"/>
    <w:rsid w:val="29EF3C6E"/>
    <w:rsid w:val="29F54CD2"/>
    <w:rsid w:val="29FB1519"/>
    <w:rsid w:val="2A0140CD"/>
    <w:rsid w:val="2A04596B"/>
    <w:rsid w:val="2A07545B"/>
    <w:rsid w:val="2A077209"/>
    <w:rsid w:val="2A092F82"/>
    <w:rsid w:val="2A0D15E4"/>
    <w:rsid w:val="2A0E05C1"/>
    <w:rsid w:val="2A0E6DD8"/>
    <w:rsid w:val="2A1060BE"/>
    <w:rsid w:val="2A164CA1"/>
    <w:rsid w:val="2A1831C5"/>
    <w:rsid w:val="2A2D4EC2"/>
    <w:rsid w:val="2A2E29E8"/>
    <w:rsid w:val="2A391AB9"/>
    <w:rsid w:val="2A3C5105"/>
    <w:rsid w:val="2A3F79F7"/>
    <w:rsid w:val="2A44045E"/>
    <w:rsid w:val="2A461AE0"/>
    <w:rsid w:val="2A5F2BA2"/>
    <w:rsid w:val="2A677CA8"/>
    <w:rsid w:val="2A67ACEB"/>
    <w:rsid w:val="2A7228D5"/>
    <w:rsid w:val="2A781EB5"/>
    <w:rsid w:val="2A81520E"/>
    <w:rsid w:val="2A8E16D9"/>
    <w:rsid w:val="2A922F77"/>
    <w:rsid w:val="2A9A007E"/>
    <w:rsid w:val="2A9C2048"/>
    <w:rsid w:val="2AA1140C"/>
    <w:rsid w:val="2AA91C15"/>
    <w:rsid w:val="2ABB0720"/>
    <w:rsid w:val="2AC33130"/>
    <w:rsid w:val="2ACA2711"/>
    <w:rsid w:val="2AEA1089"/>
    <w:rsid w:val="2AEB2687"/>
    <w:rsid w:val="2AEF03C9"/>
    <w:rsid w:val="2AF7727E"/>
    <w:rsid w:val="2AFB4FC0"/>
    <w:rsid w:val="2AFE685E"/>
    <w:rsid w:val="2B0100FD"/>
    <w:rsid w:val="2B01079C"/>
    <w:rsid w:val="2B114234"/>
    <w:rsid w:val="2B165956"/>
    <w:rsid w:val="2B1A1D02"/>
    <w:rsid w:val="2B1C4262"/>
    <w:rsid w:val="2B231E21"/>
    <w:rsid w:val="2B2A31B0"/>
    <w:rsid w:val="2B391645"/>
    <w:rsid w:val="2B434271"/>
    <w:rsid w:val="2B54022C"/>
    <w:rsid w:val="2B717030"/>
    <w:rsid w:val="2B724B56"/>
    <w:rsid w:val="2B746468"/>
    <w:rsid w:val="2B762899"/>
    <w:rsid w:val="2B8212EE"/>
    <w:rsid w:val="2B88478B"/>
    <w:rsid w:val="2B9D7E25"/>
    <w:rsid w:val="2BA32F62"/>
    <w:rsid w:val="2BA72A52"/>
    <w:rsid w:val="2BA94A1C"/>
    <w:rsid w:val="2BB138D1"/>
    <w:rsid w:val="2BB84C5F"/>
    <w:rsid w:val="2BBD04C8"/>
    <w:rsid w:val="2BD355F5"/>
    <w:rsid w:val="2BD4136D"/>
    <w:rsid w:val="2BD63337"/>
    <w:rsid w:val="2BE041B6"/>
    <w:rsid w:val="2BE908CE"/>
    <w:rsid w:val="2BEC66B7"/>
    <w:rsid w:val="2C027C88"/>
    <w:rsid w:val="2C091017"/>
    <w:rsid w:val="2C1A76C8"/>
    <w:rsid w:val="2C3B319A"/>
    <w:rsid w:val="2C424529"/>
    <w:rsid w:val="2C55425C"/>
    <w:rsid w:val="2C5A5D16"/>
    <w:rsid w:val="2C610E53"/>
    <w:rsid w:val="2C673F8F"/>
    <w:rsid w:val="2C6D0CF3"/>
    <w:rsid w:val="2C7F3EE9"/>
    <w:rsid w:val="2C892158"/>
    <w:rsid w:val="2C923702"/>
    <w:rsid w:val="2C956D4E"/>
    <w:rsid w:val="2CA927FA"/>
    <w:rsid w:val="2CB25B52"/>
    <w:rsid w:val="2CB27900"/>
    <w:rsid w:val="2CB35427"/>
    <w:rsid w:val="2CC87124"/>
    <w:rsid w:val="2CD21D51"/>
    <w:rsid w:val="2CDB28F0"/>
    <w:rsid w:val="2CE3426C"/>
    <w:rsid w:val="2CF63CCC"/>
    <w:rsid w:val="2CFF066C"/>
    <w:rsid w:val="2D012636"/>
    <w:rsid w:val="2D0422A3"/>
    <w:rsid w:val="2D0D4B37"/>
    <w:rsid w:val="2D102879"/>
    <w:rsid w:val="2D1B54A6"/>
    <w:rsid w:val="2D2C76B3"/>
    <w:rsid w:val="2D3A013A"/>
    <w:rsid w:val="2D4367AA"/>
    <w:rsid w:val="2D4744ED"/>
    <w:rsid w:val="2D4B565F"/>
    <w:rsid w:val="2D4F321A"/>
    <w:rsid w:val="2D4F514F"/>
    <w:rsid w:val="2D5E1836"/>
    <w:rsid w:val="2D6D3827"/>
    <w:rsid w:val="2D742E08"/>
    <w:rsid w:val="2D7D51E9"/>
    <w:rsid w:val="2D880661"/>
    <w:rsid w:val="2D8D7A26"/>
    <w:rsid w:val="2D917516"/>
    <w:rsid w:val="2D9765C8"/>
    <w:rsid w:val="2DA21F75"/>
    <w:rsid w:val="2DB120AF"/>
    <w:rsid w:val="2DB31B82"/>
    <w:rsid w:val="2DB63420"/>
    <w:rsid w:val="2DB651CE"/>
    <w:rsid w:val="2DC84F02"/>
    <w:rsid w:val="2DCA6ECC"/>
    <w:rsid w:val="2DDF4725"/>
    <w:rsid w:val="2DEB0E07"/>
    <w:rsid w:val="2DF83A39"/>
    <w:rsid w:val="2DFB0E33"/>
    <w:rsid w:val="2DFF6B75"/>
    <w:rsid w:val="2E0B376C"/>
    <w:rsid w:val="2E0D56A8"/>
    <w:rsid w:val="2E0E500A"/>
    <w:rsid w:val="2E2A1718"/>
    <w:rsid w:val="2E2D0A6B"/>
    <w:rsid w:val="2E3C1B78"/>
    <w:rsid w:val="2E514EF7"/>
    <w:rsid w:val="2E5B7B24"/>
    <w:rsid w:val="2E5D564A"/>
    <w:rsid w:val="2E78505A"/>
    <w:rsid w:val="2E785465"/>
    <w:rsid w:val="2E861045"/>
    <w:rsid w:val="2E89643F"/>
    <w:rsid w:val="2E8C5F2F"/>
    <w:rsid w:val="2E9A4AF0"/>
    <w:rsid w:val="2EA63495"/>
    <w:rsid w:val="2EA72D69"/>
    <w:rsid w:val="2EB07E70"/>
    <w:rsid w:val="2EB23BE8"/>
    <w:rsid w:val="2ECB2EFB"/>
    <w:rsid w:val="2ECD68F7"/>
    <w:rsid w:val="2ECD6C74"/>
    <w:rsid w:val="2ECE6548"/>
    <w:rsid w:val="2ED32D39"/>
    <w:rsid w:val="2ED81174"/>
    <w:rsid w:val="2EF35FAE"/>
    <w:rsid w:val="2EFC3AB9"/>
    <w:rsid w:val="2F041F69"/>
    <w:rsid w:val="2F2820FC"/>
    <w:rsid w:val="2F2E6FE6"/>
    <w:rsid w:val="2F34284F"/>
    <w:rsid w:val="2F407445"/>
    <w:rsid w:val="2F432A92"/>
    <w:rsid w:val="2F5268C1"/>
    <w:rsid w:val="2F540C1B"/>
    <w:rsid w:val="2F6D3FB3"/>
    <w:rsid w:val="2F7225BD"/>
    <w:rsid w:val="2F77098D"/>
    <w:rsid w:val="2F8135BA"/>
    <w:rsid w:val="2F8B61E7"/>
    <w:rsid w:val="2F8C3155"/>
    <w:rsid w:val="2FB30378"/>
    <w:rsid w:val="2FBF533C"/>
    <w:rsid w:val="2FCC2A87"/>
    <w:rsid w:val="2FD23E16"/>
    <w:rsid w:val="2FD951A4"/>
    <w:rsid w:val="2FE029D7"/>
    <w:rsid w:val="2FEC4ED7"/>
    <w:rsid w:val="2FF95846"/>
    <w:rsid w:val="30041E46"/>
    <w:rsid w:val="300D4E4E"/>
    <w:rsid w:val="300E12F2"/>
    <w:rsid w:val="30201025"/>
    <w:rsid w:val="30313232"/>
    <w:rsid w:val="303365FB"/>
    <w:rsid w:val="30411227"/>
    <w:rsid w:val="30564A47"/>
    <w:rsid w:val="305B205D"/>
    <w:rsid w:val="306727B0"/>
    <w:rsid w:val="306B6744"/>
    <w:rsid w:val="30774435"/>
    <w:rsid w:val="307849BD"/>
    <w:rsid w:val="30823A8E"/>
    <w:rsid w:val="309B37B0"/>
    <w:rsid w:val="30A45A9E"/>
    <w:rsid w:val="30A47560"/>
    <w:rsid w:val="30D00355"/>
    <w:rsid w:val="30DC319E"/>
    <w:rsid w:val="30EB518F"/>
    <w:rsid w:val="30F009F7"/>
    <w:rsid w:val="30F06C49"/>
    <w:rsid w:val="30F73331"/>
    <w:rsid w:val="310426F5"/>
    <w:rsid w:val="310F3573"/>
    <w:rsid w:val="31271F3F"/>
    <w:rsid w:val="312E1520"/>
    <w:rsid w:val="31307046"/>
    <w:rsid w:val="3140197F"/>
    <w:rsid w:val="31442AF1"/>
    <w:rsid w:val="314B0324"/>
    <w:rsid w:val="31556AAC"/>
    <w:rsid w:val="31653193"/>
    <w:rsid w:val="31655E3B"/>
    <w:rsid w:val="31725F19"/>
    <w:rsid w:val="317433D6"/>
    <w:rsid w:val="317452BC"/>
    <w:rsid w:val="31774C75"/>
    <w:rsid w:val="317C228B"/>
    <w:rsid w:val="31815AF3"/>
    <w:rsid w:val="31833619"/>
    <w:rsid w:val="31853836"/>
    <w:rsid w:val="318A49A8"/>
    <w:rsid w:val="318B6972"/>
    <w:rsid w:val="3192385D"/>
    <w:rsid w:val="31A16195"/>
    <w:rsid w:val="31AD0696"/>
    <w:rsid w:val="31BD5C76"/>
    <w:rsid w:val="31BE0AF5"/>
    <w:rsid w:val="31C0661C"/>
    <w:rsid w:val="31C51E84"/>
    <w:rsid w:val="31C61758"/>
    <w:rsid w:val="31C75BFC"/>
    <w:rsid w:val="31C97E3A"/>
    <w:rsid w:val="31CD0D39"/>
    <w:rsid w:val="31CD6F8B"/>
    <w:rsid w:val="31CF685F"/>
    <w:rsid w:val="31D64091"/>
    <w:rsid w:val="31DB16A7"/>
    <w:rsid w:val="31E57E30"/>
    <w:rsid w:val="31FB3AF8"/>
    <w:rsid w:val="3200110E"/>
    <w:rsid w:val="32096215"/>
    <w:rsid w:val="32292413"/>
    <w:rsid w:val="322E5C7B"/>
    <w:rsid w:val="32454D73"/>
    <w:rsid w:val="324A05DB"/>
    <w:rsid w:val="324C7EAF"/>
    <w:rsid w:val="32544FB6"/>
    <w:rsid w:val="325E7BE3"/>
    <w:rsid w:val="326C0551"/>
    <w:rsid w:val="32764F2C"/>
    <w:rsid w:val="327D62BB"/>
    <w:rsid w:val="32881945"/>
    <w:rsid w:val="328C0BF4"/>
    <w:rsid w:val="328C626F"/>
    <w:rsid w:val="328D6603"/>
    <w:rsid w:val="329B0E37"/>
    <w:rsid w:val="329D070B"/>
    <w:rsid w:val="32A61CB5"/>
    <w:rsid w:val="32B256A2"/>
    <w:rsid w:val="32BB5AB3"/>
    <w:rsid w:val="32BE3907"/>
    <w:rsid w:val="32C1089D"/>
    <w:rsid w:val="32C71C2C"/>
    <w:rsid w:val="32D57EA5"/>
    <w:rsid w:val="32DC56D7"/>
    <w:rsid w:val="32DD31FD"/>
    <w:rsid w:val="32EC0397"/>
    <w:rsid w:val="32F50547"/>
    <w:rsid w:val="32F81DE5"/>
    <w:rsid w:val="33030382"/>
    <w:rsid w:val="3304078A"/>
    <w:rsid w:val="330E33B7"/>
    <w:rsid w:val="331D7A9E"/>
    <w:rsid w:val="331F702A"/>
    <w:rsid w:val="332D7CE1"/>
    <w:rsid w:val="3330332D"/>
    <w:rsid w:val="33353039"/>
    <w:rsid w:val="3337290D"/>
    <w:rsid w:val="334B0167"/>
    <w:rsid w:val="334E7C57"/>
    <w:rsid w:val="335164FE"/>
    <w:rsid w:val="335542B1"/>
    <w:rsid w:val="33582884"/>
    <w:rsid w:val="335D7E9A"/>
    <w:rsid w:val="335F00B6"/>
    <w:rsid w:val="33615BDC"/>
    <w:rsid w:val="33661445"/>
    <w:rsid w:val="336851BD"/>
    <w:rsid w:val="336B25B7"/>
    <w:rsid w:val="336E291C"/>
    <w:rsid w:val="337B4EF0"/>
    <w:rsid w:val="337C2A16"/>
    <w:rsid w:val="33813B89"/>
    <w:rsid w:val="33890C8F"/>
    <w:rsid w:val="339935C8"/>
    <w:rsid w:val="33A06705"/>
    <w:rsid w:val="33A51F6D"/>
    <w:rsid w:val="33AB6E58"/>
    <w:rsid w:val="33B71CA0"/>
    <w:rsid w:val="33C1667B"/>
    <w:rsid w:val="33C30645"/>
    <w:rsid w:val="33C817B8"/>
    <w:rsid w:val="33C87A09"/>
    <w:rsid w:val="33CA19D4"/>
    <w:rsid w:val="33E12879"/>
    <w:rsid w:val="33EF4F96"/>
    <w:rsid w:val="33FB1B8D"/>
    <w:rsid w:val="34084D34"/>
    <w:rsid w:val="34160775"/>
    <w:rsid w:val="34270BD4"/>
    <w:rsid w:val="342A06C4"/>
    <w:rsid w:val="34394463"/>
    <w:rsid w:val="34473024"/>
    <w:rsid w:val="34474EA2"/>
    <w:rsid w:val="344D6161"/>
    <w:rsid w:val="345117AD"/>
    <w:rsid w:val="34545741"/>
    <w:rsid w:val="345762FD"/>
    <w:rsid w:val="3457790B"/>
    <w:rsid w:val="34692F9B"/>
    <w:rsid w:val="34763909"/>
    <w:rsid w:val="347831DE"/>
    <w:rsid w:val="349A75F8"/>
    <w:rsid w:val="349D1206"/>
    <w:rsid w:val="34AB35B3"/>
    <w:rsid w:val="34C401D1"/>
    <w:rsid w:val="34C603ED"/>
    <w:rsid w:val="34D0182D"/>
    <w:rsid w:val="34F265FD"/>
    <w:rsid w:val="34F30AB6"/>
    <w:rsid w:val="34F736BB"/>
    <w:rsid w:val="35004F81"/>
    <w:rsid w:val="35026F4B"/>
    <w:rsid w:val="352073D1"/>
    <w:rsid w:val="352769B2"/>
    <w:rsid w:val="35366BF5"/>
    <w:rsid w:val="353F1F4D"/>
    <w:rsid w:val="354D5E43"/>
    <w:rsid w:val="354D6418"/>
    <w:rsid w:val="35523A2F"/>
    <w:rsid w:val="35586B6B"/>
    <w:rsid w:val="35625367"/>
    <w:rsid w:val="356B2D42"/>
    <w:rsid w:val="3575771D"/>
    <w:rsid w:val="35777939"/>
    <w:rsid w:val="357E2A76"/>
    <w:rsid w:val="358A766C"/>
    <w:rsid w:val="3599165E"/>
    <w:rsid w:val="359A53D6"/>
    <w:rsid w:val="35B05222"/>
    <w:rsid w:val="35B75BBE"/>
    <w:rsid w:val="35BA6669"/>
    <w:rsid w:val="35BE10C4"/>
    <w:rsid w:val="35D00DF7"/>
    <w:rsid w:val="35D5640E"/>
    <w:rsid w:val="35E30B2B"/>
    <w:rsid w:val="36054F45"/>
    <w:rsid w:val="36062A6B"/>
    <w:rsid w:val="36070CBD"/>
    <w:rsid w:val="36140EF6"/>
    <w:rsid w:val="362829E1"/>
    <w:rsid w:val="36321AB2"/>
    <w:rsid w:val="363B2715"/>
    <w:rsid w:val="363D46DF"/>
    <w:rsid w:val="363E0457"/>
    <w:rsid w:val="3647730B"/>
    <w:rsid w:val="365657A0"/>
    <w:rsid w:val="365B4B65"/>
    <w:rsid w:val="366A4DA8"/>
    <w:rsid w:val="36730100"/>
    <w:rsid w:val="3679148F"/>
    <w:rsid w:val="367E6AA5"/>
    <w:rsid w:val="369260AD"/>
    <w:rsid w:val="36B97ADD"/>
    <w:rsid w:val="36BF3346"/>
    <w:rsid w:val="36C344B8"/>
    <w:rsid w:val="36C7044C"/>
    <w:rsid w:val="36C721FA"/>
    <w:rsid w:val="36D263C4"/>
    <w:rsid w:val="36D30B9F"/>
    <w:rsid w:val="36D609F1"/>
    <w:rsid w:val="36D8563F"/>
    <w:rsid w:val="36E0150E"/>
    <w:rsid w:val="36FD5560"/>
    <w:rsid w:val="3701395E"/>
    <w:rsid w:val="3702284F"/>
    <w:rsid w:val="371A057C"/>
    <w:rsid w:val="37321D6A"/>
    <w:rsid w:val="373553B6"/>
    <w:rsid w:val="374E46CA"/>
    <w:rsid w:val="374F1469"/>
    <w:rsid w:val="37517D16"/>
    <w:rsid w:val="37555A58"/>
    <w:rsid w:val="376C68FE"/>
    <w:rsid w:val="377759CE"/>
    <w:rsid w:val="37824373"/>
    <w:rsid w:val="37826121"/>
    <w:rsid w:val="37933A27"/>
    <w:rsid w:val="37A95DA4"/>
    <w:rsid w:val="37AD49B3"/>
    <w:rsid w:val="37B79502"/>
    <w:rsid w:val="37BE35FD"/>
    <w:rsid w:val="37BF2ED1"/>
    <w:rsid w:val="37CF1BCD"/>
    <w:rsid w:val="37D526F5"/>
    <w:rsid w:val="37D72DA0"/>
    <w:rsid w:val="37E40B8A"/>
    <w:rsid w:val="37EE37B7"/>
    <w:rsid w:val="37F60FE9"/>
    <w:rsid w:val="37FC2378"/>
    <w:rsid w:val="37FE1C4C"/>
    <w:rsid w:val="3819749D"/>
    <w:rsid w:val="381E409C"/>
    <w:rsid w:val="382D0232"/>
    <w:rsid w:val="38355AD3"/>
    <w:rsid w:val="38392C84"/>
    <w:rsid w:val="384358B1"/>
    <w:rsid w:val="384743E1"/>
    <w:rsid w:val="384F24A7"/>
    <w:rsid w:val="385E093C"/>
    <w:rsid w:val="38656D70"/>
    <w:rsid w:val="38765C86"/>
    <w:rsid w:val="38784230"/>
    <w:rsid w:val="387B14EE"/>
    <w:rsid w:val="387B504A"/>
    <w:rsid w:val="38875313"/>
    <w:rsid w:val="388859B9"/>
    <w:rsid w:val="388D4D7E"/>
    <w:rsid w:val="38926838"/>
    <w:rsid w:val="3894610C"/>
    <w:rsid w:val="38983E4E"/>
    <w:rsid w:val="38A24CCD"/>
    <w:rsid w:val="38BC1624"/>
    <w:rsid w:val="38BC7547"/>
    <w:rsid w:val="38BD1B07"/>
    <w:rsid w:val="38E47094"/>
    <w:rsid w:val="38EC7CF6"/>
    <w:rsid w:val="38FF5292"/>
    <w:rsid w:val="390F1C37"/>
    <w:rsid w:val="39184F8F"/>
    <w:rsid w:val="39194863"/>
    <w:rsid w:val="391F631E"/>
    <w:rsid w:val="392A6A70"/>
    <w:rsid w:val="393873DF"/>
    <w:rsid w:val="393F42CA"/>
    <w:rsid w:val="394A2C6F"/>
    <w:rsid w:val="394C4C39"/>
    <w:rsid w:val="394E275F"/>
    <w:rsid w:val="39551D3F"/>
    <w:rsid w:val="395C67B9"/>
    <w:rsid w:val="39643D30"/>
    <w:rsid w:val="39664FE9"/>
    <w:rsid w:val="396F26D5"/>
    <w:rsid w:val="39785A2E"/>
    <w:rsid w:val="39A64349"/>
    <w:rsid w:val="39AB195F"/>
    <w:rsid w:val="39AE31FE"/>
    <w:rsid w:val="39B77EFC"/>
    <w:rsid w:val="39C66799"/>
    <w:rsid w:val="39C742BF"/>
    <w:rsid w:val="39D013C6"/>
    <w:rsid w:val="39D569DC"/>
    <w:rsid w:val="39DF5AAD"/>
    <w:rsid w:val="39E72CC9"/>
    <w:rsid w:val="39F41558"/>
    <w:rsid w:val="39FF3A59"/>
    <w:rsid w:val="3A053765"/>
    <w:rsid w:val="3A141A1A"/>
    <w:rsid w:val="3A176FF5"/>
    <w:rsid w:val="3A1C0AAF"/>
    <w:rsid w:val="3A274C17"/>
    <w:rsid w:val="3A2B6F44"/>
    <w:rsid w:val="3A2D4A6A"/>
    <w:rsid w:val="3A345DF9"/>
    <w:rsid w:val="3A401DF6"/>
    <w:rsid w:val="3A53562E"/>
    <w:rsid w:val="3A5356E1"/>
    <w:rsid w:val="3A543DA5"/>
    <w:rsid w:val="3A617662"/>
    <w:rsid w:val="3A683CF4"/>
    <w:rsid w:val="3A6E45FB"/>
    <w:rsid w:val="3A751F6D"/>
    <w:rsid w:val="3A8A77C7"/>
    <w:rsid w:val="3A8D72B7"/>
    <w:rsid w:val="3A8F302F"/>
    <w:rsid w:val="3A8F74D3"/>
    <w:rsid w:val="3AA40859"/>
    <w:rsid w:val="3AA54601"/>
    <w:rsid w:val="3AB331C1"/>
    <w:rsid w:val="3AB43149"/>
    <w:rsid w:val="3AB64A60"/>
    <w:rsid w:val="3AC56F65"/>
    <w:rsid w:val="3AD924FC"/>
    <w:rsid w:val="3ADD1FEC"/>
    <w:rsid w:val="3AF64E5C"/>
    <w:rsid w:val="3AFB2473"/>
    <w:rsid w:val="3B057795"/>
    <w:rsid w:val="3B084B8F"/>
    <w:rsid w:val="3B1B2B15"/>
    <w:rsid w:val="3B231C82"/>
    <w:rsid w:val="3B3D2A8B"/>
    <w:rsid w:val="3B5878C5"/>
    <w:rsid w:val="3B5B5607"/>
    <w:rsid w:val="3B5E2A01"/>
    <w:rsid w:val="3B5F50F7"/>
    <w:rsid w:val="3B7A783B"/>
    <w:rsid w:val="3B9603ED"/>
    <w:rsid w:val="3BA246F5"/>
    <w:rsid w:val="3BA5384D"/>
    <w:rsid w:val="3BA66882"/>
    <w:rsid w:val="3BAA1905"/>
    <w:rsid w:val="3BC1546A"/>
    <w:rsid w:val="3BC52C95"/>
    <w:rsid w:val="3BC767F9"/>
    <w:rsid w:val="3BCF4FEC"/>
    <w:rsid w:val="3BDC6748"/>
    <w:rsid w:val="3BDF7FE6"/>
    <w:rsid w:val="3BFC2946"/>
    <w:rsid w:val="3C0B4937"/>
    <w:rsid w:val="3C0D6901"/>
    <w:rsid w:val="3C241E9D"/>
    <w:rsid w:val="3C2679C3"/>
    <w:rsid w:val="3C2A477B"/>
    <w:rsid w:val="3C2B322B"/>
    <w:rsid w:val="3C2D0D52"/>
    <w:rsid w:val="3C2D2B00"/>
    <w:rsid w:val="3C3A521C"/>
    <w:rsid w:val="3C487939"/>
    <w:rsid w:val="3C5C33E5"/>
    <w:rsid w:val="3C6110D5"/>
    <w:rsid w:val="3C720E5A"/>
    <w:rsid w:val="3C7C5835"/>
    <w:rsid w:val="3C834E15"/>
    <w:rsid w:val="3C8841DA"/>
    <w:rsid w:val="3C90308E"/>
    <w:rsid w:val="3CA37266"/>
    <w:rsid w:val="3CBA010B"/>
    <w:rsid w:val="3CBE7BFC"/>
    <w:rsid w:val="3CC86CCC"/>
    <w:rsid w:val="3CE07B72"/>
    <w:rsid w:val="3CF3617C"/>
    <w:rsid w:val="3CF61143"/>
    <w:rsid w:val="3CFB0E50"/>
    <w:rsid w:val="3D037D04"/>
    <w:rsid w:val="3D073351"/>
    <w:rsid w:val="3D17730C"/>
    <w:rsid w:val="3D1D0DC6"/>
    <w:rsid w:val="3D202664"/>
    <w:rsid w:val="3D204412"/>
    <w:rsid w:val="3D2263DC"/>
    <w:rsid w:val="3D2A703F"/>
    <w:rsid w:val="3D3A1978"/>
    <w:rsid w:val="3D402D06"/>
    <w:rsid w:val="3D424389"/>
    <w:rsid w:val="3D5F13DF"/>
    <w:rsid w:val="3D5F318D"/>
    <w:rsid w:val="3D632551"/>
    <w:rsid w:val="3D6C7658"/>
    <w:rsid w:val="3D793B23"/>
    <w:rsid w:val="3D85696B"/>
    <w:rsid w:val="3D8A5D30"/>
    <w:rsid w:val="3D9904B2"/>
    <w:rsid w:val="3D9F17DB"/>
    <w:rsid w:val="3DA26841"/>
    <w:rsid w:val="3DB42DAD"/>
    <w:rsid w:val="3DB72FC9"/>
    <w:rsid w:val="3DB83658"/>
    <w:rsid w:val="3DCB25D0"/>
    <w:rsid w:val="3DD82F3F"/>
    <w:rsid w:val="3DE25D39"/>
    <w:rsid w:val="3DE47B36"/>
    <w:rsid w:val="3DE54A23"/>
    <w:rsid w:val="3DE641E3"/>
    <w:rsid w:val="3DEE4511"/>
    <w:rsid w:val="3DF36E8B"/>
    <w:rsid w:val="3DFE0BF8"/>
    <w:rsid w:val="3E09759C"/>
    <w:rsid w:val="3E0C4997"/>
    <w:rsid w:val="3E155F41"/>
    <w:rsid w:val="3E1675C3"/>
    <w:rsid w:val="3E1877DF"/>
    <w:rsid w:val="3E2E7003"/>
    <w:rsid w:val="3E674220"/>
    <w:rsid w:val="3E6A5CCC"/>
    <w:rsid w:val="3E742C68"/>
    <w:rsid w:val="3E7A3FF6"/>
    <w:rsid w:val="3E7D2D88"/>
    <w:rsid w:val="3E832EAB"/>
    <w:rsid w:val="3E8502AB"/>
    <w:rsid w:val="3E8A248B"/>
    <w:rsid w:val="3E94330A"/>
    <w:rsid w:val="3E9C5D1B"/>
    <w:rsid w:val="3E9E5F37"/>
    <w:rsid w:val="3EA370A9"/>
    <w:rsid w:val="3EB23790"/>
    <w:rsid w:val="3EB47508"/>
    <w:rsid w:val="3EB56DDC"/>
    <w:rsid w:val="3EB76FF8"/>
    <w:rsid w:val="3EB92D70"/>
    <w:rsid w:val="3EB968CD"/>
    <w:rsid w:val="3EBA2645"/>
    <w:rsid w:val="3EBB0897"/>
    <w:rsid w:val="3EC314F9"/>
    <w:rsid w:val="3EC60FE9"/>
    <w:rsid w:val="3ECD4126"/>
    <w:rsid w:val="3ECF7E9E"/>
    <w:rsid w:val="3ED069D1"/>
    <w:rsid w:val="3ED37810"/>
    <w:rsid w:val="3EE66096"/>
    <w:rsid w:val="3EF20030"/>
    <w:rsid w:val="3EF75D33"/>
    <w:rsid w:val="3F0833B0"/>
    <w:rsid w:val="3F2006FA"/>
    <w:rsid w:val="3F214472"/>
    <w:rsid w:val="3F2D2E17"/>
    <w:rsid w:val="3F3453F5"/>
    <w:rsid w:val="3F43088C"/>
    <w:rsid w:val="3F446ADE"/>
    <w:rsid w:val="3F52287D"/>
    <w:rsid w:val="3F555260"/>
    <w:rsid w:val="3F5C5A01"/>
    <w:rsid w:val="3F626F64"/>
    <w:rsid w:val="3F634A8A"/>
    <w:rsid w:val="3F6F34C7"/>
    <w:rsid w:val="3F7647BE"/>
    <w:rsid w:val="3F9B5FD2"/>
    <w:rsid w:val="3FA23805"/>
    <w:rsid w:val="3FA330D9"/>
    <w:rsid w:val="3FA56E51"/>
    <w:rsid w:val="3FB62E0C"/>
    <w:rsid w:val="3FB928FC"/>
    <w:rsid w:val="3FBB0422"/>
    <w:rsid w:val="3FBD063E"/>
    <w:rsid w:val="3FBF5061"/>
    <w:rsid w:val="3FC7643C"/>
    <w:rsid w:val="3FCE63A8"/>
    <w:rsid w:val="3FD17C46"/>
    <w:rsid w:val="3FDD65EB"/>
    <w:rsid w:val="3FE07E89"/>
    <w:rsid w:val="3FE518BE"/>
    <w:rsid w:val="3FE71217"/>
    <w:rsid w:val="3FEFD773"/>
    <w:rsid w:val="3FF34060"/>
    <w:rsid w:val="400032D3"/>
    <w:rsid w:val="40095632"/>
    <w:rsid w:val="40280D6B"/>
    <w:rsid w:val="402D7572"/>
    <w:rsid w:val="403D00ED"/>
    <w:rsid w:val="4047615A"/>
    <w:rsid w:val="40721429"/>
    <w:rsid w:val="40864ED4"/>
    <w:rsid w:val="408847A8"/>
    <w:rsid w:val="40925627"/>
    <w:rsid w:val="40996CA8"/>
    <w:rsid w:val="40B94CC0"/>
    <w:rsid w:val="40BF3F42"/>
    <w:rsid w:val="40C1415E"/>
    <w:rsid w:val="40C63523"/>
    <w:rsid w:val="40C91191"/>
    <w:rsid w:val="40C95C12"/>
    <w:rsid w:val="40CB0B39"/>
    <w:rsid w:val="40D7128C"/>
    <w:rsid w:val="40E439A9"/>
    <w:rsid w:val="40EA0D9F"/>
    <w:rsid w:val="40F24318"/>
    <w:rsid w:val="40F57964"/>
    <w:rsid w:val="40F77B80"/>
    <w:rsid w:val="41025635"/>
    <w:rsid w:val="41036525"/>
    <w:rsid w:val="41110C42"/>
    <w:rsid w:val="41126768"/>
    <w:rsid w:val="4114603C"/>
    <w:rsid w:val="411E6EBB"/>
    <w:rsid w:val="41200631"/>
    <w:rsid w:val="41202C33"/>
    <w:rsid w:val="412C782A"/>
    <w:rsid w:val="413D1A37"/>
    <w:rsid w:val="414C43D2"/>
    <w:rsid w:val="41636FC4"/>
    <w:rsid w:val="416A0352"/>
    <w:rsid w:val="41720FB5"/>
    <w:rsid w:val="417967E7"/>
    <w:rsid w:val="41A2189A"/>
    <w:rsid w:val="41A90E7A"/>
    <w:rsid w:val="41AA4BF2"/>
    <w:rsid w:val="41B065D4"/>
    <w:rsid w:val="41CE268F"/>
    <w:rsid w:val="41D63C39"/>
    <w:rsid w:val="41EC6FB9"/>
    <w:rsid w:val="41F25A6B"/>
    <w:rsid w:val="41F93484"/>
    <w:rsid w:val="41FB71FC"/>
    <w:rsid w:val="421C4B1A"/>
    <w:rsid w:val="42293D69"/>
    <w:rsid w:val="422C3859"/>
    <w:rsid w:val="423F358D"/>
    <w:rsid w:val="4249440B"/>
    <w:rsid w:val="4255690C"/>
    <w:rsid w:val="42862F6A"/>
    <w:rsid w:val="42980EEF"/>
    <w:rsid w:val="42982C9D"/>
    <w:rsid w:val="42AC04F6"/>
    <w:rsid w:val="42C341BE"/>
    <w:rsid w:val="42C41CE4"/>
    <w:rsid w:val="42C817D4"/>
    <w:rsid w:val="42E303BC"/>
    <w:rsid w:val="42E934F8"/>
    <w:rsid w:val="42ED123B"/>
    <w:rsid w:val="42F00C51"/>
    <w:rsid w:val="42F75C15"/>
    <w:rsid w:val="42F779C3"/>
    <w:rsid w:val="43014CE6"/>
    <w:rsid w:val="430B346F"/>
    <w:rsid w:val="430D71E7"/>
    <w:rsid w:val="432B1D63"/>
    <w:rsid w:val="434F30B7"/>
    <w:rsid w:val="434F77FF"/>
    <w:rsid w:val="43601A0D"/>
    <w:rsid w:val="43607C5E"/>
    <w:rsid w:val="43635059"/>
    <w:rsid w:val="436A63E7"/>
    <w:rsid w:val="43727992"/>
    <w:rsid w:val="437B6846"/>
    <w:rsid w:val="438356FB"/>
    <w:rsid w:val="43947908"/>
    <w:rsid w:val="43994F1E"/>
    <w:rsid w:val="43CD4BC8"/>
    <w:rsid w:val="43D41FF2"/>
    <w:rsid w:val="43DE0B83"/>
    <w:rsid w:val="44000AFA"/>
    <w:rsid w:val="44030670"/>
    <w:rsid w:val="440700DA"/>
    <w:rsid w:val="4407632C"/>
    <w:rsid w:val="44103433"/>
    <w:rsid w:val="44114AB5"/>
    <w:rsid w:val="442742D8"/>
    <w:rsid w:val="442C18EF"/>
    <w:rsid w:val="442C5D93"/>
    <w:rsid w:val="443F17DC"/>
    <w:rsid w:val="445157F9"/>
    <w:rsid w:val="445350CD"/>
    <w:rsid w:val="44586B88"/>
    <w:rsid w:val="44590A02"/>
    <w:rsid w:val="44654E01"/>
    <w:rsid w:val="448B2AB9"/>
    <w:rsid w:val="44A45929"/>
    <w:rsid w:val="44A8366B"/>
    <w:rsid w:val="44AD0C81"/>
    <w:rsid w:val="44AE49FA"/>
    <w:rsid w:val="44B244EA"/>
    <w:rsid w:val="44BA339E"/>
    <w:rsid w:val="44BD68E4"/>
    <w:rsid w:val="44CC6C2E"/>
    <w:rsid w:val="44DB12E8"/>
    <w:rsid w:val="44E4666D"/>
    <w:rsid w:val="44EB79FC"/>
    <w:rsid w:val="44F248E6"/>
    <w:rsid w:val="45014B29"/>
    <w:rsid w:val="450A60D4"/>
    <w:rsid w:val="450D34CE"/>
    <w:rsid w:val="45124F88"/>
    <w:rsid w:val="45154A79"/>
    <w:rsid w:val="452D591E"/>
    <w:rsid w:val="452F5B3A"/>
    <w:rsid w:val="45350C77"/>
    <w:rsid w:val="453E3FCF"/>
    <w:rsid w:val="45443838"/>
    <w:rsid w:val="454D7D6F"/>
    <w:rsid w:val="45525385"/>
    <w:rsid w:val="455E1F7C"/>
    <w:rsid w:val="45723C79"/>
    <w:rsid w:val="45796DB6"/>
    <w:rsid w:val="457E261E"/>
    <w:rsid w:val="45800144"/>
    <w:rsid w:val="458319E2"/>
    <w:rsid w:val="4588349D"/>
    <w:rsid w:val="458A4B1F"/>
    <w:rsid w:val="45A007E6"/>
    <w:rsid w:val="45AC0F39"/>
    <w:rsid w:val="45BA0E9D"/>
    <w:rsid w:val="45BB73CE"/>
    <w:rsid w:val="45C81AEB"/>
    <w:rsid w:val="45C85647"/>
    <w:rsid w:val="45CA5863"/>
    <w:rsid w:val="45DD5596"/>
    <w:rsid w:val="45DE4E6B"/>
    <w:rsid w:val="45E41C5F"/>
    <w:rsid w:val="45EF49AA"/>
    <w:rsid w:val="45FB3C6E"/>
    <w:rsid w:val="45FB5A1D"/>
    <w:rsid w:val="46001285"/>
    <w:rsid w:val="46020B59"/>
    <w:rsid w:val="4605689B"/>
    <w:rsid w:val="460C5E7C"/>
    <w:rsid w:val="461F5BAF"/>
    <w:rsid w:val="46252D4D"/>
    <w:rsid w:val="463D7DE3"/>
    <w:rsid w:val="464C0026"/>
    <w:rsid w:val="464C6278"/>
    <w:rsid w:val="464E0242"/>
    <w:rsid w:val="464F1744"/>
    <w:rsid w:val="46623CEE"/>
    <w:rsid w:val="468C3F03"/>
    <w:rsid w:val="46A00372"/>
    <w:rsid w:val="46AB7443"/>
    <w:rsid w:val="46AE2A8F"/>
    <w:rsid w:val="46B87F3F"/>
    <w:rsid w:val="46C91677"/>
    <w:rsid w:val="46CB53EF"/>
    <w:rsid w:val="46CF43B1"/>
    <w:rsid w:val="46DC584E"/>
    <w:rsid w:val="46DD3374"/>
    <w:rsid w:val="46FA2178"/>
    <w:rsid w:val="46FD57C4"/>
    <w:rsid w:val="47024B89"/>
    <w:rsid w:val="4703102D"/>
    <w:rsid w:val="47044DA5"/>
    <w:rsid w:val="470D5A07"/>
    <w:rsid w:val="4714323A"/>
    <w:rsid w:val="472650D5"/>
    <w:rsid w:val="472E2CA2"/>
    <w:rsid w:val="473A07C7"/>
    <w:rsid w:val="47503B46"/>
    <w:rsid w:val="475353E4"/>
    <w:rsid w:val="475709EC"/>
    <w:rsid w:val="475A49C5"/>
    <w:rsid w:val="47631ACB"/>
    <w:rsid w:val="476D64A6"/>
    <w:rsid w:val="47741FF2"/>
    <w:rsid w:val="477B46DA"/>
    <w:rsid w:val="478131A3"/>
    <w:rsid w:val="478A34FC"/>
    <w:rsid w:val="47A3011A"/>
    <w:rsid w:val="47A62C2A"/>
    <w:rsid w:val="47AA14A8"/>
    <w:rsid w:val="47CA1B4A"/>
    <w:rsid w:val="47CA7D9C"/>
    <w:rsid w:val="47CC58C3"/>
    <w:rsid w:val="47CD5197"/>
    <w:rsid w:val="47D227AD"/>
    <w:rsid w:val="47D46525"/>
    <w:rsid w:val="47DC187E"/>
    <w:rsid w:val="47E524E0"/>
    <w:rsid w:val="4800556C"/>
    <w:rsid w:val="48074B4D"/>
    <w:rsid w:val="480768FB"/>
    <w:rsid w:val="48180B08"/>
    <w:rsid w:val="481903DC"/>
    <w:rsid w:val="48194880"/>
    <w:rsid w:val="481E41DD"/>
    <w:rsid w:val="482079BC"/>
    <w:rsid w:val="482374AD"/>
    <w:rsid w:val="482F1367"/>
    <w:rsid w:val="482F78B9"/>
    <w:rsid w:val="483E7E42"/>
    <w:rsid w:val="484A67E7"/>
    <w:rsid w:val="48502504"/>
    <w:rsid w:val="4851401A"/>
    <w:rsid w:val="485D29BF"/>
    <w:rsid w:val="4862144E"/>
    <w:rsid w:val="486A50DB"/>
    <w:rsid w:val="48802C4C"/>
    <w:rsid w:val="48825F81"/>
    <w:rsid w:val="489108BA"/>
    <w:rsid w:val="48A85B47"/>
    <w:rsid w:val="48AE1CFE"/>
    <w:rsid w:val="48B00D40"/>
    <w:rsid w:val="48B16866"/>
    <w:rsid w:val="48B9571B"/>
    <w:rsid w:val="48D10546"/>
    <w:rsid w:val="48E1714C"/>
    <w:rsid w:val="48E649B1"/>
    <w:rsid w:val="48E924A4"/>
    <w:rsid w:val="48FA020D"/>
    <w:rsid w:val="48FC21D7"/>
    <w:rsid w:val="490177EE"/>
    <w:rsid w:val="490D6193"/>
    <w:rsid w:val="491F06FD"/>
    <w:rsid w:val="4929464F"/>
    <w:rsid w:val="4933371F"/>
    <w:rsid w:val="493A2D00"/>
    <w:rsid w:val="493C4382"/>
    <w:rsid w:val="4941408E"/>
    <w:rsid w:val="49431BB4"/>
    <w:rsid w:val="495F7E6E"/>
    <w:rsid w:val="49663AF5"/>
    <w:rsid w:val="496935E7"/>
    <w:rsid w:val="49725FF6"/>
    <w:rsid w:val="498D72D3"/>
    <w:rsid w:val="49C425C9"/>
    <w:rsid w:val="49C66341"/>
    <w:rsid w:val="49CD147E"/>
    <w:rsid w:val="49CF169A"/>
    <w:rsid w:val="49D4280C"/>
    <w:rsid w:val="49D722FD"/>
    <w:rsid w:val="49E1317B"/>
    <w:rsid w:val="49E36EF3"/>
    <w:rsid w:val="49E62540"/>
    <w:rsid w:val="49E862B8"/>
    <w:rsid w:val="49EA64D4"/>
    <w:rsid w:val="49F7474D"/>
    <w:rsid w:val="4A0823B3"/>
    <w:rsid w:val="4A08695A"/>
    <w:rsid w:val="4A126880"/>
    <w:rsid w:val="4A143551"/>
    <w:rsid w:val="4A1732CA"/>
    <w:rsid w:val="4A174DEF"/>
    <w:rsid w:val="4A3E5581"/>
    <w:rsid w:val="4A4110E0"/>
    <w:rsid w:val="4A437992"/>
    <w:rsid w:val="4A471230"/>
    <w:rsid w:val="4A534079"/>
    <w:rsid w:val="4A5D6CA6"/>
    <w:rsid w:val="4A5E47CC"/>
    <w:rsid w:val="4A5E657A"/>
    <w:rsid w:val="4A68063C"/>
    <w:rsid w:val="4A69389D"/>
    <w:rsid w:val="4A6E0EB3"/>
    <w:rsid w:val="4A6F2535"/>
    <w:rsid w:val="4A6F4C2B"/>
    <w:rsid w:val="4A743FEF"/>
    <w:rsid w:val="4A74435E"/>
    <w:rsid w:val="4A77763C"/>
    <w:rsid w:val="4A7B715E"/>
    <w:rsid w:val="4A810122"/>
    <w:rsid w:val="4AA61C7A"/>
    <w:rsid w:val="4AA77F21"/>
    <w:rsid w:val="4AB368C6"/>
    <w:rsid w:val="4ABD7744"/>
    <w:rsid w:val="4AC26B09"/>
    <w:rsid w:val="4ADB7BCB"/>
    <w:rsid w:val="4AE143EB"/>
    <w:rsid w:val="4AEB2504"/>
    <w:rsid w:val="4AF43755"/>
    <w:rsid w:val="4AF55130"/>
    <w:rsid w:val="4AFD2237"/>
    <w:rsid w:val="4B045373"/>
    <w:rsid w:val="4B0B1F4A"/>
    <w:rsid w:val="4B125CE2"/>
    <w:rsid w:val="4B133808"/>
    <w:rsid w:val="4B1530DD"/>
    <w:rsid w:val="4B2B2900"/>
    <w:rsid w:val="4B3612A5"/>
    <w:rsid w:val="4B38326F"/>
    <w:rsid w:val="4B3D0885"/>
    <w:rsid w:val="4B3F0159"/>
    <w:rsid w:val="4B46598C"/>
    <w:rsid w:val="4B48460B"/>
    <w:rsid w:val="4B5A31E5"/>
    <w:rsid w:val="4B5C51AF"/>
    <w:rsid w:val="4B5F07FC"/>
    <w:rsid w:val="4B663938"/>
    <w:rsid w:val="4B6A3DF6"/>
    <w:rsid w:val="4B7F0E9E"/>
    <w:rsid w:val="4B8464B4"/>
    <w:rsid w:val="4B8E10E1"/>
    <w:rsid w:val="4B95421D"/>
    <w:rsid w:val="4B991A63"/>
    <w:rsid w:val="4BA319B6"/>
    <w:rsid w:val="4BA426B2"/>
    <w:rsid w:val="4BBE3774"/>
    <w:rsid w:val="4BC114B6"/>
    <w:rsid w:val="4BC62629"/>
    <w:rsid w:val="4BED5E07"/>
    <w:rsid w:val="4BFE1DC3"/>
    <w:rsid w:val="4C2638A5"/>
    <w:rsid w:val="4C3B3017"/>
    <w:rsid w:val="4C3D6D8F"/>
    <w:rsid w:val="4C5440D8"/>
    <w:rsid w:val="4C574A64"/>
    <w:rsid w:val="4C5E0FA9"/>
    <w:rsid w:val="4C6267F5"/>
    <w:rsid w:val="4C651E42"/>
    <w:rsid w:val="4C6F4A6E"/>
    <w:rsid w:val="4C6F4AF2"/>
    <w:rsid w:val="4C7B3413"/>
    <w:rsid w:val="4CA54934"/>
    <w:rsid w:val="4CB91BB2"/>
    <w:rsid w:val="4CC76658"/>
    <w:rsid w:val="4CCE79E7"/>
    <w:rsid w:val="4CE0596C"/>
    <w:rsid w:val="4CEB0640"/>
    <w:rsid w:val="4CEF795D"/>
    <w:rsid w:val="4CFA7D7E"/>
    <w:rsid w:val="4D063625"/>
    <w:rsid w:val="4D072EF9"/>
    <w:rsid w:val="4D106251"/>
    <w:rsid w:val="4D113D78"/>
    <w:rsid w:val="4D114108"/>
    <w:rsid w:val="4D151ABA"/>
    <w:rsid w:val="4D161448"/>
    <w:rsid w:val="4D186EB4"/>
    <w:rsid w:val="4D203020"/>
    <w:rsid w:val="4D245859"/>
    <w:rsid w:val="4D260EFB"/>
    <w:rsid w:val="4D27359B"/>
    <w:rsid w:val="4D2B4E39"/>
    <w:rsid w:val="4D2C6E03"/>
    <w:rsid w:val="4D3F08E5"/>
    <w:rsid w:val="4D423F31"/>
    <w:rsid w:val="4D445EFB"/>
    <w:rsid w:val="4D5325E2"/>
    <w:rsid w:val="4D5A127B"/>
    <w:rsid w:val="4D5B25F7"/>
    <w:rsid w:val="4D775534"/>
    <w:rsid w:val="4D785BA5"/>
    <w:rsid w:val="4D866514"/>
    <w:rsid w:val="4D875DE8"/>
    <w:rsid w:val="4D9264EE"/>
    <w:rsid w:val="4D9549A9"/>
    <w:rsid w:val="4DA1334D"/>
    <w:rsid w:val="4DA62712"/>
    <w:rsid w:val="4DA900E3"/>
    <w:rsid w:val="4DB0533F"/>
    <w:rsid w:val="4DC82688"/>
    <w:rsid w:val="4DD059E1"/>
    <w:rsid w:val="4DED20EF"/>
    <w:rsid w:val="4DF81A75"/>
    <w:rsid w:val="4E04568A"/>
    <w:rsid w:val="4E094A4F"/>
    <w:rsid w:val="4E11734B"/>
    <w:rsid w:val="4E183C1F"/>
    <w:rsid w:val="4E2A50F1"/>
    <w:rsid w:val="4E2B2C17"/>
    <w:rsid w:val="4E345F70"/>
    <w:rsid w:val="4E367AF4"/>
    <w:rsid w:val="4E4B32B9"/>
    <w:rsid w:val="4E5E4D9B"/>
    <w:rsid w:val="4E720846"/>
    <w:rsid w:val="4E7B3B9E"/>
    <w:rsid w:val="4E824F2D"/>
    <w:rsid w:val="4E984750"/>
    <w:rsid w:val="4E99094C"/>
    <w:rsid w:val="4EA76741"/>
    <w:rsid w:val="4EBA13D7"/>
    <w:rsid w:val="4EBD41B7"/>
    <w:rsid w:val="4EC15329"/>
    <w:rsid w:val="4EC92B5C"/>
    <w:rsid w:val="4ECF5F29"/>
    <w:rsid w:val="4EDE5EDB"/>
    <w:rsid w:val="4EE2777A"/>
    <w:rsid w:val="4EE74267"/>
    <w:rsid w:val="4EE9065B"/>
    <w:rsid w:val="4EF474AD"/>
    <w:rsid w:val="4EF61477"/>
    <w:rsid w:val="4EF62370"/>
    <w:rsid w:val="4EFC1636"/>
    <w:rsid w:val="4F02606E"/>
    <w:rsid w:val="4F0C47F7"/>
    <w:rsid w:val="4F126690"/>
    <w:rsid w:val="4F231986"/>
    <w:rsid w:val="4F2B6334"/>
    <w:rsid w:val="4F3501F1"/>
    <w:rsid w:val="4F361873"/>
    <w:rsid w:val="4F3D2C02"/>
    <w:rsid w:val="4F610FE6"/>
    <w:rsid w:val="4F6A776F"/>
    <w:rsid w:val="4F6C0DB8"/>
    <w:rsid w:val="4F6C798B"/>
    <w:rsid w:val="4F74239C"/>
    <w:rsid w:val="4F7C5E20"/>
    <w:rsid w:val="4F860A4D"/>
    <w:rsid w:val="4F9273F2"/>
    <w:rsid w:val="4F9A44F8"/>
    <w:rsid w:val="4F9D18F3"/>
    <w:rsid w:val="4FA2515B"/>
    <w:rsid w:val="4FA669F9"/>
    <w:rsid w:val="4FA709C3"/>
    <w:rsid w:val="4FB87CE8"/>
    <w:rsid w:val="4FBA06F6"/>
    <w:rsid w:val="4FBB7FCB"/>
    <w:rsid w:val="4FBF5D0D"/>
    <w:rsid w:val="4FDF7658"/>
    <w:rsid w:val="4FE37716"/>
    <w:rsid w:val="4FF9121F"/>
    <w:rsid w:val="4FFF435B"/>
    <w:rsid w:val="4FFFB71E"/>
    <w:rsid w:val="500D0826"/>
    <w:rsid w:val="50120532"/>
    <w:rsid w:val="501C315F"/>
    <w:rsid w:val="502C3AFD"/>
    <w:rsid w:val="503009B9"/>
    <w:rsid w:val="503F29AA"/>
    <w:rsid w:val="505521CD"/>
    <w:rsid w:val="50615016"/>
    <w:rsid w:val="506B7C43"/>
    <w:rsid w:val="506D6B4D"/>
    <w:rsid w:val="50827466"/>
    <w:rsid w:val="508F1B83"/>
    <w:rsid w:val="509205B0"/>
    <w:rsid w:val="50974594"/>
    <w:rsid w:val="509C604E"/>
    <w:rsid w:val="50AD523A"/>
    <w:rsid w:val="50B9275C"/>
    <w:rsid w:val="50C03AEB"/>
    <w:rsid w:val="50C25AB5"/>
    <w:rsid w:val="50C35389"/>
    <w:rsid w:val="50C730CB"/>
    <w:rsid w:val="50C820AA"/>
    <w:rsid w:val="50CE26AB"/>
    <w:rsid w:val="50CF01D2"/>
    <w:rsid w:val="50EF43D0"/>
    <w:rsid w:val="51053BF3"/>
    <w:rsid w:val="510936E3"/>
    <w:rsid w:val="51121E6C"/>
    <w:rsid w:val="51145BE4"/>
    <w:rsid w:val="5119769F"/>
    <w:rsid w:val="511A58F1"/>
    <w:rsid w:val="511B51C5"/>
    <w:rsid w:val="512027DB"/>
    <w:rsid w:val="512247A5"/>
    <w:rsid w:val="514364CA"/>
    <w:rsid w:val="515626A1"/>
    <w:rsid w:val="51600E2A"/>
    <w:rsid w:val="51621046"/>
    <w:rsid w:val="517D7C2E"/>
    <w:rsid w:val="518666E1"/>
    <w:rsid w:val="518C7E71"/>
    <w:rsid w:val="51A96C75"/>
    <w:rsid w:val="51B82A14"/>
    <w:rsid w:val="51BF1FF4"/>
    <w:rsid w:val="51CC64BF"/>
    <w:rsid w:val="51D75590"/>
    <w:rsid w:val="51DB6702"/>
    <w:rsid w:val="51DC4954"/>
    <w:rsid w:val="51E43809"/>
    <w:rsid w:val="51F021AD"/>
    <w:rsid w:val="51FE0D6E"/>
    <w:rsid w:val="520F3E01"/>
    <w:rsid w:val="522B58DB"/>
    <w:rsid w:val="52383B54"/>
    <w:rsid w:val="52391DA6"/>
    <w:rsid w:val="523E560F"/>
    <w:rsid w:val="52650DED"/>
    <w:rsid w:val="526D1A50"/>
    <w:rsid w:val="52733F35"/>
    <w:rsid w:val="52742DDF"/>
    <w:rsid w:val="52884ADC"/>
    <w:rsid w:val="528F7C18"/>
    <w:rsid w:val="529214B7"/>
    <w:rsid w:val="52952D55"/>
    <w:rsid w:val="529A036B"/>
    <w:rsid w:val="529E60AD"/>
    <w:rsid w:val="52B70F1D"/>
    <w:rsid w:val="52B7716F"/>
    <w:rsid w:val="52BC4786"/>
    <w:rsid w:val="52D01FDF"/>
    <w:rsid w:val="52D90E94"/>
    <w:rsid w:val="52E837CD"/>
    <w:rsid w:val="52F21F55"/>
    <w:rsid w:val="53161886"/>
    <w:rsid w:val="53206AC2"/>
    <w:rsid w:val="532760A3"/>
    <w:rsid w:val="53306393"/>
    <w:rsid w:val="533662E6"/>
    <w:rsid w:val="53381D95"/>
    <w:rsid w:val="53476745"/>
    <w:rsid w:val="534C5B09"/>
    <w:rsid w:val="536966BB"/>
    <w:rsid w:val="536D782E"/>
    <w:rsid w:val="537D2167"/>
    <w:rsid w:val="53811C80"/>
    <w:rsid w:val="5382777D"/>
    <w:rsid w:val="538C05FC"/>
    <w:rsid w:val="5394300C"/>
    <w:rsid w:val="53957916"/>
    <w:rsid w:val="53957C99"/>
    <w:rsid w:val="53985292"/>
    <w:rsid w:val="53A05E55"/>
    <w:rsid w:val="53A2397B"/>
    <w:rsid w:val="53A25729"/>
    <w:rsid w:val="53A414A2"/>
    <w:rsid w:val="53A45945"/>
    <w:rsid w:val="53A616BE"/>
    <w:rsid w:val="53C90F08"/>
    <w:rsid w:val="53D55AFF"/>
    <w:rsid w:val="53DA4EC3"/>
    <w:rsid w:val="53E126F6"/>
    <w:rsid w:val="53E915AA"/>
    <w:rsid w:val="53FD5056"/>
    <w:rsid w:val="53FF2B7C"/>
    <w:rsid w:val="5407449D"/>
    <w:rsid w:val="5411465D"/>
    <w:rsid w:val="54352A41"/>
    <w:rsid w:val="544B7B6F"/>
    <w:rsid w:val="545253A1"/>
    <w:rsid w:val="54554E92"/>
    <w:rsid w:val="54745318"/>
    <w:rsid w:val="547D1CF3"/>
    <w:rsid w:val="54857525"/>
    <w:rsid w:val="549459BA"/>
    <w:rsid w:val="549758D6"/>
    <w:rsid w:val="54980851"/>
    <w:rsid w:val="5498646D"/>
    <w:rsid w:val="549C486F"/>
    <w:rsid w:val="54A35BFD"/>
    <w:rsid w:val="54AB4AB2"/>
    <w:rsid w:val="54AD4386"/>
    <w:rsid w:val="54B5148C"/>
    <w:rsid w:val="54BB1E99"/>
    <w:rsid w:val="54BB2F47"/>
    <w:rsid w:val="54BE47E5"/>
    <w:rsid w:val="54C0002D"/>
    <w:rsid w:val="54D062C6"/>
    <w:rsid w:val="54EC24E5"/>
    <w:rsid w:val="54EF2BF0"/>
    <w:rsid w:val="54F75F49"/>
    <w:rsid w:val="54FF095A"/>
    <w:rsid w:val="550C37A2"/>
    <w:rsid w:val="550D751A"/>
    <w:rsid w:val="55103BD6"/>
    <w:rsid w:val="55322ADD"/>
    <w:rsid w:val="553455F5"/>
    <w:rsid w:val="553B4087"/>
    <w:rsid w:val="55432F3C"/>
    <w:rsid w:val="55434CEA"/>
    <w:rsid w:val="554950DA"/>
    <w:rsid w:val="554F7B33"/>
    <w:rsid w:val="55540CA5"/>
    <w:rsid w:val="555E38D2"/>
    <w:rsid w:val="555F460E"/>
    <w:rsid w:val="55610682"/>
    <w:rsid w:val="556246D0"/>
    <w:rsid w:val="5563713A"/>
    <w:rsid w:val="556829A3"/>
    <w:rsid w:val="557430F6"/>
    <w:rsid w:val="557D01FC"/>
    <w:rsid w:val="557D644E"/>
    <w:rsid w:val="557F21C6"/>
    <w:rsid w:val="558725E0"/>
    <w:rsid w:val="559A7000"/>
    <w:rsid w:val="559F4616"/>
    <w:rsid w:val="55A51501"/>
    <w:rsid w:val="55BA1450"/>
    <w:rsid w:val="55BD4A9D"/>
    <w:rsid w:val="55C93441"/>
    <w:rsid w:val="55CE2806"/>
    <w:rsid w:val="55DD0C9B"/>
    <w:rsid w:val="55DF5B42"/>
    <w:rsid w:val="55EC5382"/>
    <w:rsid w:val="55EC7130"/>
    <w:rsid w:val="55F83D27"/>
    <w:rsid w:val="561623FF"/>
    <w:rsid w:val="561A5A4B"/>
    <w:rsid w:val="561E2576"/>
    <w:rsid w:val="561F7505"/>
    <w:rsid w:val="56226FF5"/>
    <w:rsid w:val="562C39D0"/>
    <w:rsid w:val="56372AA1"/>
    <w:rsid w:val="56554CD5"/>
    <w:rsid w:val="565C6063"/>
    <w:rsid w:val="566B62A7"/>
    <w:rsid w:val="56707D61"/>
    <w:rsid w:val="567535C9"/>
    <w:rsid w:val="567710EF"/>
    <w:rsid w:val="567E247E"/>
    <w:rsid w:val="568A06E3"/>
    <w:rsid w:val="56905D0D"/>
    <w:rsid w:val="56941CA1"/>
    <w:rsid w:val="569A3030"/>
    <w:rsid w:val="56AB528F"/>
    <w:rsid w:val="56BF65F2"/>
    <w:rsid w:val="56C8194B"/>
    <w:rsid w:val="56CD51B3"/>
    <w:rsid w:val="56CE37BE"/>
    <w:rsid w:val="56D57BC4"/>
    <w:rsid w:val="56D7393C"/>
    <w:rsid w:val="56D976B4"/>
    <w:rsid w:val="56E9340F"/>
    <w:rsid w:val="56F75D8C"/>
    <w:rsid w:val="57010267"/>
    <w:rsid w:val="570861EB"/>
    <w:rsid w:val="57087F99"/>
    <w:rsid w:val="57122BC6"/>
    <w:rsid w:val="5717642E"/>
    <w:rsid w:val="57193F55"/>
    <w:rsid w:val="572A7F10"/>
    <w:rsid w:val="573174F0"/>
    <w:rsid w:val="574B7E86"/>
    <w:rsid w:val="574C432A"/>
    <w:rsid w:val="574D00A2"/>
    <w:rsid w:val="574D281E"/>
    <w:rsid w:val="575B631B"/>
    <w:rsid w:val="575E3BD8"/>
    <w:rsid w:val="5765719A"/>
    <w:rsid w:val="57750CCB"/>
    <w:rsid w:val="577613A7"/>
    <w:rsid w:val="577B076B"/>
    <w:rsid w:val="577D1268"/>
    <w:rsid w:val="57882E88"/>
    <w:rsid w:val="578C4726"/>
    <w:rsid w:val="578D049F"/>
    <w:rsid w:val="57914433"/>
    <w:rsid w:val="5792138F"/>
    <w:rsid w:val="5797131D"/>
    <w:rsid w:val="5798756F"/>
    <w:rsid w:val="579E445A"/>
    <w:rsid w:val="57A777B2"/>
    <w:rsid w:val="57AF2B0B"/>
    <w:rsid w:val="57BC2B32"/>
    <w:rsid w:val="57EF4CB5"/>
    <w:rsid w:val="57F57678"/>
    <w:rsid w:val="57FB4086"/>
    <w:rsid w:val="57FF56B0"/>
    <w:rsid w:val="58150BC0"/>
    <w:rsid w:val="581942AD"/>
    <w:rsid w:val="58247055"/>
    <w:rsid w:val="58262DCD"/>
    <w:rsid w:val="58382B00"/>
    <w:rsid w:val="583F6D12"/>
    <w:rsid w:val="5846521D"/>
    <w:rsid w:val="58582ACD"/>
    <w:rsid w:val="58584F50"/>
    <w:rsid w:val="58773629"/>
    <w:rsid w:val="587D0513"/>
    <w:rsid w:val="58893182"/>
    <w:rsid w:val="58894E62"/>
    <w:rsid w:val="588B70D4"/>
    <w:rsid w:val="58922210"/>
    <w:rsid w:val="58975B15"/>
    <w:rsid w:val="589A7317"/>
    <w:rsid w:val="58B2640F"/>
    <w:rsid w:val="58B54151"/>
    <w:rsid w:val="58B55EFF"/>
    <w:rsid w:val="58B70EBC"/>
    <w:rsid w:val="58BA3146"/>
    <w:rsid w:val="58C148A4"/>
    <w:rsid w:val="58C16652"/>
    <w:rsid w:val="58CE0D6F"/>
    <w:rsid w:val="58CF4005"/>
    <w:rsid w:val="58D12233"/>
    <w:rsid w:val="58D2085F"/>
    <w:rsid w:val="58D26AB1"/>
    <w:rsid w:val="58D520FD"/>
    <w:rsid w:val="58DC4843"/>
    <w:rsid w:val="58E97BDF"/>
    <w:rsid w:val="58F85DEC"/>
    <w:rsid w:val="58FC3B2E"/>
    <w:rsid w:val="591013C5"/>
    <w:rsid w:val="59413C36"/>
    <w:rsid w:val="594415A8"/>
    <w:rsid w:val="59480B21"/>
    <w:rsid w:val="59486D73"/>
    <w:rsid w:val="594A4899"/>
    <w:rsid w:val="59514814"/>
    <w:rsid w:val="595C45CC"/>
    <w:rsid w:val="598853C1"/>
    <w:rsid w:val="59961EAF"/>
    <w:rsid w:val="59A10231"/>
    <w:rsid w:val="59A3044D"/>
    <w:rsid w:val="59A87812"/>
    <w:rsid w:val="59BE5287"/>
    <w:rsid w:val="59C12681"/>
    <w:rsid w:val="59C52172"/>
    <w:rsid w:val="59C81C62"/>
    <w:rsid w:val="59CC1752"/>
    <w:rsid w:val="59D35246"/>
    <w:rsid w:val="59D40607"/>
    <w:rsid w:val="59DB1995"/>
    <w:rsid w:val="59DD395F"/>
    <w:rsid w:val="59E36A9C"/>
    <w:rsid w:val="59EA32C6"/>
    <w:rsid w:val="59F1740B"/>
    <w:rsid w:val="5A24333C"/>
    <w:rsid w:val="5A250E62"/>
    <w:rsid w:val="5A26728B"/>
    <w:rsid w:val="5A272E2C"/>
    <w:rsid w:val="5A312944"/>
    <w:rsid w:val="5A3A3C09"/>
    <w:rsid w:val="5A3D7F5A"/>
    <w:rsid w:val="5A47527D"/>
    <w:rsid w:val="5A4C2893"/>
    <w:rsid w:val="5A5A4FB0"/>
    <w:rsid w:val="5A690D4F"/>
    <w:rsid w:val="5A7B6CD4"/>
    <w:rsid w:val="5A843DDB"/>
    <w:rsid w:val="5AA14D4B"/>
    <w:rsid w:val="5AA24261"/>
    <w:rsid w:val="5AA71877"/>
    <w:rsid w:val="5AAE2C06"/>
    <w:rsid w:val="5ABE2890"/>
    <w:rsid w:val="5AC3040C"/>
    <w:rsid w:val="5ACB7C5C"/>
    <w:rsid w:val="5ACD39D4"/>
    <w:rsid w:val="5ADA1C4D"/>
    <w:rsid w:val="5ADA39FB"/>
    <w:rsid w:val="5B06072A"/>
    <w:rsid w:val="5B1909C7"/>
    <w:rsid w:val="5B1C4013"/>
    <w:rsid w:val="5B2004EC"/>
    <w:rsid w:val="5B2B24A8"/>
    <w:rsid w:val="5B347DF2"/>
    <w:rsid w:val="5B3550D5"/>
    <w:rsid w:val="5B4041A6"/>
    <w:rsid w:val="5B4812AC"/>
    <w:rsid w:val="5B4A5024"/>
    <w:rsid w:val="5B555777"/>
    <w:rsid w:val="5B5F2152"/>
    <w:rsid w:val="5B687259"/>
    <w:rsid w:val="5B721E85"/>
    <w:rsid w:val="5B745BFD"/>
    <w:rsid w:val="5B765E19"/>
    <w:rsid w:val="5B81031A"/>
    <w:rsid w:val="5BA02E96"/>
    <w:rsid w:val="5BA74225"/>
    <w:rsid w:val="5BAA5AC3"/>
    <w:rsid w:val="5BB57E26"/>
    <w:rsid w:val="5BBA55DA"/>
    <w:rsid w:val="5BC14BBB"/>
    <w:rsid w:val="5BD14DFE"/>
    <w:rsid w:val="5BD60666"/>
    <w:rsid w:val="5BDD4CB8"/>
    <w:rsid w:val="5BE9DEFC"/>
    <w:rsid w:val="5BEFDC09"/>
    <w:rsid w:val="5BF40AEC"/>
    <w:rsid w:val="5C07081F"/>
    <w:rsid w:val="5C0827EA"/>
    <w:rsid w:val="5C0F3B78"/>
    <w:rsid w:val="5C0F7357"/>
    <w:rsid w:val="5C115B42"/>
    <w:rsid w:val="5C163158"/>
    <w:rsid w:val="5C1D0043"/>
    <w:rsid w:val="5C2209C9"/>
    <w:rsid w:val="5C246A34"/>
    <w:rsid w:val="5C2A2760"/>
    <w:rsid w:val="5C2E0916"/>
    <w:rsid w:val="5C3F445D"/>
    <w:rsid w:val="5C447CC6"/>
    <w:rsid w:val="5C4557EC"/>
    <w:rsid w:val="5C5D2B35"/>
    <w:rsid w:val="5C606182"/>
    <w:rsid w:val="5C643EC4"/>
    <w:rsid w:val="5C6C4B26"/>
    <w:rsid w:val="5C715907"/>
    <w:rsid w:val="5C8C6E54"/>
    <w:rsid w:val="5C9D2F32"/>
    <w:rsid w:val="5CA22C3E"/>
    <w:rsid w:val="5CA37F26"/>
    <w:rsid w:val="5CBD35D4"/>
    <w:rsid w:val="5CBF10FA"/>
    <w:rsid w:val="5CC130C4"/>
    <w:rsid w:val="5CD03307"/>
    <w:rsid w:val="5CD54DC2"/>
    <w:rsid w:val="5CDF3C0D"/>
    <w:rsid w:val="5CE11E1A"/>
    <w:rsid w:val="5CFF9DD8"/>
    <w:rsid w:val="5D0631CD"/>
    <w:rsid w:val="5D153410"/>
    <w:rsid w:val="5D1A0A26"/>
    <w:rsid w:val="5D1D22C5"/>
    <w:rsid w:val="5D2608A5"/>
    <w:rsid w:val="5D315E4C"/>
    <w:rsid w:val="5D3C099D"/>
    <w:rsid w:val="5D3E2967"/>
    <w:rsid w:val="5D3F66DF"/>
    <w:rsid w:val="5D4810F0"/>
    <w:rsid w:val="5D4D2BAA"/>
    <w:rsid w:val="5D535CE6"/>
    <w:rsid w:val="5D5F468B"/>
    <w:rsid w:val="5D600B2F"/>
    <w:rsid w:val="5D7F0889"/>
    <w:rsid w:val="5D83481E"/>
    <w:rsid w:val="5DA16A52"/>
    <w:rsid w:val="5DB9023F"/>
    <w:rsid w:val="5DBC388C"/>
    <w:rsid w:val="5DBE13B2"/>
    <w:rsid w:val="5DBFA070"/>
    <w:rsid w:val="5DC00580"/>
    <w:rsid w:val="5DC82230"/>
    <w:rsid w:val="5DCF1811"/>
    <w:rsid w:val="5DE52DE2"/>
    <w:rsid w:val="5DEA21A7"/>
    <w:rsid w:val="5DF03535"/>
    <w:rsid w:val="5DF2592E"/>
    <w:rsid w:val="5DF43025"/>
    <w:rsid w:val="5DF52041"/>
    <w:rsid w:val="5E033269"/>
    <w:rsid w:val="5E070FAB"/>
    <w:rsid w:val="5E0D40E7"/>
    <w:rsid w:val="5E173D9B"/>
    <w:rsid w:val="5E20206C"/>
    <w:rsid w:val="5E24654F"/>
    <w:rsid w:val="5E286E51"/>
    <w:rsid w:val="5E2A4C99"/>
    <w:rsid w:val="5E473A9D"/>
    <w:rsid w:val="5E532442"/>
    <w:rsid w:val="5E5B12F6"/>
    <w:rsid w:val="5E60690D"/>
    <w:rsid w:val="5E671A49"/>
    <w:rsid w:val="5E6F08FE"/>
    <w:rsid w:val="5E954808"/>
    <w:rsid w:val="5EA467FA"/>
    <w:rsid w:val="5EA71B53"/>
    <w:rsid w:val="5EBB5416"/>
    <w:rsid w:val="5EBF1885"/>
    <w:rsid w:val="5EC7073A"/>
    <w:rsid w:val="5EC944B2"/>
    <w:rsid w:val="5ECF75EF"/>
    <w:rsid w:val="5ED6097D"/>
    <w:rsid w:val="5EDA6373"/>
    <w:rsid w:val="5EDF528B"/>
    <w:rsid w:val="5EDF7832"/>
    <w:rsid w:val="5EE96902"/>
    <w:rsid w:val="5F076D88"/>
    <w:rsid w:val="5F0E6369"/>
    <w:rsid w:val="5F16521D"/>
    <w:rsid w:val="5F1A2F60"/>
    <w:rsid w:val="5F230066"/>
    <w:rsid w:val="5F2B2A77"/>
    <w:rsid w:val="5F3538F6"/>
    <w:rsid w:val="5F3C2ED6"/>
    <w:rsid w:val="5F463D55"/>
    <w:rsid w:val="5F506981"/>
    <w:rsid w:val="5F772160"/>
    <w:rsid w:val="5F814DDD"/>
    <w:rsid w:val="5F8959EF"/>
    <w:rsid w:val="5F8D54E0"/>
    <w:rsid w:val="5F990328"/>
    <w:rsid w:val="5FA171DD"/>
    <w:rsid w:val="5FB76A00"/>
    <w:rsid w:val="5FB962D5"/>
    <w:rsid w:val="5FBA3DFB"/>
    <w:rsid w:val="5FBB029F"/>
    <w:rsid w:val="5FBE6562"/>
    <w:rsid w:val="5FC1162D"/>
    <w:rsid w:val="5FC627A0"/>
    <w:rsid w:val="5FE33352"/>
    <w:rsid w:val="5FE84E0C"/>
    <w:rsid w:val="5FED06E7"/>
    <w:rsid w:val="5FF217E7"/>
    <w:rsid w:val="5FFE018B"/>
    <w:rsid w:val="60011A2A"/>
    <w:rsid w:val="60063D1C"/>
    <w:rsid w:val="60107EBF"/>
    <w:rsid w:val="601E25DC"/>
    <w:rsid w:val="602B6AA7"/>
    <w:rsid w:val="602F2A3B"/>
    <w:rsid w:val="60307A7E"/>
    <w:rsid w:val="603B13E0"/>
    <w:rsid w:val="604F4E8B"/>
    <w:rsid w:val="605129B1"/>
    <w:rsid w:val="60563B24"/>
    <w:rsid w:val="6057789C"/>
    <w:rsid w:val="606A5821"/>
    <w:rsid w:val="6071095D"/>
    <w:rsid w:val="60854409"/>
    <w:rsid w:val="60874625"/>
    <w:rsid w:val="60932FCA"/>
    <w:rsid w:val="6099330B"/>
    <w:rsid w:val="609E54CA"/>
    <w:rsid w:val="60A32465"/>
    <w:rsid w:val="60A725D1"/>
    <w:rsid w:val="60B82A30"/>
    <w:rsid w:val="60BA0556"/>
    <w:rsid w:val="60C767CF"/>
    <w:rsid w:val="60CE5DB0"/>
    <w:rsid w:val="60E07891"/>
    <w:rsid w:val="60E23609"/>
    <w:rsid w:val="60E94998"/>
    <w:rsid w:val="6109503A"/>
    <w:rsid w:val="610A47B8"/>
    <w:rsid w:val="61151C31"/>
    <w:rsid w:val="61314591"/>
    <w:rsid w:val="61333E65"/>
    <w:rsid w:val="613D2F35"/>
    <w:rsid w:val="613D4CE3"/>
    <w:rsid w:val="614147D4"/>
    <w:rsid w:val="61453B98"/>
    <w:rsid w:val="614F54D2"/>
    <w:rsid w:val="6152499D"/>
    <w:rsid w:val="616D55B0"/>
    <w:rsid w:val="6171498D"/>
    <w:rsid w:val="61750921"/>
    <w:rsid w:val="617F70AA"/>
    <w:rsid w:val="618B5A4F"/>
    <w:rsid w:val="61952D71"/>
    <w:rsid w:val="61960094"/>
    <w:rsid w:val="61992DEB"/>
    <w:rsid w:val="61B551C2"/>
    <w:rsid w:val="61C62F2B"/>
    <w:rsid w:val="61E11B13"/>
    <w:rsid w:val="61F91B31"/>
    <w:rsid w:val="620360F1"/>
    <w:rsid w:val="620852F1"/>
    <w:rsid w:val="62206ADF"/>
    <w:rsid w:val="62210161"/>
    <w:rsid w:val="622F5DD8"/>
    <w:rsid w:val="6239194F"/>
    <w:rsid w:val="623C3C66"/>
    <w:rsid w:val="623E6F65"/>
    <w:rsid w:val="624C1682"/>
    <w:rsid w:val="625C73EB"/>
    <w:rsid w:val="62614A02"/>
    <w:rsid w:val="626E28A7"/>
    <w:rsid w:val="627110E9"/>
    <w:rsid w:val="628232F6"/>
    <w:rsid w:val="628543B1"/>
    <w:rsid w:val="628801E0"/>
    <w:rsid w:val="629118D9"/>
    <w:rsid w:val="629628FD"/>
    <w:rsid w:val="629848C7"/>
    <w:rsid w:val="62AC2121"/>
    <w:rsid w:val="62AF7E63"/>
    <w:rsid w:val="62C236F2"/>
    <w:rsid w:val="62C751AC"/>
    <w:rsid w:val="62EA2C49"/>
    <w:rsid w:val="62F87114"/>
    <w:rsid w:val="62FF1D7E"/>
    <w:rsid w:val="630750A6"/>
    <w:rsid w:val="630E2DDB"/>
    <w:rsid w:val="63186930"/>
    <w:rsid w:val="63514A76"/>
    <w:rsid w:val="635822A8"/>
    <w:rsid w:val="635F3637"/>
    <w:rsid w:val="636D5D54"/>
    <w:rsid w:val="636E73D6"/>
    <w:rsid w:val="637A221F"/>
    <w:rsid w:val="638C3D00"/>
    <w:rsid w:val="63A92B04"/>
    <w:rsid w:val="63B03E93"/>
    <w:rsid w:val="63B379DE"/>
    <w:rsid w:val="63C4349A"/>
    <w:rsid w:val="63C90776"/>
    <w:rsid w:val="63CF5B8B"/>
    <w:rsid w:val="63E92F01"/>
    <w:rsid w:val="63ED479F"/>
    <w:rsid w:val="63FB4653"/>
    <w:rsid w:val="63FE4BFE"/>
    <w:rsid w:val="64041AE8"/>
    <w:rsid w:val="640970FF"/>
    <w:rsid w:val="640F6E0B"/>
    <w:rsid w:val="64136A11"/>
    <w:rsid w:val="641E2BAA"/>
    <w:rsid w:val="641E704E"/>
    <w:rsid w:val="643C74D4"/>
    <w:rsid w:val="64405216"/>
    <w:rsid w:val="6449399F"/>
    <w:rsid w:val="645C36D2"/>
    <w:rsid w:val="64656A2B"/>
    <w:rsid w:val="646A5DEF"/>
    <w:rsid w:val="646D768E"/>
    <w:rsid w:val="647D49FA"/>
    <w:rsid w:val="64836EB1"/>
    <w:rsid w:val="648A6492"/>
    <w:rsid w:val="648B0FAA"/>
    <w:rsid w:val="64925346"/>
    <w:rsid w:val="64AF414A"/>
    <w:rsid w:val="64B11C70"/>
    <w:rsid w:val="64B96D77"/>
    <w:rsid w:val="64CF659A"/>
    <w:rsid w:val="64D63485"/>
    <w:rsid w:val="64DB0A9B"/>
    <w:rsid w:val="64F97173"/>
    <w:rsid w:val="64FD3107"/>
    <w:rsid w:val="65046244"/>
    <w:rsid w:val="650A1380"/>
    <w:rsid w:val="650F4BE9"/>
    <w:rsid w:val="65120EC6"/>
    <w:rsid w:val="651B17E0"/>
    <w:rsid w:val="651F5233"/>
    <w:rsid w:val="652A37D1"/>
    <w:rsid w:val="653603C7"/>
    <w:rsid w:val="65475AD8"/>
    <w:rsid w:val="65476131"/>
    <w:rsid w:val="65646CE3"/>
    <w:rsid w:val="656F7435"/>
    <w:rsid w:val="657449B3"/>
    <w:rsid w:val="65801643"/>
    <w:rsid w:val="658C1FA6"/>
    <w:rsid w:val="659770B8"/>
    <w:rsid w:val="65A07B58"/>
    <w:rsid w:val="65A90B99"/>
    <w:rsid w:val="65AB66C0"/>
    <w:rsid w:val="65B01F28"/>
    <w:rsid w:val="65BA6903"/>
    <w:rsid w:val="65C07C91"/>
    <w:rsid w:val="65C6799D"/>
    <w:rsid w:val="65C854C3"/>
    <w:rsid w:val="65CB4FB4"/>
    <w:rsid w:val="65CC4888"/>
    <w:rsid w:val="65D06126"/>
    <w:rsid w:val="65D44CCA"/>
    <w:rsid w:val="65F362B8"/>
    <w:rsid w:val="65F938CF"/>
    <w:rsid w:val="66061B48"/>
    <w:rsid w:val="660A5ADC"/>
    <w:rsid w:val="660F30F2"/>
    <w:rsid w:val="66252916"/>
    <w:rsid w:val="66263F98"/>
    <w:rsid w:val="665D0A3F"/>
    <w:rsid w:val="66613222"/>
    <w:rsid w:val="6663343E"/>
    <w:rsid w:val="666F593F"/>
    <w:rsid w:val="667747F4"/>
    <w:rsid w:val="667B2D0F"/>
    <w:rsid w:val="66833198"/>
    <w:rsid w:val="668A09CB"/>
    <w:rsid w:val="668A2779"/>
    <w:rsid w:val="66AD290B"/>
    <w:rsid w:val="66D24F47"/>
    <w:rsid w:val="66D439F4"/>
    <w:rsid w:val="66DB4D83"/>
    <w:rsid w:val="670818F0"/>
    <w:rsid w:val="671D5367"/>
    <w:rsid w:val="67206C39"/>
    <w:rsid w:val="6727621A"/>
    <w:rsid w:val="672D1356"/>
    <w:rsid w:val="672F3320"/>
    <w:rsid w:val="67380427"/>
    <w:rsid w:val="673E3563"/>
    <w:rsid w:val="67542D87"/>
    <w:rsid w:val="67672ABA"/>
    <w:rsid w:val="677925CA"/>
    <w:rsid w:val="678E44EB"/>
    <w:rsid w:val="67917B37"/>
    <w:rsid w:val="679D028A"/>
    <w:rsid w:val="679D64DC"/>
    <w:rsid w:val="67A07D7A"/>
    <w:rsid w:val="67A7300C"/>
    <w:rsid w:val="67A7735B"/>
    <w:rsid w:val="67AB6E4B"/>
    <w:rsid w:val="67BD6B7E"/>
    <w:rsid w:val="67C1041C"/>
    <w:rsid w:val="67CA7195"/>
    <w:rsid w:val="67EE4F89"/>
    <w:rsid w:val="67F02AB0"/>
    <w:rsid w:val="68182006"/>
    <w:rsid w:val="681A3FD0"/>
    <w:rsid w:val="681F5143"/>
    <w:rsid w:val="682409AB"/>
    <w:rsid w:val="6837248C"/>
    <w:rsid w:val="683926A8"/>
    <w:rsid w:val="683F3A37"/>
    <w:rsid w:val="684B23DC"/>
    <w:rsid w:val="687234C5"/>
    <w:rsid w:val="68757499"/>
    <w:rsid w:val="687A681D"/>
    <w:rsid w:val="68833924"/>
    <w:rsid w:val="688F3449"/>
    <w:rsid w:val="68945B31"/>
    <w:rsid w:val="689D1A3B"/>
    <w:rsid w:val="689F6284"/>
    <w:rsid w:val="68A62804"/>
    <w:rsid w:val="68B25FB7"/>
    <w:rsid w:val="68BB130F"/>
    <w:rsid w:val="68BC0BE4"/>
    <w:rsid w:val="68C06926"/>
    <w:rsid w:val="68C47A98"/>
    <w:rsid w:val="68C9702B"/>
    <w:rsid w:val="68CB7079"/>
    <w:rsid w:val="68D0643D"/>
    <w:rsid w:val="68E32614"/>
    <w:rsid w:val="68EF0FB9"/>
    <w:rsid w:val="68EF720B"/>
    <w:rsid w:val="68F14D31"/>
    <w:rsid w:val="68F77E6E"/>
    <w:rsid w:val="68FE3099"/>
    <w:rsid w:val="69074555"/>
    <w:rsid w:val="690B56C7"/>
    <w:rsid w:val="69126A56"/>
    <w:rsid w:val="691C1682"/>
    <w:rsid w:val="6922313D"/>
    <w:rsid w:val="692A0243"/>
    <w:rsid w:val="693009CF"/>
    <w:rsid w:val="69360996"/>
    <w:rsid w:val="694675AC"/>
    <w:rsid w:val="694D1762"/>
    <w:rsid w:val="695157D0"/>
    <w:rsid w:val="696077C1"/>
    <w:rsid w:val="697B45FB"/>
    <w:rsid w:val="69807E63"/>
    <w:rsid w:val="6983666A"/>
    <w:rsid w:val="698C2CAC"/>
    <w:rsid w:val="698E1A1B"/>
    <w:rsid w:val="698E2580"/>
    <w:rsid w:val="69901D8C"/>
    <w:rsid w:val="69982374"/>
    <w:rsid w:val="69A974F1"/>
    <w:rsid w:val="69B95123"/>
    <w:rsid w:val="69C47F26"/>
    <w:rsid w:val="69CA10DE"/>
    <w:rsid w:val="69D41F5D"/>
    <w:rsid w:val="69DB153D"/>
    <w:rsid w:val="69DC778F"/>
    <w:rsid w:val="69DD7064"/>
    <w:rsid w:val="69E2467A"/>
    <w:rsid w:val="69E55F18"/>
    <w:rsid w:val="69E7596B"/>
    <w:rsid w:val="69EC374B"/>
    <w:rsid w:val="69FF27F4"/>
    <w:rsid w:val="6A034602"/>
    <w:rsid w:val="6A1707C7"/>
    <w:rsid w:val="6A1A3E14"/>
    <w:rsid w:val="6A375BE2"/>
    <w:rsid w:val="6A3D3FA6"/>
    <w:rsid w:val="6A4B0471"/>
    <w:rsid w:val="6A5F5CCB"/>
    <w:rsid w:val="6A6652AB"/>
    <w:rsid w:val="6A6E23B2"/>
    <w:rsid w:val="6A6E4160"/>
    <w:rsid w:val="6A96200E"/>
    <w:rsid w:val="6A99742E"/>
    <w:rsid w:val="6A9A4F55"/>
    <w:rsid w:val="6A9C0CCD"/>
    <w:rsid w:val="6AA10091"/>
    <w:rsid w:val="6AB97AD1"/>
    <w:rsid w:val="6AD14E1A"/>
    <w:rsid w:val="6AD541DF"/>
    <w:rsid w:val="6AED32D6"/>
    <w:rsid w:val="6AEF34F2"/>
    <w:rsid w:val="6AFC79BD"/>
    <w:rsid w:val="6AFE7291"/>
    <w:rsid w:val="6B004ED0"/>
    <w:rsid w:val="6B030D4C"/>
    <w:rsid w:val="6B0D1BCA"/>
    <w:rsid w:val="6B11688B"/>
    <w:rsid w:val="6B1F4881"/>
    <w:rsid w:val="6B217424"/>
    <w:rsid w:val="6B3709F5"/>
    <w:rsid w:val="6B3929BF"/>
    <w:rsid w:val="6B431148"/>
    <w:rsid w:val="6B454EC0"/>
    <w:rsid w:val="6B4718D4"/>
    <w:rsid w:val="6B4C44A1"/>
    <w:rsid w:val="6B513865"/>
    <w:rsid w:val="6B572E46"/>
    <w:rsid w:val="6B6932A5"/>
    <w:rsid w:val="6B735ED1"/>
    <w:rsid w:val="6B841E8D"/>
    <w:rsid w:val="6B851761"/>
    <w:rsid w:val="6B881251"/>
    <w:rsid w:val="6B8A4FC9"/>
    <w:rsid w:val="6B9145AA"/>
    <w:rsid w:val="6B95409A"/>
    <w:rsid w:val="6B9B0F84"/>
    <w:rsid w:val="6B9E2823"/>
    <w:rsid w:val="6BAC4FE2"/>
    <w:rsid w:val="6BAE515B"/>
    <w:rsid w:val="6BB42046"/>
    <w:rsid w:val="6BC04E8F"/>
    <w:rsid w:val="6BC71D79"/>
    <w:rsid w:val="6BCB7ABB"/>
    <w:rsid w:val="6BD44496"/>
    <w:rsid w:val="6BDA7CFF"/>
    <w:rsid w:val="6BE0108D"/>
    <w:rsid w:val="6BEF307E"/>
    <w:rsid w:val="6BF1329A"/>
    <w:rsid w:val="6BF608B1"/>
    <w:rsid w:val="6BF6440D"/>
    <w:rsid w:val="6BFA7F30"/>
    <w:rsid w:val="6BFD1C3F"/>
    <w:rsid w:val="6C044D7B"/>
    <w:rsid w:val="6C09788E"/>
    <w:rsid w:val="6C0B50CD"/>
    <w:rsid w:val="6C0E5BFA"/>
    <w:rsid w:val="6C1A459F"/>
    <w:rsid w:val="6C1D7BEB"/>
    <w:rsid w:val="6C20148A"/>
    <w:rsid w:val="6C360CAD"/>
    <w:rsid w:val="6C3A69EF"/>
    <w:rsid w:val="6C4E5FF7"/>
    <w:rsid w:val="6C564753"/>
    <w:rsid w:val="6C733CAF"/>
    <w:rsid w:val="6C8B0FF9"/>
    <w:rsid w:val="6C8B2DA7"/>
    <w:rsid w:val="6C8B724B"/>
    <w:rsid w:val="6C9B541E"/>
    <w:rsid w:val="6CBD37F6"/>
    <w:rsid w:val="6CBF5146"/>
    <w:rsid w:val="6CD543D4"/>
    <w:rsid w:val="6CDB1F80"/>
    <w:rsid w:val="6D0A5334"/>
    <w:rsid w:val="6D176D30"/>
    <w:rsid w:val="6D203E37"/>
    <w:rsid w:val="6D2C27DC"/>
    <w:rsid w:val="6D3C6797"/>
    <w:rsid w:val="6D3E250F"/>
    <w:rsid w:val="6D3F3B91"/>
    <w:rsid w:val="6D403BCC"/>
    <w:rsid w:val="6D413DAD"/>
    <w:rsid w:val="6D4F2026"/>
    <w:rsid w:val="6D561607"/>
    <w:rsid w:val="6D5E04BB"/>
    <w:rsid w:val="6D5E670D"/>
    <w:rsid w:val="6D723F67"/>
    <w:rsid w:val="6D747CDF"/>
    <w:rsid w:val="6D88378A"/>
    <w:rsid w:val="6D8A7502"/>
    <w:rsid w:val="6DA265FA"/>
    <w:rsid w:val="6DA305C4"/>
    <w:rsid w:val="6DA5433C"/>
    <w:rsid w:val="6DAD4F9F"/>
    <w:rsid w:val="6DB14A8F"/>
    <w:rsid w:val="6DB4632D"/>
    <w:rsid w:val="6DCE3893"/>
    <w:rsid w:val="6DD4077E"/>
    <w:rsid w:val="6DD62748"/>
    <w:rsid w:val="6DD7112A"/>
    <w:rsid w:val="6DDD7632"/>
    <w:rsid w:val="6DEA1D4F"/>
    <w:rsid w:val="6DEC1F6B"/>
    <w:rsid w:val="6DF606F4"/>
    <w:rsid w:val="6DF66946"/>
    <w:rsid w:val="6E013002"/>
    <w:rsid w:val="6E0948CB"/>
    <w:rsid w:val="6E0E5A3E"/>
    <w:rsid w:val="6E166FE8"/>
    <w:rsid w:val="6E216668"/>
    <w:rsid w:val="6E250FD9"/>
    <w:rsid w:val="6E2F6C77"/>
    <w:rsid w:val="6E36354F"/>
    <w:rsid w:val="6E405E13"/>
    <w:rsid w:val="6E4C0C5C"/>
    <w:rsid w:val="6E5518BE"/>
    <w:rsid w:val="6E5A6ED5"/>
    <w:rsid w:val="6E625D89"/>
    <w:rsid w:val="6E6B2E90"/>
    <w:rsid w:val="6E6B7334"/>
    <w:rsid w:val="6E781A51"/>
    <w:rsid w:val="6E8E4DD0"/>
    <w:rsid w:val="6E935726"/>
    <w:rsid w:val="6EA91421"/>
    <w:rsid w:val="6EAA3BD8"/>
    <w:rsid w:val="6EBA6930"/>
    <w:rsid w:val="6EBC36EB"/>
    <w:rsid w:val="6ED0363B"/>
    <w:rsid w:val="6ED5773E"/>
    <w:rsid w:val="6ED722D3"/>
    <w:rsid w:val="6ED8604B"/>
    <w:rsid w:val="6EDE2CAE"/>
    <w:rsid w:val="6EE80984"/>
    <w:rsid w:val="6F103A37"/>
    <w:rsid w:val="6F175A9C"/>
    <w:rsid w:val="6F1C23DC"/>
    <w:rsid w:val="6F3516F0"/>
    <w:rsid w:val="6F404E66"/>
    <w:rsid w:val="6F4417EA"/>
    <w:rsid w:val="6F460345"/>
    <w:rsid w:val="6F5222A2"/>
    <w:rsid w:val="6F573414"/>
    <w:rsid w:val="6F685621"/>
    <w:rsid w:val="6F6D22A6"/>
    <w:rsid w:val="6F6F69B0"/>
    <w:rsid w:val="6F743FC6"/>
    <w:rsid w:val="6F7B35A7"/>
    <w:rsid w:val="6F7C10CD"/>
    <w:rsid w:val="6F8306AD"/>
    <w:rsid w:val="6F9B1553"/>
    <w:rsid w:val="6FA26D85"/>
    <w:rsid w:val="6FAF14A2"/>
    <w:rsid w:val="6FB26B0B"/>
    <w:rsid w:val="6FB6638D"/>
    <w:rsid w:val="6FB865A9"/>
    <w:rsid w:val="6FBC771B"/>
    <w:rsid w:val="6FC0545D"/>
    <w:rsid w:val="6FCA62DC"/>
    <w:rsid w:val="6FD718A0"/>
    <w:rsid w:val="6FD9207B"/>
    <w:rsid w:val="6FFD220E"/>
    <w:rsid w:val="70141305"/>
    <w:rsid w:val="701557A9"/>
    <w:rsid w:val="701D640C"/>
    <w:rsid w:val="70231548"/>
    <w:rsid w:val="702C664F"/>
    <w:rsid w:val="702E0619"/>
    <w:rsid w:val="70343755"/>
    <w:rsid w:val="70390D6C"/>
    <w:rsid w:val="703D260A"/>
    <w:rsid w:val="70417539"/>
    <w:rsid w:val="704735F8"/>
    <w:rsid w:val="70490BA1"/>
    <w:rsid w:val="704A4D27"/>
    <w:rsid w:val="704C669B"/>
    <w:rsid w:val="70514307"/>
    <w:rsid w:val="705362D1"/>
    <w:rsid w:val="705D4A5A"/>
    <w:rsid w:val="706109EE"/>
    <w:rsid w:val="7063448F"/>
    <w:rsid w:val="70691651"/>
    <w:rsid w:val="707B12B9"/>
    <w:rsid w:val="707F2C23"/>
    <w:rsid w:val="70822713"/>
    <w:rsid w:val="70871AD7"/>
    <w:rsid w:val="70910F61"/>
    <w:rsid w:val="70944D11"/>
    <w:rsid w:val="70A73F27"/>
    <w:rsid w:val="70B2124A"/>
    <w:rsid w:val="70BC5C25"/>
    <w:rsid w:val="70BF3967"/>
    <w:rsid w:val="70C1148D"/>
    <w:rsid w:val="70C40F7D"/>
    <w:rsid w:val="70C94746"/>
    <w:rsid w:val="70D50A94"/>
    <w:rsid w:val="70F25AEA"/>
    <w:rsid w:val="70F52EE5"/>
    <w:rsid w:val="70FD1A16"/>
    <w:rsid w:val="710F307D"/>
    <w:rsid w:val="71136B66"/>
    <w:rsid w:val="71153587"/>
    <w:rsid w:val="71163299"/>
    <w:rsid w:val="71215755"/>
    <w:rsid w:val="71290DE0"/>
    <w:rsid w:val="71297032"/>
    <w:rsid w:val="713C6D66"/>
    <w:rsid w:val="713D663A"/>
    <w:rsid w:val="715E0A8A"/>
    <w:rsid w:val="717C53B4"/>
    <w:rsid w:val="7189187F"/>
    <w:rsid w:val="719426FE"/>
    <w:rsid w:val="71995F66"/>
    <w:rsid w:val="71997ED8"/>
    <w:rsid w:val="719E357C"/>
    <w:rsid w:val="71A05546"/>
    <w:rsid w:val="71A768D5"/>
    <w:rsid w:val="71AB4182"/>
    <w:rsid w:val="71B76065"/>
    <w:rsid w:val="71C06754"/>
    <w:rsid w:val="71C54FAD"/>
    <w:rsid w:val="71CC119F"/>
    <w:rsid w:val="71CD79BE"/>
    <w:rsid w:val="71D23226"/>
    <w:rsid w:val="71E35433"/>
    <w:rsid w:val="71E371E1"/>
    <w:rsid w:val="71E76CD1"/>
    <w:rsid w:val="71F47640"/>
    <w:rsid w:val="72161365"/>
    <w:rsid w:val="72281098"/>
    <w:rsid w:val="722A4E10"/>
    <w:rsid w:val="722E4900"/>
    <w:rsid w:val="723914F7"/>
    <w:rsid w:val="724C2FD8"/>
    <w:rsid w:val="72565C05"/>
    <w:rsid w:val="7259784A"/>
    <w:rsid w:val="725C51B7"/>
    <w:rsid w:val="72640322"/>
    <w:rsid w:val="72646574"/>
    <w:rsid w:val="72701EDF"/>
    <w:rsid w:val="7271076B"/>
    <w:rsid w:val="7278201F"/>
    <w:rsid w:val="72A04DED"/>
    <w:rsid w:val="72A252EE"/>
    <w:rsid w:val="72A44BC2"/>
    <w:rsid w:val="72A526E9"/>
    <w:rsid w:val="72B461BC"/>
    <w:rsid w:val="72B666A4"/>
    <w:rsid w:val="72C40DC1"/>
    <w:rsid w:val="72CC236B"/>
    <w:rsid w:val="72DA6836"/>
    <w:rsid w:val="72E2292C"/>
    <w:rsid w:val="72FB055A"/>
    <w:rsid w:val="72FC67AC"/>
    <w:rsid w:val="72FD0776"/>
    <w:rsid w:val="73076EFF"/>
    <w:rsid w:val="7309711B"/>
    <w:rsid w:val="73155AC0"/>
    <w:rsid w:val="73165394"/>
    <w:rsid w:val="7318735E"/>
    <w:rsid w:val="731955B0"/>
    <w:rsid w:val="731A30D6"/>
    <w:rsid w:val="731A6C33"/>
    <w:rsid w:val="731D6723"/>
    <w:rsid w:val="732B52E4"/>
    <w:rsid w:val="73352F08"/>
    <w:rsid w:val="733C304D"/>
    <w:rsid w:val="733D0B73"/>
    <w:rsid w:val="734B7734"/>
    <w:rsid w:val="73533EAF"/>
    <w:rsid w:val="7358775B"/>
    <w:rsid w:val="735A34D3"/>
    <w:rsid w:val="735C1CB3"/>
    <w:rsid w:val="736E51D0"/>
    <w:rsid w:val="73734595"/>
    <w:rsid w:val="737427E7"/>
    <w:rsid w:val="7376394C"/>
    <w:rsid w:val="737F2F3A"/>
    <w:rsid w:val="737F73DD"/>
    <w:rsid w:val="738B18DE"/>
    <w:rsid w:val="73920EBF"/>
    <w:rsid w:val="73927111"/>
    <w:rsid w:val="73952CB2"/>
    <w:rsid w:val="73953C0C"/>
    <w:rsid w:val="73993FFB"/>
    <w:rsid w:val="739A5FC5"/>
    <w:rsid w:val="73A155A6"/>
    <w:rsid w:val="73A17354"/>
    <w:rsid w:val="73A40BF2"/>
    <w:rsid w:val="73AB01D2"/>
    <w:rsid w:val="73B61051"/>
    <w:rsid w:val="73C92407"/>
    <w:rsid w:val="73D03795"/>
    <w:rsid w:val="73D8631E"/>
    <w:rsid w:val="73E14FC8"/>
    <w:rsid w:val="73F13E37"/>
    <w:rsid w:val="73FF3D5A"/>
    <w:rsid w:val="74024296"/>
    <w:rsid w:val="74051691"/>
    <w:rsid w:val="740B2A1F"/>
    <w:rsid w:val="740F42BD"/>
    <w:rsid w:val="74116287"/>
    <w:rsid w:val="74147B26"/>
    <w:rsid w:val="74161AF0"/>
    <w:rsid w:val="7423420D"/>
    <w:rsid w:val="743C0E2B"/>
    <w:rsid w:val="743F7644"/>
    <w:rsid w:val="745148D6"/>
    <w:rsid w:val="74604B19"/>
    <w:rsid w:val="74675EA7"/>
    <w:rsid w:val="746856CC"/>
    <w:rsid w:val="74687E72"/>
    <w:rsid w:val="746A5998"/>
    <w:rsid w:val="7476433D"/>
    <w:rsid w:val="747D391D"/>
    <w:rsid w:val="748C590E"/>
    <w:rsid w:val="74956EB9"/>
    <w:rsid w:val="749F7D37"/>
    <w:rsid w:val="74A76BEC"/>
    <w:rsid w:val="74C50E20"/>
    <w:rsid w:val="74E90FB2"/>
    <w:rsid w:val="74F811F5"/>
    <w:rsid w:val="74F82FA3"/>
    <w:rsid w:val="750202C6"/>
    <w:rsid w:val="75023E22"/>
    <w:rsid w:val="75096F5F"/>
    <w:rsid w:val="750B717B"/>
    <w:rsid w:val="75243D99"/>
    <w:rsid w:val="75335B68"/>
    <w:rsid w:val="75474E11"/>
    <w:rsid w:val="754B57C9"/>
    <w:rsid w:val="75556648"/>
    <w:rsid w:val="755C3532"/>
    <w:rsid w:val="756B19C7"/>
    <w:rsid w:val="75703482"/>
    <w:rsid w:val="7577EE3A"/>
    <w:rsid w:val="75865DEE"/>
    <w:rsid w:val="759251A6"/>
    <w:rsid w:val="75945AE9"/>
    <w:rsid w:val="75A0327F"/>
    <w:rsid w:val="75A8474E"/>
    <w:rsid w:val="75B3511C"/>
    <w:rsid w:val="75C80BC8"/>
    <w:rsid w:val="75D27C98"/>
    <w:rsid w:val="75F61BD9"/>
    <w:rsid w:val="76053BCA"/>
    <w:rsid w:val="760C31AA"/>
    <w:rsid w:val="76124539"/>
    <w:rsid w:val="76206C56"/>
    <w:rsid w:val="76272697"/>
    <w:rsid w:val="762A3062"/>
    <w:rsid w:val="7630676D"/>
    <w:rsid w:val="76342701"/>
    <w:rsid w:val="764364A0"/>
    <w:rsid w:val="7645046A"/>
    <w:rsid w:val="764B35A7"/>
    <w:rsid w:val="76546606"/>
    <w:rsid w:val="76636B42"/>
    <w:rsid w:val="76684159"/>
    <w:rsid w:val="76870A83"/>
    <w:rsid w:val="768E5753"/>
    <w:rsid w:val="769D02A6"/>
    <w:rsid w:val="76AE0369"/>
    <w:rsid w:val="76D417EE"/>
    <w:rsid w:val="76D96E05"/>
    <w:rsid w:val="76E45ED5"/>
    <w:rsid w:val="76E556A0"/>
    <w:rsid w:val="76E732D0"/>
    <w:rsid w:val="76EA2DC0"/>
    <w:rsid w:val="76EE2C2B"/>
    <w:rsid w:val="76F459ED"/>
    <w:rsid w:val="770009D1"/>
    <w:rsid w:val="7706409E"/>
    <w:rsid w:val="77065E4C"/>
    <w:rsid w:val="77470212"/>
    <w:rsid w:val="775766A7"/>
    <w:rsid w:val="776B2153"/>
    <w:rsid w:val="77843214"/>
    <w:rsid w:val="778E7BEF"/>
    <w:rsid w:val="779F5AAB"/>
    <w:rsid w:val="77B05DB7"/>
    <w:rsid w:val="77D53DDC"/>
    <w:rsid w:val="77D5581E"/>
    <w:rsid w:val="77E43CB3"/>
    <w:rsid w:val="77E93077"/>
    <w:rsid w:val="77F02658"/>
    <w:rsid w:val="77F84F7A"/>
    <w:rsid w:val="77FC64F8"/>
    <w:rsid w:val="780E2ADE"/>
    <w:rsid w:val="78112CFA"/>
    <w:rsid w:val="7811525D"/>
    <w:rsid w:val="781520BE"/>
    <w:rsid w:val="781A76D5"/>
    <w:rsid w:val="781B5927"/>
    <w:rsid w:val="781E5417"/>
    <w:rsid w:val="782346E1"/>
    <w:rsid w:val="782A5B6A"/>
    <w:rsid w:val="783E7867"/>
    <w:rsid w:val="78505776"/>
    <w:rsid w:val="785C7CED"/>
    <w:rsid w:val="785D43B4"/>
    <w:rsid w:val="7872665C"/>
    <w:rsid w:val="78761AAB"/>
    <w:rsid w:val="787C3EEC"/>
    <w:rsid w:val="788334CC"/>
    <w:rsid w:val="7883527A"/>
    <w:rsid w:val="78866B18"/>
    <w:rsid w:val="78872FBC"/>
    <w:rsid w:val="78880AE2"/>
    <w:rsid w:val="789607FB"/>
    <w:rsid w:val="789E4501"/>
    <w:rsid w:val="78A70F68"/>
    <w:rsid w:val="78B11DE7"/>
    <w:rsid w:val="78B74F24"/>
    <w:rsid w:val="78B95140"/>
    <w:rsid w:val="78BC253A"/>
    <w:rsid w:val="78C7785D"/>
    <w:rsid w:val="78DE6954"/>
    <w:rsid w:val="78E201F2"/>
    <w:rsid w:val="78E55F35"/>
    <w:rsid w:val="78E977D3"/>
    <w:rsid w:val="78EA3B70"/>
    <w:rsid w:val="78EF290F"/>
    <w:rsid w:val="78FE482A"/>
    <w:rsid w:val="790243F1"/>
    <w:rsid w:val="79030169"/>
    <w:rsid w:val="790740FD"/>
    <w:rsid w:val="79075EAB"/>
    <w:rsid w:val="79144124"/>
    <w:rsid w:val="792E3438"/>
    <w:rsid w:val="79336CA0"/>
    <w:rsid w:val="793842B6"/>
    <w:rsid w:val="793B3DA7"/>
    <w:rsid w:val="793C2330"/>
    <w:rsid w:val="793F3897"/>
    <w:rsid w:val="79701CA2"/>
    <w:rsid w:val="7981556C"/>
    <w:rsid w:val="798C63B0"/>
    <w:rsid w:val="79921C19"/>
    <w:rsid w:val="79A076CE"/>
    <w:rsid w:val="79A13C0A"/>
    <w:rsid w:val="79AD6A52"/>
    <w:rsid w:val="79B002F1"/>
    <w:rsid w:val="79B7167F"/>
    <w:rsid w:val="79C30024"/>
    <w:rsid w:val="79CE4C1B"/>
    <w:rsid w:val="79D7762B"/>
    <w:rsid w:val="79D97847"/>
    <w:rsid w:val="79DD09BA"/>
    <w:rsid w:val="79EC2BE5"/>
    <w:rsid w:val="79EF706B"/>
    <w:rsid w:val="7A1C0378"/>
    <w:rsid w:val="7A230AC3"/>
    <w:rsid w:val="7A236D15"/>
    <w:rsid w:val="7A326409"/>
    <w:rsid w:val="7A3727C0"/>
    <w:rsid w:val="7A396538"/>
    <w:rsid w:val="7A5073DE"/>
    <w:rsid w:val="7A561865"/>
    <w:rsid w:val="7A5E1AFB"/>
    <w:rsid w:val="7A5F2964"/>
    <w:rsid w:val="7A664E53"/>
    <w:rsid w:val="7A684727"/>
    <w:rsid w:val="7A693667"/>
    <w:rsid w:val="7A6D1FE3"/>
    <w:rsid w:val="7A792DD8"/>
    <w:rsid w:val="7A88301C"/>
    <w:rsid w:val="7A8F7F06"/>
    <w:rsid w:val="7A951295"/>
    <w:rsid w:val="7A9C5E45"/>
    <w:rsid w:val="7AA00365"/>
    <w:rsid w:val="7AAA11E4"/>
    <w:rsid w:val="7AAA4AFD"/>
    <w:rsid w:val="7AC04563"/>
    <w:rsid w:val="7AC06311"/>
    <w:rsid w:val="7AC53928"/>
    <w:rsid w:val="7AD853DF"/>
    <w:rsid w:val="7ADE01B6"/>
    <w:rsid w:val="7AE9528A"/>
    <w:rsid w:val="7AED10D1"/>
    <w:rsid w:val="7AFE32DE"/>
    <w:rsid w:val="7B002BB2"/>
    <w:rsid w:val="7B05466C"/>
    <w:rsid w:val="7B203254"/>
    <w:rsid w:val="7B2E771F"/>
    <w:rsid w:val="7B340AAD"/>
    <w:rsid w:val="7B3A354B"/>
    <w:rsid w:val="7B3B008E"/>
    <w:rsid w:val="7B3D5BB4"/>
    <w:rsid w:val="7B476A33"/>
    <w:rsid w:val="7B4927AB"/>
    <w:rsid w:val="7B5423F4"/>
    <w:rsid w:val="7B551150"/>
    <w:rsid w:val="7B5A49B8"/>
    <w:rsid w:val="7B692BF0"/>
    <w:rsid w:val="7B694BFB"/>
    <w:rsid w:val="7B75AFA1"/>
    <w:rsid w:val="7B7F7F7B"/>
    <w:rsid w:val="7B811F45"/>
    <w:rsid w:val="7B821819"/>
    <w:rsid w:val="7B9F686F"/>
    <w:rsid w:val="7BA07EF1"/>
    <w:rsid w:val="7BA43E85"/>
    <w:rsid w:val="7BA7127F"/>
    <w:rsid w:val="7BB01DDF"/>
    <w:rsid w:val="7BC10593"/>
    <w:rsid w:val="7BD36518"/>
    <w:rsid w:val="7BD5403F"/>
    <w:rsid w:val="7BDF6C6B"/>
    <w:rsid w:val="7BE424D4"/>
    <w:rsid w:val="7BEB1AB4"/>
    <w:rsid w:val="7BED75DA"/>
    <w:rsid w:val="7BF344C5"/>
    <w:rsid w:val="7C1032C9"/>
    <w:rsid w:val="7C1A5EF5"/>
    <w:rsid w:val="7C1F350C"/>
    <w:rsid w:val="7C224DAA"/>
    <w:rsid w:val="7C310E84"/>
    <w:rsid w:val="7C4A4A2C"/>
    <w:rsid w:val="7C4D62CB"/>
    <w:rsid w:val="7C55517F"/>
    <w:rsid w:val="7C5E6574"/>
    <w:rsid w:val="7C6158D2"/>
    <w:rsid w:val="7C636ECC"/>
    <w:rsid w:val="7C653614"/>
    <w:rsid w:val="7C705B15"/>
    <w:rsid w:val="7C776EA4"/>
    <w:rsid w:val="7C7C44BA"/>
    <w:rsid w:val="7C7E49E6"/>
    <w:rsid w:val="7C947A56"/>
    <w:rsid w:val="7CAD17DA"/>
    <w:rsid w:val="7CAF4890"/>
    <w:rsid w:val="7CB263ED"/>
    <w:rsid w:val="7CB2717C"/>
    <w:rsid w:val="7CB35F23"/>
    <w:rsid w:val="7CB37BC7"/>
    <w:rsid w:val="7CC540B3"/>
    <w:rsid w:val="7CCC3693"/>
    <w:rsid w:val="7CCD740C"/>
    <w:rsid w:val="7CD75B94"/>
    <w:rsid w:val="7CDE5175"/>
    <w:rsid w:val="7CE34539"/>
    <w:rsid w:val="7D060228"/>
    <w:rsid w:val="7D080444"/>
    <w:rsid w:val="7D0A41BC"/>
    <w:rsid w:val="7D0D7808"/>
    <w:rsid w:val="7D1058BF"/>
    <w:rsid w:val="7D24527D"/>
    <w:rsid w:val="7D31799A"/>
    <w:rsid w:val="7D360B0D"/>
    <w:rsid w:val="7D5316A8"/>
    <w:rsid w:val="7D6C09D3"/>
    <w:rsid w:val="7D782ED3"/>
    <w:rsid w:val="7D8E26F7"/>
    <w:rsid w:val="7D9341B1"/>
    <w:rsid w:val="7D937D0D"/>
    <w:rsid w:val="7D9C12B8"/>
    <w:rsid w:val="7DA147E1"/>
    <w:rsid w:val="7DB61C4E"/>
    <w:rsid w:val="7DC4436B"/>
    <w:rsid w:val="7DCA74A7"/>
    <w:rsid w:val="7DCF629C"/>
    <w:rsid w:val="7DD547CA"/>
    <w:rsid w:val="7DD81BC4"/>
    <w:rsid w:val="7DE247F1"/>
    <w:rsid w:val="7DE467BB"/>
    <w:rsid w:val="7DE859ED"/>
    <w:rsid w:val="7DF52776"/>
    <w:rsid w:val="7DF84014"/>
    <w:rsid w:val="7E062BD5"/>
    <w:rsid w:val="7E074257"/>
    <w:rsid w:val="7E0D3F64"/>
    <w:rsid w:val="7E10135E"/>
    <w:rsid w:val="7E1F3C97"/>
    <w:rsid w:val="7E5576B9"/>
    <w:rsid w:val="7E5751DF"/>
    <w:rsid w:val="7E584AB3"/>
    <w:rsid w:val="7E5E47BF"/>
    <w:rsid w:val="7E6E2528"/>
    <w:rsid w:val="7E7F0292"/>
    <w:rsid w:val="7E7FEBA3"/>
    <w:rsid w:val="7E885398"/>
    <w:rsid w:val="7E906943"/>
    <w:rsid w:val="7E941F8F"/>
    <w:rsid w:val="7EA36676"/>
    <w:rsid w:val="7EABC132"/>
    <w:rsid w:val="7EB50157"/>
    <w:rsid w:val="7EC32874"/>
    <w:rsid w:val="7EC9775F"/>
    <w:rsid w:val="7ED625A7"/>
    <w:rsid w:val="7EF70770"/>
    <w:rsid w:val="7EF97D05"/>
    <w:rsid w:val="7EFD149B"/>
    <w:rsid w:val="7F005876"/>
    <w:rsid w:val="7F032C71"/>
    <w:rsid w:val="7F0C421B"/>
    <w:rsid w:val="7F1C1F84"/>
    <w:rsid w:val="7F1D01D6"/>
    <w:rsid w:val="7F2C666B"/>
    <w:rsid w:val="7F3379FA"/>
    <w:rsid w:val="7F370B6C"/>
    <w:rsid w:val="7F3B018A"/>
    <w:rsid w:val="7F41757B"/>
    <w:rsid w:val="7F4E9C34"/>
    <w:rsid w:val="7F5E066E"/>
    <w:rsid w:val="7F65392B"/>
    <w:rsid w:val="7F792F33"/>
    <w:rsid w:val="7F855D7C"/>
    <w:rsid w:val="7F89586C"/>
    <w:rsid w:val="7F8F2756"/>
    <w:rsid w:val="7F8F6BFA"/>
    <w:rsid w:val="7FA23E97"/>
    <w:rsid w:val="7FA82B99"/>
    <w:rsid w:val="7FB64187"/>
    <w:rsid w:val="7FBBA8C9"/>
    <w:rsid w:val="7FBE52A6"/>
    <w:rsid w:val="7FD12D6F"/>
    <w:rsid w:val="7FD34D39"/>
    <w:rsid w:val="7FDA7E75"/>
    <w:rsid w:val="7FDC4B90"/>
    <w:rsid w:val="7FDD1714"/>
    <w:rsid w:val="7FE17456"/>
    <w:rsid w:val="7FE42AA2"/>
    <w:rsid w:val="7FEC7BA9"/>
    <w:rsid w:val="9ADDDAB9"/>
    <w:rsid w:val="9B575A4B"/>
    <w:rsid w:val="A7EEDC62"/>
    <w:rsid w:val="AB7F242D"/>
    <w:rsid w:val="ABFB4C47"/>
    <w:rsid w:val="ADB7BB8C"/>
    <w:rsid w:val="AF5D55AA"/>
    <w:rsid w:val="BADFBAB7"/>
    <w:rsid w:val="BDF0F7EC"/>
    <w:rsid w:val="BFCC0358"/>
    <w:rsid w:val="C7BF722B"/>
    <w:rsid w:val="D5EFA6DE"/>
    <w:rsid w:val="DEBEE989"/>
    <w:rsid w:val="DF5FCEEC"/>
    <w:rsid w:val="DFDE1A5F"/>
    <w:rsid w:val="E6FEC9BD"/>
    <w:rsid w:val="E7F784B6"/>
    <w:rsid w:val="ED7D00B7"/>
    <w:rsid w:val="F3FD8D61"/>
    <w:rsid w:val="F77E3679"/>
    <w:rsid w:val="F79B0276"/>
    <w:rsid w:val="F7B70957"/>
    <w:rsid w:val="F7FFB7E7"/>
    <w:rsid w:val="F97770F3"/>
    <w:rsid w:val="FA7E8127"/>
    <w:rsid w:val="FBBDE8CD"/>
    <w:rsid w:val="FDB7694F"/>
    <w:rsid w:val="FE6E4AA5"/>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5">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6">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7">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8">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9">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10">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1">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2">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next w:val="3"/>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3">
    <w:name w:val="Body Text Indent"/>
    <w:basedOn w:val="1"/>
    <w:next w:val="2"/>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3">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4">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5">
    <w:name w:val="annotation text"/>
    <w:basedOn w:val="1"/>
    <w:qFormat/>
    <w:uiPriority w:val="0"/>
    <w:pPr>
      <w:jc w:val="left"/>
    </w:pPr>
    <w:rPr>
      <w:rFonts w:ascii="Times New Roman" w:hAnsi="Times New Roman" w:eastAsia="宋体" w:cs="Times New Roman"/>
    </w:rPr>
  </w:style>
  <w:style w:type="paragraph" w:styleId="16">
    <w:name w:val="Body Text"/>
    <w:basedOn w:val="1"/>
    <w:next w:val="17"/>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7">
    <w:name w:val="Body Text First Indent"/>
    <w:basedOn w:val="16"/>
    <w:next w:val="18"/>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19">
    <w:name w:val="Plain Text"/>
    <w:basedOn w:val="1"/>
    <w:next w:val="1"/>
    <w:link w:val="57"/>
    <w:qFormat/>
    <w:uiPriority w:val="0"/>
    <w:rPr>
      <w:rFonts w:ascii="宋体" w:hAnsi="Courier New" w:eastAsia="宋体" w:cs="Courier New"/>
      <w:szCs w:val="21"/>
    </w:rPr>
  </w:style>
  <w:style w:type="paragraph" w:styleId="20">
    <w:name w:val="Date"/>
    <w:basedOn w:val="1"/>
    <w:next w:val="1"/>
    <w:qFormat/>
    <w:uiPriority w:val="0"/>
    <w:rPr>
      <w:rFonts w:ascii="Times New Roman" w:hAnsi="Times New Roman" w:eastAsia="宋体" w:cs="Times New Roman"/>
      <w:sz w:val="28"/>
      <w:szCs w:val="20"/>
    </w:rPr>
  </w:style>
  <w:style w:type="paragraph" w:styleId="21">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2">
    <w:name w:val="Balloon Text"/>
    <w:basedOn w:val="1"/>
    <w:qFormat/>
    <w:uiPriority w:val="0"/>
    <w:rPr>
      <w:rFonts w:ascii="Times New Roman" w:hAnsi="Times New Roman" w:eastAsia="宋体" w:cs="Times New Roman"/>
      <w:sz w:val="18"/>
      <w:szCs w:val="18"/>
    </w:rPr>
  </w:style>
  <w:style w:type="paragraph" w:styleId="23">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4">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5">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6">
    <w:name w:val="toc 4"/>
    <w:basedOn w:val="1"/>
    <w:next w:val="1"/>
    <w:qFormat/>
    <w:uiPriority w:val="0"/>
    <w:pPr>
      <w:ind w:left="1260"/>
    </w:pPr>
    <w:rPr>
      <w:rFonts w:ascii="Times New Roman" w:hAnsi="Times New Roman" w:eastAsia="宋体" w:cs="Times New Roman"/>
      <w:kern w:val="1"/>
    </w:rPr>
  </w:style>
  <w:style w:type="paragraph" w:styleId="27">
    <w:name w:val="footnote text"/>
    <w:basedOn w:val="1"/>
    <w:link w:val="58"/>
    <w:qFormat/>
    <w:uiPriority w:val="0"/>
    <w:pPr>
      <w:snapToGrid w:val="0"/>
      <w:jc w:val="left"/>
    </w:pPr>
    <w:rPr>
      <w:rFonts w:ascii="Times New Roman" w:hAnsi="Times New Roman" w:eastAsia="宋体" w:cs="Times New Roman"/>
      <w:sz w:val="18"/>
      <w:szCs w:val="18"/>
    </w:rPr>
  </w:style>
  <w:style w:type="paragraph" w:styleId="28">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toc 9"/>
    <w:basedOn w:val="1"/>
    <w:next w:val="1"/>
    <w:qFormat/>
    <w:uiPriority w:val="0"/>
    <w:pPr>
      <w:ind w:left="3360" w:leftChars="1600"/>
    </w:pPr>
    <w:rPr>
      <w:rFonts w:ascii="Calibri" w:hAnsi="Calibri" w:eastAsia="宋体" w:cs="Times New Roman"/>
    </w:rPr>
  </w:style>
  <w:style w:type="paragraph" w:styleId="31">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qFormat/>
    <w:uiPriority w:val="0"/>
    <w:rPr>
      <w:rFonts w:ascii="Times New Roman" w:hAnsi="Times New Roman" w:eastAsia="宋体" w:cs="Times New Roman"/>
    </w:rPr>
  </w:style>
  <w:style w:type="paragraph" w:styleId="34">
    <w:name w:val="Title"/>
    <w:basedOn w:val="1"/>
    <w:next w:val="1"/>
    <w:link w:val="59"/>
    <w:qFormat/>
    <w:uiPriority w:val="0"/>
    <w:pPr>
      <w:spacing w:before="240" w:after="60"/>
      <w:jc w:val="center"/>
      <w:outlineLvl w:val="0"/>
    </w:pPr>
    <w:rPr>
      <w:rFonts w:ascii="等线 Light" w:hAnsi="等线 Light" w:cs="Times New Roman"/>
      <w:b/>
      <w:bCs/>
      <w:sz w:val="32"/>
      <w:szCs w:val="32"/>
    </w:rPr>
  </w:style>
  <w:style w:type="paragraph" w:styleId="35">
    <w:name w:val="annotation subject"/>
    <w:basedOn w:val="15"/>
    <w:next w:val="15"/>
    <w:qFormat/>
    <w:uiPriority w:val="0"/>
    <w:rPr>
      <w:rFonts w:ascii="Times New Roman" w:hAnsi="Times New Roman" w:eastAsia="宋体" w:cs="Times New Roman"/>
      <w:b/>
      <w:bCs/>
    </w:rPr>
  </w:style>
  <w:style w:type="paragraph" w:styleId="36">
    <w:name w:val="Body Text First Indent 2"/>
    <w:basedOn w:val="3"/>
    <w:next w:val="3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szCs w:val="20"/>
      <w:u w:val="single"/>
    </w:rPr>
  </w:style>
  <w:style w:type="character" w:styleId="44">
    <w:name w:val="Emphasis"/>
    <w:basedOn w:val="40"/>
    <w:qFormat/>
    <w:uiPriority w:val="0"/>
    <w:rPr>
      <w:b/>
      <w:bCs/>
    </w:rPr>
  </w:style>
  <w:style w:type="character" w:styleId="45">
    <w:name w:val="HTML Definition"/>
    <w:basedOn w:val="40"/>
    <w:qFormat/>
    <w:uiPriority w:val="0"/>
  </w:style>
  <w:style w:type="character" w:styleId="46">
    <w:name w:val="HTML Typewriter"/>
    <w:basedOn w:val="40"/>
    <w:qFormat/>
    <w:uiPriority w:val="0"/>
    <w:rPr>
      <w:rFonts w:hint="default" w:ascii="monospace" w:hAnsi="monospace" w:eastAsia="monospace" w:cs="monospace"/>
      <w:sz w:val="20"/>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qFormat/>
    <w:uiPriority w:val="0"/>
    <w:rPr>
      <w:rFonts w:ascii="Times New Roman" w:hAnsi="Times New Roman" w:eastAsia="宋体" w:cs="Times New Roman"/>
      <w:color w:val="0000FF"/>
      <w:sz w:val="21"/>
      <w:szCs w:val="20"/>
      <w:u w:val="single"/>
    </w:rPr>
  </w:style>
  <w:style w:type="character" w:styleId="50">
    <w:name w:val="HTML Code"/>
    <w:basedOn w:val="40"/>
    <w:qFormat/>
    <w:uiPriority w:val="0"/>
    <w:rPr>
      <w:rFonts w:ascii="monospace" w:hAnsi="monospace" w:eastAsia="monospace" w:cs="monospace"/>
      <w:sz w:val="20"/>
    </w:rPr>
  </w:style>
  <w:style w:type="character" w:styleId="51">
    <w:name w:val="annotation reference"/>
    <w:qFormat/>
    <w:uiPriority w:val="0"/>
    <w:rPr>
      <w:rFonts w:ascii="Times New Roman" w:hAnsi="Times New Roman" w:eastAsia="宋体" w:cs="Times New Roman"/>
      <w:sz w:val="21"/>
      <w:szCs w:val="21"/>
    </w:rPr>
  </w:style>
  <w:style w:type="character" w:styleId="52">
    <w:name w:val="HTML Cite"/>
    <w:basedOn w:val="40"/>
    <w:qFormat/>
    <w:uiPriority w:val="0"/>
  </w:style>
  <w:style w:type="character" w:styleId="53">
    <w:name w:val="footnote reference"/>
    <w:qFormat/>
    <w:uiPriority w:val="0"/>
    <w:rPr>
      <w:rFonts w:ascii="Times New Roman" w:hAnsi="Times New Roman" w:eastAsia="宋体" w:cs="Times New Roman"/>
      <w:vertAlign w:val="superscript"/>
    </w:rPr>
  </w:style>
  <w:style w:type="character" w:styleId="54">
    <w:name w:val="HTML Keyboard"/>
    <w:basedOn w:val="40"/>
    <w:qFormat/>
    <w:uiPriority w:val="0"/>
    <w:rPr>
      <w:rFonts w:hint="default" w:ascii="monospace" w:hAnsi="monospace" w:eastAsia="monospace" w:cs="monospace"/>
      <w:sz w:val="20"/>
    </w:rPr>
  </w:style>
  <w:style w:type="character" w:styleId="55">
    <w:name w:val="HTML Sample"/>
    <w:basedOn w:val="40"/>
    <w:qFormat/>
    <w:uiPriority w:val="0"/>
    <w:rPr>
      <w:rFonts w:hint="default" w:ascii="monospace" w:hAnsi="monospace" w:eastAsia="monospace" w:cs="monospace"/>
    </w:rPr>
  </w:style>
  <w:style w:type="paragraph" w:customStyle="1" w:styleId="56">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57">
    <w:name w:val="纯文本 字符"/>
    <w:link w:val="19"/>
    <w:qFormat/>
    <w:uiPriority w:val="0"/>
    <w:rPr>
      <w:rFonts w:ascii="宋体" w:hAnsi="Courier New" w:eastAsia="宋体" w:cs="Courier New"/>
      <w:kern w:val="2"/>
      <w:sz w:val="21"/>
      <w:szCs w:val="21"/>
      <w:lang w:val="en-US" w:eastAsia="zh-CN" w:bidi="ar-SA"/>
    </w:rPr>
  </w:style>
  <w:style w:type="character" w:customStyle="1" w:styleId="58">
    <w:name w:val="脚注文本 字符"/>
    <w:link w:val="27"/>
    <w:qFormat/>
    <w:uiPriority w:val="0"/>
    <w:rPr>
      <w:rFonts w:ascii="Times New Roman" w:hAnsi="Times New Roman" w:eastAsia="宋体" w:cs="Times New Roman"/>
      <w:kern w:val="2"/>
      <w:sz w:val="18"/>
      <w:szCs w:val="18"/>
    </w:rPr>
  </w:style>
  <w:style w:type="character" w:customStyle="1" w:styleId="59">
    <w:name w:val="标题 字符"/>
    <w:link w:val="34"/>
    <w:qFormat/>
    <w:uiPriority w:val="0"/>
    <w:rPr>
      <w:rFonts w:ascii="等线 Light" w:hAnsi="等线 Light" w:eastAsia="宋体" w:cs="Times New Roman"/>
      <w:b/>
      <w:bCs/>
      <w:kern w:val="2"/>
      <w:sz w:val="32"/>
      <w:szCs w:val="32"/>
    </w:rPr>
  </w:style>
  <w:style w:type="paragraph" w:customStyle="1" w:styleId="60">
    <w:name w:val="_Style 2"/>
    <w:basedOn w:val="1"/>
    <w:qFormat/>
    <w:uiPriority w:val="0"/>
    <w:pPr>
      <w:ind w:firstLine="200" w:firstLineChars="200"/>
    </w:pPr>
    <w:rPr>
      <w:rFonts w:ascii="Calibri" w:hAnsi="Calibri"/>
      <w:sz w:val="28"/>
      <w:szCs w:val="22"/>
    </w:rPr>
  </w:style>
  <w:style w:type="character" w:customStyle="1" w:styleId="61">
    <w:name w:val="font11"/>
    <w:basedOn w:val="40"/>
    <w:qFormat/>
    <w:uiPriority w:val="0"/>
    <w:rPr>
      <w:rFonts w:hint="eastAsia" w:ascii="宋体" w:hAnsi="宋体" w:eastAsia="宋体" w:cs="Times New Roman"/>
      <w:color w:val="FF0000"/>
      <w:sz w:val="28"/>
      <w:szCs w:val="28"/>
      <w:u w:val="none"/>
    </w:rPr>
  </w:style>
  <w:style w:type="character" w:customStyle="1" w:styleId="62">
    <w:name w:val="font31"/>
    <w:basedOn w:val="40"/>
    <w:qFormat/>
    <w:uiPriority w:val="0"/>
    <w:rPr>
      <w:rFonts w:hint="eastAsia" w:ascii="宋体" w:hAnsi="宋体" w:eastAsia="宋体" w:cs="宋体"/>
      <w:color w:val="000000"/>
      <w:sz w:val="22"/>
      <w:szCs w:val="22"/>
      <w:u w:val="none"/>
    </w:rPr>
  </w:style>
  <w:style w:type="character" w:customStyle="1" w:styleId="63">
    <w:name w:val="font21"/>
    <w:qFormat/>
    <w:uiPriority w:val="0"/>
    <w:rPr>
      <w:rFonts w:hint="eastAsia" w:ascii="宋体" w:hAnsi="宋体" w:eastAsia="宋体" w:cs="宋体"/>
      <w:color w:val="000000"/>
      <w:sz w:val="21"/>
      <w:szCs w:val="21"/>
      <w:u w:val="none"/>
    </w:rPr>
  </w:style>
  <w:style w:type="character" w:customStyle="1" w:styleId="64">
    <w:name w:val="font01"/>
    <w:qFormat/>
    <w:uiPriority w:val="0"/>
    <w:rPr>
      <w:rFonts w:ascii="Verdana" w:hAnsi="Verdana" w:eastAsia="宋体" w:cs="Verdana"/>
      <w:color w:val="000000"/>
      <w:sz w:val="20"/>
      <w:szCs w:val="20"/>
      <w:u w:val="none"/>
    </w:rPr>
  </w:style>
  <w:style w:type="paragraph" w:customStyle="1" w:styleId="65">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66">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67">
    <w:name w:val="纯文本 Char1"/>
    <w:qFormat/>
    <w:uiPriority w:val="0"/>
    <w:rPr>
      <w:rFonts w:ascii="宋体" w:hAnsi="Courier New" w:eastAsia="宋体" w:cs="Courier New"/>
      <w:kern w:val="2"/>
      <w:sz w:val="21"/>
      <w:szCs w:val="21"/>
    </w:rPr>
  </w:style>
  <w:style w:type="character" w:customStyle="1" w:styleId="68">
    <w:name w:val="普通文字 Char Char2"/>
    <w:qFormat/>
    <w:uiPriority w:val="0"/>
    <w:rPr>
      <w:rFonts w:ascii="宋体" w:hAnsi="Courier New" w:eastAsia="宋体" w:cs="Courier New"/>
      <w:kern w:val="2"/>
      <w:sz w:val="21"/>
      <w:szCs w:val="21"/>
      <w:lang w:val="en-US" w:eastAsia="zh-CN" w:bidi="ar-SA"/>
    </w:rPr>
  </w:style>
  <w:style w:type="character" w:customStyle="1" w:styleId="69">
    <w:name w:val=" Char Char1"/>
    <w:qFormat/>
    <w:uiPriority w:val="0"/>
    <w:rPr>
      <w:rFonts w:ascii="宋体" w:hAnsi="Courier New" w:eastAsia="宋体" w:cs="Courier New"/>
      <w:kern w:val="2"/>
      <w:sz w:val="21"/>
      <w:szCs w:val="21"/>
      <w:lang w:val="en-US" w:eastAsia="zh-CN" w:bidi="ar-SA"/>
    </w:rPr>
  </w:style>
  <w:style w:type="paragraph" w:customStyle="1" w:styleId="70">
    <w:name w:val="Char"/>
    <w:basedOn w:val="1"/>
    <w:qFormat/>
    <w:uiPriority w:val="0"/>
    <w:rPr>
      <w:rFonts w:ascii="仿宋_GB2312" w:hAnsi="Times New Roman" w:eastAsia="仿宋_GB2312" w:cs="仿宋_GB2312"/>
      <w:b/>
      <w:bCs/>
      <w:sz w:val="32"/>
      <w:szCs w:val="32"/>
    </w:rPr>
  </w:style>
  <w:style w:type="paragraph" w:customStyle="1" w:styleId="71">
    <w:name w:val="标题1"/>
    <w:basedOn w:val="25"/>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2">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73">
    <w:name w:val=" Char Char Char2 Char Char Char"/>
    <w:basedOn w:val="1"/>
    <w:qFormat/>
    <w:uiPriority w:val="0"/>
    <w:rPr>
      <w:rFonts w:ascii="Times New Roman" w:hAnsi="Times New Roman" w:eastAsia="宋体" w:cs="Times New Roman"/>
    </w:rPr>
  </w:style>
  <w:style w:type="paragraph" w:customStyle="1" w:styleId="74">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5">
    <w:name w:val="正"/>
    <w:basedOn w:val="1"/>
    <w:qFormat/>
    <w:uiPriority w:val="0"/>
    <w:pPr>
      <w:ind w:firstLine="525"/>
    </w:pPr>
    <w:rPr>
      <w:rFonts w:ascii="Times New Roman" w:hAnsi="Times New Roman" w:eastAsia="宋体" w:cs="Times New Roman"/>
      <w:spacing w:val="20"/>
    </w:rPr>
  </w:style>
  <w:style w:type="paragraph" w:customStyle="1" w:styleId="7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7">
    <w:name w:val="ÕÂ¡À¨ºÌâ"/>
    <w:basedOn w:val="76"/>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78">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9">
    <w:name w:val="表格"/>
    <w:basedOn w:val="1"/>
    <w:next w:val="2"/>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80">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81">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2">
    <w:name w:val=" Char3"/>
    <w:basedOn w:val="1"/>
    <w:qFormat/>
    <w:uiPriority w:val="0"/>
    <w:pPr>
      <w:tabs>
        <w:tab w:val="left" w:pos="360"/>
      </w:tabs>
    </w:pPr>
    <w:rPr>
      <w:rFonts w:ascii="Times New Roman" w:hAnsi="Times New Roman" w:eastAsia="宋体" w:cs="Times New Roman"/>
      <w:sz w:val="24"/>
    </w:rPr>
  </w:style>
  <w:style w:type="paragraph" w:styleId="83">
    <w:name w:val="List Paragraph"/>
    <w:basedOn w:val="1"/>
    <w:qFormat/>
    <w:uiPriority w:val="0"/>
    <w:pPr>
      <w:ind w:firstLine="420" w:firstLineChars="200"/>
    </w:pPr>
    <w:rPr>
      <w:rFonts w:ascii="Times New Roman" w:hAnsi="Times New Roman" w:eastAsia="宋体" w:cs="Times New Roman"/>
    </w:rPr>
  </w:style>
  <w:style w:type="paragraph" w:customStyle="1" w:styleId="84">
    <w:name w:val=" Char"/>
    <w:basedOn w:val="1"/>
    <w:qFormat/>
    <w:uiPriority w:val="0"/>
    <w:rPr>
      <w:rFonts w:ascii="Times New Roman" w:hAnsi="Times New Roman" w:eastAsia="宋体" w:cs="Times New Roman"/>
      <w:szCs w:val="20"/>
    </w:rPr>
  </w:style>
  <w:style w:type="paragraph" w:customStyle="1" w:styleId="85">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6">
    <w:name w:val=" Char Char Char"/>
    <w:basedOn w:val="1"/>
    <w:qFormat/>
    <w:uiPriority w:val="0"/>
    <w:rPr>
      <w:rFonts w:ascii="Tahoma" w:hAnsi="Tahoma" w:eastAsia="宋体" w:cs="Times New Roman"/>
      <w:sz w:val="24"/>
      <w:szCs w:val="20"/>
    </w:rPr>
  </w:style>
  <w:style w:type="paragraph" w:customStyle="1" w:styleId="87">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88">
    <w:name w:val="列出段落1"/>
    <w:basedOn w:val="1"/>
    <w:qFormat/>
    <w:uiPriority w:val="0"/>
    <w:pPr>
      <w:ind w:firstLine="420" w:firstLineChars="200"/>
    </w:pPr>
    <w:rPr>
      <w:rFonts w:ascii="Times New Roman" w:hAnsi="Times New Roman" w:eastAsia="宋体" w:cs="Times New Roman"/>
      <w:szCs w:val="22"/>
    </w:rPr>
  </w:style>
  <w:style w:type="paragraph" w:customStyle="1" w:styleId="89">
    <w:name w:val="null3"/>
    <w:qFormat/>
    <w:uiPriority w:val="0"/>
    <w:rPr>
      <w:rFonts w:hint="eastAsia" w:ascii="Calibri" w:hAnsi="Calibri" w:eastAsia="宋体" w:cs="Times New Roman"/>
      <w:lang w:val="en-US" w:eastAsia="zh-Hans" w:bidi="ar-SA"/>
    </w:rPr>
  </w:style>
  <w:style w:type="paragraph" w:customStyle="1" w:styleId="9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91">
    <w:name w:val="Table Text"/>
    <w:basedOn w:val="1"/>
    <w:semiHidden/>
    <w:qFormat/>
    <w:uiPriority w:val="0"/>
    <w:rPr>
      <w:rFonts w:ascii="宋体" w:hAnsi="宋体" w:eastAsia="宋体" w:cs="宋体"/>
      <w:sz w:val="19"/>
      <w:szCs w:val="19"/>
      <w:lang w:val="en-US" w:eastAsia="en-US" w:bidi="ar-SA"/>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font91"/>
    <w:basedOn w:val="40"/>
    <w:qFormat/>
    <w:uiPriority w:val="0"/>
    <w:rPr>
      <w:rFonts w:hint="default" w:ascii="Times New Roman" w:hAnsi="Times New Roman" w:cs="Times New Roman"/>
      <w:color w:val="000000"/>
      <w:sz w:val="24"/>
      <w:szCs w:val="24"/>
      <w:u w:val="none"/>
    </w:rPr>
  </w:style>
  <w:style w:type="character" w:customStyle="1" w:styleId="94">
    <w:name w:val="font101"/>
    <w:basedOn w:val="40"/>
    <w:qFormat/>
    <w:uiPriority w:val="0"/>
    <w:rPr>
      <w:rFonts w:hint="eastAsia" w:ascii="宋体" w:hAnsi="宋体" w:eastAsia="宋体" w:cs="宋体"/>
      <w:b/>
      <w:bCs/>
      <w:color w:val="FF0000"/>
      <w:sz w:val="24"/>
      <w:szCs w:val="24"/>
      <w:u w:val="none"/>
    </w:rPr>
  </w:style>
  <w:style w:type="character" w:customStyle="1" w:styleId="95">
    <w:name w:val="font41"/>
    <w:basedOn w:val="40"/>
    <w:qFormat/>
    <w:uiPriority w:val="0"/>
    <w:rPr>
      <w:rFonts w:hint="eastAsia" w:ascii="宋体" w:hAnsi="宋体" w:eastAsia="宋体" w:cs="宋体"/>
      <w:color w:val="000000"/>
      <w:sz w:val="24"/>
      <w:szCs w:val="24"/>
      <w:u w:val="none"/>
    </w:rPr>
  </w:style>
  <w:style w:type="character" w:customStyle="1" w:styleId="96">
    <w:name w:val="font71"/>
    <w:basedOn w:val="40"/>
    <w:qFormat/>
    <w:uiPriority w:val="0"/>
    <w:rPr>
      <w:rFonts w:ascii="Segoe UI" w:hAnsi="Segoe UI" w:eastAsia="Segoe UI" w:cs="Segoe UI"/>
      <w:color w:val="000000"/>
      <w:sz w:val="24"/>
      <w:szCs w:val="24"/>
      <w:u w:val="none"/>
    </w:rPr>
  </w:style>
  <w:style w:type="character" w:customStyle="1" w:styleId="97">
    <w:name w:val="font61"/>
    <w:basedOn w:val="40"/>
    <w:qFormat/>
    <w:uiPriority w:val="0"/>
    <w:rPr>
      <w:rFonts w:hint="eastAsia" w:ascii="宋体" w:hAnsi="宋体" w:eastAsia="宋体" w:cs="宋体"/>
      <w:color w:val="000000"/>
      <w:sz w:val="24"/>
      <w:szCs w:val="24"/>
      <w:u w:val="none"/>
    </w:rPr>
  </w:style>
  <w:style w:type="character" w:customStyle="1" w:styleId="98">
    <w:name w:val="font81"/>
    <w:basedOn w:val="40"/>
    <w:qFormat/>
    <w:uiPriority w:val="0"/>
    <w:rPr>
      <w:rFonts w:hint="default" w:ascii="Times New Roman" w:hAnsi="Times New Roman" w:cs="Times New Roman"/>
      <w:color w:val="000000"/>
      <w:sz w:val="24"/>
      <w:szCs w:val="24"/>
      <w:u w:val="none"/>
    </w:rPr>
  </w:style>
  <w:style w:type="character" w:customStyle="1" w:styleId="99">
    <w:name w:val="font51"/>
    <w:basedOn w:val="40"/>
    <w:qFormat/>
    <w:uiPriority w:val="0"/>
    <w:rPr>
      <w:rFonts w:hint="eastAsia" w:ascii="宋体" w:hAnsi="宋体" w:eastAsia="宋体" w:cs="宋体"/>
      <w:color w:val="000000"/>
      <w:sz w:val="24"/>
      <w:szCs w:val="24"/>
      <w:u w:val="none"/>
    </w:rPr>
  </w:style>
  <w:style w:type="character" w:customStyle="1" w:styleId="100">
    <w:name w:val="font112"/>
    <w:basedOn w:val="40"/>
    <w:qFormat/>
    <w:uiPriority w:val="0"/>
    <w:rPr>
      <w:rFonts w:hint="default" w:ascii="Times New Roman" w:hAnsi="Times New Roman" w:cs="Times New Roman"/>
      <w:color w:val="000000"/>
      <w:sz w:val="24"/>
      <w:szCs w:val="24"/>
      <w:u w:val="none"/>
    </w:rPr>
  </w:style>
  <w:style w:type="character" w:customStyle="1" w:styleId="101">
    <w:name w:val="font121"/>
    <w:basedOn w:val="40"/>
    <w:qFormat/>
    <w:uiPriority w:val="0"/>
    <w:rPr>
      <w:rFonts w:hint="eastAsia" w:ascii="宋体" w:hAnsi="宋体" w:eastAsia="宋体" w:cs="宋体"/>
      <w:b/>
      <w:bCs/>
      <w:color w:val="FF0000"/>
      <w:sz w:val="24"/>
      <w:szCs w:val="24"/>
      <w:u w:val="none"/>
    </w:rPr>
  </w:style>
  <w:style w:type="character" w:customStyle="1" w:styleId="102">
    <w:name w:val="font111"/>
    <w:basedOn w:val="40"/>
    <w:qFormat/>
    <w:uiPriority w:val="0"/>
    <w:rPr>
      <w:rFonts w:hint="eastAsia" w:ascii="宋体" w:hAnsi="宋体" w:eastAsia="宋体" w:cs="宋体"/>
      <w:b/>
      <w:bCs/>
      <w:color w:val="FF0000"/>
      <w:sz w:val="24"/>
      <w:szCs w:val="24"/>
      <w:u w:val="none"/>
    </w:rPr>
  </w:style>
  <w:style w:type="character" w:customStyle="1" w:styleId="103">
    <w:name w:val="font122"/>
    <w:basedOn w:val="40"/>
    <w:qFormat/>
    <w:uiPriority w:val="0"/>
    <w:rPr>
      <w:rFonts w:hint="eastAsia" w:ascii="宋体" w:hAnsi="宋体" w:eastAsia="宋体" w:cs="宋体"/>
      <w:color w:val="FF0000"/>
      <w:sz w:val="24"/>
      <w:szCs w:val="24"/>
      <w:u w:val="none"/>
    </w:rPr>
  </w:style>
  <w:style w:type="paragraph" w:customStyle="1" w:styleId="10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5">
    <w:name w:val="16"/>
    <w:basedOn w:val="40"/>
    <w:qFormat/>
    <w:uiPriority w:val="0"/>
    <w:rPr>
      <w:rFonts w:hint="eastAsia" w:ascii="宋体" w:hAnsi="宋体" w:eastAsia="宋体" w:cs="宋体"/>
      <w:b/>
      <w:color w:val="000000"/>
      <w:sz w:val="21"/>
      <w:szCs w:val="21"/>
    </w:rPr>
  </w:style>
  <w:style w:type="character" w:customStyle="1" w:styleId="106">
    <w:name w:val="17"/>
    <w:basedOn w:val="40"/>
    <w:qFormat/>
    <w:uiPriority w:val="0"/>
    <w:rPr>
      <w:rFonts w:hint="default" w:ascii="新宋体" w:hAnsi="新宋体" w:eastAsia="新宋体" w:cs="新宋体"/>
      <w:color w:val="000000"/>
      <w:sz w:val="21"/>
      <w:szCs w:val="21"/>
    </w:rPr>
  </w:style>
  <w:style w:type="character" w:customStyle="1" w:styleId="107">
    <w:name w:val="15"/>
    <w:basedOn w:val="40"/>
    <w:qFormat/>
    <w:uiPriority w:val="0"/>
    <w:rPr>
      <w:rFonts w:hint="eastAsia" w:ascii="宋体" w:hAnsi="宋体" w:eastAsia="宋体" w:cs="宋体"/>
      <w:color w:val="000000"/>
      <w:sz w:val="21"/>
      <w:szCs w:val="21"/>
    </w:rPr>
  </w:style>
  <w:style w:type="character" w:customStyle="1" w:styleId="108">
    <w:name w:val="status"/>
    <w:basedOn w:val="40"/>
    <w:qFormat/>
    <w:uiPriority w:val="0"/>
    <w:rPr>
      <w:color w:val="0776DD"/>
    </w:rPr>
  </w:style>
  <w:style w:type="character" w:customStyle="1" w:styleId="109">
    <w:name w:val="time"/>
    <w:basedOn w:val="40"/>
    <w:qFormat/>
    <w:uiPriority w:val="0"/>
  </w:style>
  <w:style w:type="character" w:customStyle="1" w:styleId="110">
    <w:name w:val="mini-outputtext1"/>
    <w:basedOn w:val="4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6379</Words>
  <Characters>7143</Characters>
  <Lines>224</Lines>
  <Paragraphs>63</Paragraphs>
  <TotalTime>7</TotalTime>
  <ScaleCrop>false</ScaleCrop>
  <LinksUpToDate>false</LinksUpToDate>
  <CharactersWithSpaces>7284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2024-03-16T08:41:00Z</dcterms:created>
  <dc:creator>Administrator</dc:creator>
  <cp:lastModifiedBy>陶淑华</cp:lastModifiedBy>
  <cp:lastPrinted>2025-11-11T00:54:00Z</cp:lastPrinted>
  <dcterms:modified xsi:type="dcterms:W3CDTF">2026-01-09T13:49:49Z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936A919AE8D34935A1314CEA0D4B36DF_13</vt:lpwstr>
  </property>
  <property fmtid="{D5CDD505-2E9C-101B-9397-08002B2CF9AE}" pid="4" name="KSOTemplateDocerSaveRecord">
    <vt:lpwstr>eyJoZGlkIjoiOTcwZmZkNDM4NWFkZWZlYWYxNGMxZjhjYjZhODliOTMiLCJ1c2VySWQiOiIxNzY0OTk0Nzc4In0=</vt:lpwstr>
  </property>
</Properties>
</file>