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1466C1">
      <w:pPr>
        <w:pStyle w:val="18"/>
        <w:snapToGrid w:val="0"/>
        <w:spacing w:before="120" w:after="120" w:line="360" w:lineRule="auto"/>
        <w:jc w:val="center"/>
        <w:rPr>
          <w:rFonts w:hint="eastAsia"/>
          <w:b/>
          <w:color w:val="auto"/>
          <w:sz w:val="32"/>
          <w:szCs w:val="32"/>
          <w:highlight w:val="none"/>
        </w:rPr>
      </w:pPr>
      <w:r>
        <w:rPr>
          <w:rFonts w:hint="eastAsia" w:hAnsi="宋体" w:cs="宋体"/>
          <w:b/>
          <w:bCs/>
          <w:color w:val="auto"/>
          <w:sz w:val="52"/>
          <w:szCs w:val="52"/>
          <w:highlight w:val="none"/>
          <w:lang w:val="en-US" w:eastAsia="zh-CN"/>
        </w:rPr>
        <w:t>浙江中国小商品城集团股份有限公司银都雅悦酒店员工食堂劳务外包服务</w:t>
      </w:r>
      <w:r>
        <w:rPr>
          <w:rFonts w:hint="eastAsia" w:ascii="宋体" w:hAnsi="宋体" w:cs="宋体"/>
          <w:b/>
          <w:bCs/>
          <w:color w:val="auto"/>
          <w:sz w:val="52"/>
          <w:szCs w:val="52"/>
          <w:highlight w:val="none"/>
          <w:lang w:val="en-US" w:eastAsia="zh-CN"/>
        </w:rPr>
        <w:t>采购项目</w:t>
      </w:r>
    </w:p>
    <w:p w14:paraId="28EEF8A7">
      <w:pPr>
        <w:pStyle w:val="18"/>
        <w:snapToGrid w:val="0"/>
        <w:spacing w:before="120" w:after="120" w:line="360" w:lineRule="auto"/>
        <w:jc w:val="center"/>
        <w:rPr>
          <w:rFonts w:hint="eastAsia" w:hAnsi="宋体"/>
          <w:color w:val="auto"/>
          <w:sz w:val="84"/>
          <w:szCs w:val="84"/>
          <w:highlight w:val="none"/>
        </w:rPr>
      </w:pPr>
      <w:r>
        <w:rPr>
          <w:rFonts w:hint="eastAsia" w:hAnsi="宋体"/>
          <w:color w:val="auto"/>
          <w:sz w:val="84"/>
          <w:szCs w:val="84"/>
          <w:highlight w:val="none"/>
        </w:rPr>
        <w:t>招</w:t>
      </w:r>
    </w:p>
    <w:p w14:paraId="0D6BBBAA">
      <w:pPr>
        <w:pStyle w:val="18"/>
        <w:snapToGrid w:val="0"/>
        <w:spacing w:before="120" w:after="120" w:line="360" w:lineRule="auto"/>
        <w:jc w:val="center"/>
        <w:rPr>
          <w:rFonts w:hint="eastAsia" w:hAnsi="宋体"/>
          <w:color w:val="auto"/>
          <w:sz w:val="84"/>
          <w:szCs w:val="84"/>
          <w:highlight w:val="none"/>
        </w:rPr>
      </w:pPr>
      <w:r>
        <w:rPr>
          <w:rFonts w:hint="eastAsia" w:hAnsi="宋体"/>
          <w:color w:val="auto"/>
          <w:sz w:val="84"/>
          <w:szCs w:val="84"/>
          <w:highlight w:val="none"/>
        </w:rPr>
        <w:t>标</w:t>
      </w:r>
    </w:p>
    <w:p w14:paraId="0CE78B71">
      <w:pPr>
        <w:pStyle w:val="18"/>
        <w:snapToGrid w:val="0"/>
        <w:spacing w:before="120" w:after="120" w:line="360" w:lineRule="auto"/>
        <w:jc w:val="center"/>
        <w:rPr>
          <w:rFonts w:hint="eastAsia" w:hAnsi="宋体"/>
          <w:color w:val="auto"/>
          <w:sz w:val="84"/>
          <w:szCs w:val="84"/>
          <w:highlight w:val="none"/>
        </w:rPr>
      </w:pPr>
      <w:r>
        <w:rPr>
          <w:rFonts w:hint="eastAsia" w:hAnsi="宋体"/>
          <w:color w:val="auto"/>
          <w:sz w:val="84"/>
          <w:szCs w:val="84"/>
          <w:highlight w:val="none"/>
        </w:rPr>
        <w:t>文</w:t>
      </w:r>
    </w:p>
    <w:p w14:paraId="424A265D">
      <w:pPr>
        <w:pStyle w:val="18"/>
        <w:snapToGrid w:val="0"/>
        <w:spacing w:before="120" w:after="120" w:line="360" w:lineRule="auto"/>
        <w:jc w:val="center"/>
        <w:rPr>
          <w:rFonts w:hint="eastAsia"/>
          <w:b/>
          <w:color w:val="auto"/>
          <w:sz w:val="32"/>
          <w:szCs w:val="32"/>
          <w:highlight w:val="none"/>
        </w:rPr>
      </w:pPr>
      <w:r>
        <w:rPr>
          <w:rFonts w:hint="eastAsia" w:hAnsi="宋体"/>
          <w:color w:val="auto"/>
          <w:sz w:val="84"/>
          <w:szCs w:val="84"/>
          <w:highlight w:val="none"/>
        </w:rPr>
        <w:t>件</w:t>
      </w:r>
    </w:p>
    <w:p w14:paraId="13498B7F">
      <w:pPr>
        <w:pStyle w:val="18"/>
        <w:snapToGrid w:val="0"/>
        <w:spacing w:before="120" w:after="120" w:line="360" w:lineRule="auto"/>
        <w:jc w:val="center"/>
        <w:rPr>
          <w:rFonts w:hint="default" w:eastAsia="宋体"/>
          <w:b/>
          <w:color w:val="auto"/>
          <w:sz w:val="32"/>
          <w:szCs w:val="32"/>
          <w:highlight w:val="none"/>
          <w:lang w:val="en-US" w:eastAsia="zh-CN"/>
        </w:rPr>
      </w:pPr>
      <w:r>
        <w:rPr>
          <w:rFonts w:hint="eastAsia"/>
          <w:b/>
          <w:color w:val="auto"/>
          <w:sz w:val="32"/>
          <w:szCs w:val="32"/>
          <w:highlight w:val="none"/>
        </w:rPr>
        <w:t>采购编号：</w:t>
      </w:r>
      <w:r>
        <w:rPr>
          <w:rFonts w:hint="eastAsia"/>
          <w:b/>
          <w:color w:val="auto"/>
          <w:sz w:val="32"/>
          <w:szCs w:val="32"/>
          <w:highlight w:val="none"/>
          <w:lang w:val="en-US" w:eastAsia="zh-CN"/>
        </w:rPr>
        <w:t xml:space="preserve">JYP-2026-CG030-1 </w:t>
      </w:r>
    </w:p>
    <w:p w14:paraId="5CA2CDFB">
      <w:pPr>
        <w:pStyle w:val="18"/>
        <w:snapToGrid w:val="0"/>
        <w:spacing w:before="120" w:after="120" w:line="360" w:lineRule="auto"/>
        <w:ind w:left="2137" w:hanging="2137" w:hangingChars="700"/>
        <w:rPr>
          <w:rFonts w:hint="eastAsia" w:hAnsi="宋体"/>
          <w:b/>
          <w:color w:val="auto"/>
          <w:sz w:val="32"/>
          <w:szCs w:val="32"/>
          <w:highlight w:val="none"/>
        </w:rPr>
      </w:pPr>
      <w:r>
        <w:rPr>
          <w:rFonts w:hint="eastAsia" w:hAnsi="宋体"/>
          <w:b/>
          <w:bCs/>
          <w:color w:val="auto"/>
          <w:w w:val="95"/>
          <w:sz w:val="32"/>
          <w:szCs w:val="32"/>
          <w:highlight w:val="none"/>
        </w:rPr>
        <w:t>采</w:t>
      </w:r>
      <w:r>
        <w:rPr>
          <w:rFonts w:hAnsi="宋体"/>
          <w:b/>
          <w:bCs/>
          <w:color w:val="auto"/>
          <w:w w:val="95"/>
          <w:sz w:val="32"/>
          <w:szCs w:val="32"/>
          <w:highlight w:val="none"/>
        </w:rPr>
        <w:t xml:space="preserve">   购　 </w:t>
      </w:r>
      <w:r>
        <w:rPr>
          <w:rFonts w:hint="eastAsia" w:hAnsi="宋体"/>
          <w:b/>
          <w:bCs/>
          <w:color w:val="auto"/>
          <w:w w:val="95"/>
          <w:sz w:val="32"/>
          <w:szCs w:val="32"/>
          <w:highlight w:val="none"/>
        </w:rPr>
        <w:t>人：</w:t>
      </w:r>
      <w:r>
        <w:rPr>
          <w:rFonts w:hint="eastAsia"/>
          <w:b/>
          <w:color w:val="auto"/>
          <w:sz w:val="32"/>
          <w:szCs w:val="32"/>
          <w:highlight w:val="none"/>
          <w:u w:val="single"/>
          <w:lang w:val="en-US" w:eastAsia="zh-CN"/>
        </w:rPr>
        <w:t>浙江中国小商品城集团股份有限公司银都雅悦酒店</w:t>
      </w:r>
      <w:r>
        <w:rPr>
          <w:rFonts w:hint="eastAsia" w:hAnsi="宋体"/>
          <w:b/>
          <w:color w:val="auto"/>
          <w:sz w:val="32"/>
          <w:szCs w:val="32"/>
          <w:highlight w:val="none"/>
          <w:u w:val="single"/>
        </w:rPr>
        <w:t>（</w:t>
      </w:r>
      <w:r>
        <w:rPr>
          <w:rFonts w:hAnsi="宋体"/>
          <w:b/>
          <w:color w:val="auto"/>
          <w:sz w:val="32"/>
          <w:szCs w:val="32"/>
          <w:highlight w:val="none"/>
          <w:u w:val="single"/>
        </w:rPr>
        <w:t>盖章）</w:t>
      </w:r>
    </w:p>
    <w:p w14:paraId="5065A507">
      <w:pPr>
        <w:pStyle w:val="18"/>
        <w:snapToGrid w:val="0"/>
        <w:spacing w:before="120" w:after="120" w:line="360" w:lineRule="auto"/>
        <w:jc w:val="left"/>
        <w:rPr>
          <w:rFonts w:hint="eastAsia" w:hAnsi="宋体"/>
          <w:b/>
          <w:color w:val="auto"/>
          <w:sz w:val="32"/>
          <w:szCs w:val="32"/>
          <w:highlight w:val="none"/>
          <w:u w:val="single"/>
        </w:rPr>
      </w:pPr>
      <w:r>
        <w:rPr>
          <w:rFonts w:hint="eastAsia" w:hAnsi="宋体"/>
          <w:b/>
          <w:bCs/>
          <w:color w:val="auto"/>
          <w:w w:val="95"/>
          <w:sz w:val="32"/>
          <w:szCs w:val="32"/>
          <w:highlight w:val="none"/>
        </w:rPr>
        <w:t>采购代理机构：</w:t>
      </w:r>
      <w:r>
        <w:rPr>
          <w:rFonts w:hint="eastAsia" w:hAnsi="宋体"/>
          <w:b/>
          <w:color w:val="auto"/>
          <w:sz w:val="32"/>
          <w:szCs w:val="32"/>
          <w:highlight w:val="none"/>
          <w:u w:val="single"/>
          <w:lang w:eastAsia="zh-CN"/>
        </w:rPr>
        <w:t>金华义产拍卖有限公司</w:t>
      </w:r>
      <w:r>
        <w:rPr>
          <w:rFonts w:hint="eastAsia" w:hAnsi="宋体"/>
          <w:b/>
          <w:color w:val="auto"/>
          <w:sz w:val="32"/>
          <w:szCs w:val="32"/>
          <w:highlight w:val="none"/>
          <w:u w:val="single"/>
        </w:rPr>
        <w:t>（盖章）</w:t>
      </w:r>
    </w:p>
    <w:p w14:paraId="4B38B1B7">
      <w:pPr>
        <w:pStyle w:val="18"/>
        <w:snapToGrid w:val="0"/>
        <w:spacing w:before="120" w:after="120" w:line="360" w:lineRule="auto"/>
        <w:rPr>
          <w:rFonts w:hint="eastAsia" w:hAnsi="宋体"/>
          <w:b/>
          <w:color w:val="auto"/>
          <w:sz w:val="32"/>
          <w:szCs w:val="32"/>
          <w:highlight w:val="none"/>
        </w:rPr>
      </w:pPr>
      <w:r>
        <w:rPr>
          <w:rFonts w:hint="eastAsia" w:hAnsi="宋体"/>
          <w:b/>
          <w:color w:val="auto"/>
          <w:sz w:val="32"/>
          <w:szCs w:val="32"/>
          <w:highlight w:val="none"/>
        </w:rPr>
        <w:t>日　　　</w:t>
      </w:r>
      <w:r>
        <w:rPr>
          <w:rFonts w:hAnsi="宋体"/>
          <w:b/>
          <w:color w:val="auto"/>
          <w:sz w:val="32"/>
          <w:szCs w:val="32"/>
          <w:highlight w:val="none"/>
        </w:rPr>
        <w:t xml:space="preserve"> </w:t>
      </w:r>
      <w:r>
        <w:rPr>
          <w:rFonts w:hint="eastAsia" w:hAnsi="宋体"/>
          <w:b/>
          <w:color w:val="auto"/>
          <w:sz w:val="32"/>
          <w:szCs w:val="32"/>
          <w:highlight w:val="none"/>
        </w:rPr>
        <w:t>期：</w:t>
      </w:r>
      <w:r>
        <w:rPr>
          <w:rFonts w:hint="eastAsia" w:hAnsi="宋体"/>
          <w:b/>
          <w:color w:val="auto"/>
          <w:sz w:val="32"/>
          <w:szCs w:val="32"/>
          <w:highlight w:val="none"/>
          <w:u w:val="single"/>
        </w:rPr>
        <w:t>二〇二</w:t>
      </w:r>
      <w:r>
        <w:rPr>
          <w:rFonts w:hint="eastAsia"/>
          <w:b/>
          <w:color w:val="auto"/>
          <w:sz w:val="32"/>
          <w:szCs w:val="32"/>
          <w:highlight w:val="none"/>
          <w:u w:val="single"/>
          <w:lang w:val="en-US" w:eastAsia="zh-CN"/>
        </w:rPr>
        <w:t>六</w:t>
      </w:r>
      <w:r>
        <w:rPr>
          <w:rFonts w:hint="eastAsia" w:hAnsi="宋体"/>
          <w:b/>
          <w:color w:val="auto"/>
          <w:sz w:val="32"/>
          <w:szCs w:val="32"/>
          <w:highlight w:val="none"/>
          <w:u w:val="single"/>
        </w:rPr>
        <w:t>年</w:t>
      </w:r>
      <w:r>
        <w:rPr>
          <w:rFonts w:hint="eastAsia" w:hAnsi="宋体"/>
          <w:b/>
          <w:color w:val="auto"/>
          <w:sz w:val="32"/>
          <w:szCs w:val="32"/>
          <w:highlight w:val="none"/>
          <w:u w:val="single"/>
          <w:lang w:val="en-US" w:eastAsia="zh-CN"/>
        </w:rPr>
        <w:t>一</w:t>
      </w:r>
      <w:r>
        <w:rPr>
          <w:rFonts w:hint="eastAsia" w:hAnsi="宋体"/>
          <w:b/>
          <w:color w:val="auto"/>
          <w:sz w:val="32"/>
          <w:szCs w:val="32"/>
          <w:highlight w:val="none"/>
          <w:u w:val="single"/>
        </w:rPr>
        <w:t>月</w:t>
      </w:r>
    </w:p>
    <w:p w14:paraId="3A9D2EB9">
      <w:pPr>
        <w:pStyle w:val="18"/>
        <w:keepNext w:val="0"/>
        <w:keepLines w:val="0"/>
        <w:pageBreakBefore w:val="0"/>
        <w:widowControl w:val="0"/>
        <w:kinsoku/>
        <w:wordWrap/>
        <w:overflowPunct/>
        <w:topLinePunct w:val="0"/>
        <w:autoSpaceDE/>
        <w:autoSpaceDN/>
        <w:bidi w:val="0"/>
        <w:adjustRightInd/>
        <w:snapToGrid/>
        <w:spacing w:before="120" w:after="120" w:line="360" w:lineRule="auto"/>
        <w:ind w:firstLine="0" w:firstLineChars="0"/>
        <w:jc w:val="center"/>
        <w:textAlignment w:val="auto"/>
        <w:rPr>
          <w:b/>
          <w:color w:val="auto"/>
          <w:sz w:val="44"/>
          <w:szCs w:val="44"/>
          <w:highlight w:val="none"/>
        </w:rPr>
      </w:pPr>
      <w:r>
        <w:rPr>
          <w:color w:val="auto"/>
          <w:highlight w:val="none"/>
        </w:rPr>
        <w:br w:type="page"/>
      </w:r>
      <w:r>
        <w:rPr>
          <w:rFonts w:hint="eastAsia"/>
          <w:b/>
          <w:color w:val="auto"/>
          <w:sz w:val="44"/>
          <w:szCs w:val="44"/>
          <w:highlight w:val="none"/>
        </w:rPr>
        <w:t>招标文件目录</w:t>
      </w:r>
    </w:p>
    <w:p w14:paraId="2ACA4AA2">
      <w:pPr>
        <w:pStyle w:val="18"/>
        <w:snapToGrid w:val="0"/>
        <w:spacing w:before="120" w:after="120" w:line="360" w:lineRule="auto"/>
        <w:rPr>
          <w:rFonts w:hAnsi="宋体"/>
          <w:b/>
          <w:color w:val="auto"/>
          <w:sz w:val="32"/>
          <w:szCs w:val="32"/>
          <w:highlight w:val="none"/>
          <w:u w:val="single"/>
        </w:rPr>
      </w:pPr>
    </w:p>
    <w:p w14:paraId="7EA909CC">
      <w:pPr>
        <w:pStyle w:val="24"/>
        <w:tabs>
          <w:tab w:val="right" w:leader="dot" w:pos="8306"/>
        </w:tabs>
        <w:rPr>
          <w:color w:val="auto"/>
          <w:highlight w:val="none"/>
        </w:rPr>
      </w:pPr>
      <w:r>
        <w:rPr>
          <w:color w:val="auto"/>
          <w:sz w:val="30"/>
          <w:highlight w:val="none"/>
        </w:rPr>
        <w:fldChar w:fldCharType="begin"/>
      </w:r>
      <w:r>
        <w:rPr>
          <w:color w:val="auto"/>
          <w:sz w:val="30"/>
          <w:highlight w:val="none"/>
        </w:rPr>
        <w:instrText xml:space="preserve">TOC \o "1-2" \h \u </w:instrText>
      </w:r>
      <w:r>
        <w:rPr>
          <w:color w:val="auto"/>
          <w:sz w:val="30"/>
          <w:highlight w:val="none"/>
        </w:rPr>
        <w:fldChar w:fldCharType="separate"/>
      </w:r>
      <w:r>
        <w:rPr>
          <w:color w:val="auto"/>
          <w:highlight w:val="none"/>
        </w:rPr>
        <w:fldChar w:fldCharType="begin"/>
      </w:r>
      <w:r>
        <w:rPr>
          <w:color w:val="auto"/>
          <w:highlight w:val="none"/>
        </w:rPr>
        <w:instrText xml:space="preserve"> HYPERLINK \l _Toc17857 </w:instrText>
      </w:r>
      <w:r>
        <w:rPr>
          <w:color w:val="auto"/>
          <w:highlight w:val="none"/>
        </w:rPr>
        <w:fldChar w:fldCharType="separate"/>
      </w:r>
      <w:r>
        <w:rPr>
          <w:rFonts w:ascii="Times New Roman" w:hAnsi="Times New Roman" w:eastAsia="宋体" w:cs="Times New Roman"/>
          <w:bCs/>
          <w:color w:val="auto"/>
          <w:kern w:val="44"/>
          <w:szCs w:val="44"/>
          <w:highlight w:val="none"/>
          <w:lang w:val="en-US" w:eastAsia="zh-CN" w:bidi="ar-SA"/>
        </w:rPr>
        <w:t>第一章</w:t>
      </w:r>
      <w:r>
        <w:rPr>
          <w:rFonts w:hint="eastAsia"/>
          <w:color w:val="auto"/>
          <w:highlight w:val="none"/>
        </w:rPr>
        <w:t>　招标公告</w:t>
      </w:r>
      <w:r>
        <w:rPr>
          <w:color w:val="auto"/>
          <w:highlight w:val="none"/>
        </w:rPr>
        <w:tab/>
      </w:r>
      <w:r>
        <w:rPr>
          <w:color w:val="auto"/>
          <w:highlight w:val="none"/>
        </w:rPr>
        <w:fldChar w:fldCharType="begin"/>
      </w:r>
      <w:r>
        <w:rPr>
          <w:color w:val="auto"/>
          <w:highlight w:val="none"/>
        </w:rPr>
        <w:instrText xml:space="preserve"> PAGEREF _Toc17857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14:paraId="0A899478">
      <w:pPr>
        <w:pStyle w:val="24"/>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_Toc16943 </w:instrText>
      </w:r>
      <w:r>
        <w:rPr>
          <w:color w:val="auto"/>
          <w:szCs w:val="30"/>
          <w:highlight w:val="none"/>
        </w:rPr>
        <w:fldChar w:fldCharType="separate"/>
      </w:r>
      <w:r>
        <w:rPr>
          <w:rFonts w:hint="eastAsia" w:ascii="Times New Roman" w:hAnsi="Times New Roman" w:eastAsia="宋体" w:cs="Times New Roman"/>
          <w:bCs/>
          <w:color w:val="auto"/>
          <w:kern w:val="44"/>
          <w:szCs w:val="44"/>
          <w:highlight w:val="none"/>
          <w:lang w:val="en-US" w:eastAsia="zh-CN" w:bidi="ar-SA"/>
        </w:rPr>
        <w:t>第二章　投标须知和投标须知前附表</w:t>
      </w:r>
      <w:r>
        <w:rPr>
          <w:color w:val="auto"/>
          <w:highlight w:val="none"/>
        </w:rPr>
        <w:tab/>
      </w:r>
      <w:r>
        <w:rPr>
          <w:color w:val="auto"/>
          <w:highlight w:val="none"/>
        </w:rPr>
        <w:fldChar w:fldCharType="begin"/>
      </w:r>
      <w:r>
        <w:rPr>
          <w:color w:val="auto"/>
          <w:highlight w:val="none"/>
        </w:rPr>
        <w:instrText xml:space="preserve"> PAGEREF _Toc16943 \h </w:instrText>
      </w:r>
      <w:r>
        <w:rPr>
          <w:color w:val="auto"/>
          <w:highlight w:val="none"/>
        </w:rPr>
        <w:fldChar w:fldCharType="separate"/>
      </w:r>
      <w:r>
        <w:rPr>
          <w:color w:val="auto"/>
          <w:highlight w:val="none"/>
        </w:rPr>
        <w:t>6</w:t>
      </w:r>
      <w:r>
        <w:rPr>
          <w:color w:val="auto"/>
          <w:highlight w:val="none"/>
        </w:rPr>
        <w:fldChar w:fldCharType="end"/>
      </w:r>
      <w:r>
        <w:rPr>
          <w:color w:val="auto"/>
          <w:szCs w:val="30"/>
          <w:highlight w:val="none"/>
        </w:rPr>
        <w:fldChar w:fldCharType="end"/>
      </w:r>
    </w:p>
    <w:p w14:paraId="00BDB753">
      <w:pPr>
        <w:pStyle w:val="24"/>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_Toc2659 </w:instrText>
      </w:r>
      <w:r>
        <w:rPr>
          <w:color w:val="auto"/>
          <w:szCs w:val="30"/>
          <w:highlight w:val="none"/>
        </w:rPr>
        <w:fldChar w:fldCharType="separate"/>
      </w:r>
      <w:r>
        <w:rPr>
          <w:rFonts w:hint="eastAsia"/>
          <w:color w:val="auto"/>
          <w:szCs w:val="32"/>
          <w:highlight w:val="none"/>
        </w:rPr>
        <w:t>投标须知</w:t>
      </w:r>
      <w:r>
        <w:rPr>
          <w:color w:val="auto"/>
          <w:highlight w:val="none"/>
        </w:rPr>
        <w:tab/>
      </w:r>
      <w:r>
        <w:rPr>
          <w:color w:val="auto"/>
          <w:highlight w:val="none"/>
        </w:rPr>
        <w:fldChar w:fldCharType="begin"/>
      </w:r>
      <w:r>
        <w:rPr>
          <w:color w:val="auto"/>
          <w:highlight w:val="none"/>
        </w:rPr>
        <w:instrText xml:space="preserve"> PAGEREF _Toc2659 \h </w:instrText>
      </w:r>
      <w:r>
        <w:rPr>
          <w:color w:val="auto"/>
          <w:highlight w:val="none"/>
        </w:rPr>
        <w:fldChar w:fldCharType="separate"/>
      </w:r>
      <w:r>
        <w:rPr>
          <w:color w:val="auto"/>
          <w:highlight w:val="none"/>
        </w:rPr>
        <w:t>8</w:t>
      </w:r>
      <w:r>
        <w:rPr>
          <w:color w:val="auto"/>
          <w:highlight w:val="none"/>
        </w:rPr>
        <w:fldChar w:fldCharType="end"/>
      </w:r>
      <w:r>
        <w:rPr>
          <w:color w:val="auto"/>
          <w:szCs w:val="30"/>
          <w:highlight w:val="none"/>
        </w:rPr>
        <w:fldChar w:fldCharType="end"/>
      </w:r>
    </w:p>
    <w:p w14:paraId="2B3CD630">
      <w:pPr>
        <w:pStyle w:val="29"/>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_Toc12927 </w:instrText>
      </w:r>
      <w:r>
        <w:rPr>
          <w:color w:val="auto"/>
          <w:szCs w:val="30"/>
          <w:highlight w:val="none"/>
        </w:rPr>
        <w:fldChar w:fldCharType="separate"/>
      </w:r>
      <w:r>
        <w:rPr>
          <w:rFonts w:hint="eastAsia" w:ascii="宋体" w:hAnsi="宋体" w:eastAsia="宋体" w:cs="宋体"/>
          <w:color w:val="auto"/>
          <w:szCs w:val="21"/>
          <w:highlight w:val="none"/>
        </w:rPr>
        <w:t>一、说明</w:t>
      </w:r>
      <w:r>
        <w:rPr>
          <w:color w:val="auto"/>
          <w:highlight w:val="none"/>
        </w:rPr>
        <w:tab/>
      </w:r>
      <w:r>
        <w:rPr>
          <w:color w:val="auto"/>
          <w:highlight w:val="none"/>
        </w:rPr>
        <w:fldChar w:fldCharType="begin"/>
      </w:r>
      <w:r>
        <w:rPr>
          <w:color w:val="auto"/>
          <w:highlight w:val="none"/>
        </w:rPr>
        <w:instrText xml:space="preserve"> PAGEREF _Toc12927 \h </w:instrText>
      </w:r>
      <w:r>
        <w:rPr>
          <w:color w:val="auto"/>
          <w:highlight w:val="none"/>
        </w:rPr>
        <w:fldChar w:fldCharType="separate"/>
      </w:r>
      <w:r>
        <w:rPr>
          <w:color w:val="auto"/>
          <w:highlight w:val="none"/>
        </w:rPr>
        <w:t>8</w:t>
      </w:r>
      <w:r>
        <w:rPr>
          <w:color w:val="auto"/>
          <w:highlight w:val="none"/>
        </w:rPr>
        <w:fldChar w:fldCharType="end"/>
      </w:r>
      <w:r>
        <w:rPr>
          <w:color w:val="auto"/>
          <w:szCs w:val="30"/>
          <w:highlight w:val="none"/>
        </w:rPr>
        <w:fldChar w:fldCharType="end"/>
      </w:r>
    </w:p>
    <w:p w14:paraId="364F1DB6">
      <w:pPr>
        <w:pStyle w:val="29"/>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_Toc19565 </w:instrText>
      </w:r>
      <w:r>
        <w:rPr>
          <w:color w:val="auto"/>
          <w:szCs w:val="30"/>
          <w:highlight w:val="none"/>
        </w:rPr>
        <w:fldChar w:fldCharType="separate"/>
      </w:r>
      <w:r>
        <w:rPr>
          <w:rFonts w:hint="eastAsia" w:ascii="宋体" w:hAnsi="宋体" w:eastAsia="宋体" w:cs="宋体"/>
          <w:color w:val="auto"/>
          <w:szCs w:val="21"/>
          <w:highlight w:val="none"/>
        </w:rPr>
        <w:t>二、招标文件</w:t>
      </w:r>
      <w:r>
        <w:rPr>
          <w:color w:val="auto"/>
          <w:highlight w:val="none"/>
        </w:rPr>
        <w:tab/>
      </w:r>
      <w:r>
        <w:rPr>
          <w:color w:val="auto"/>
          <w:highlight w:val="none"/>
        </w:rPr>
        <w:fldChar w:fldCharType="begin"/>
      </w:r>
      <w:r>
        <w:rPr>
          <w:color w:val="auto"/>
          <w:highlight w:val="none"/>
        </w:rPr>
        <w:instrText xml:space="preserve"> PAGEREF _Toc19565 \h </w:instrText>
      </w:r>
      <w:r>
        <w:rPr>
          <w:color w:val="auto"/>
          <w:highlight w:val="none"/>
        </w:rPr>
        <w:fldChar w:fldCharType="separate"/>
      </w:r>
      <w:r>
        <w:rPr>
          <w:color w:val="auto"/>
          <w:highlight w:val="none"/>
        </w:rPr>
        <w:t>9</w:t>
      </w:r>
      <w:r>
        <w:rPr>
          <w:color w:val="auto"/>
          <w:highlight w:val="none"/>
        </w:rPr>
        <w:fldChar w:fldCharType="end"/>
      </w:r>
      <w:r>
        <w:rPr>
          <w:color w:val="auto"/>
          <w:szCs w:val="30"/>
          <w:highlight w:val="none"/>
        </w:rPr>
        <w:fldChar w:fldCharType="end"/>
      </w:r>
    </w:p>
    <w:p w14:paraId="6FF0B74E">
      <w:pPr>
        <w:pStyle w:val="29"/>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_Toc19090 </w:instrText>
      </w:r>
      <w:r>
        <w:rPr>
          <w:color w:val="auto"/>
          <w:szCs w:val="30"/>
          <w:highlight w:val="none"/>
        </w:rPr>
        <w:fldChar w:fldCharType="separate"/>
      </w:r>
      <w:r>
        <w:rPr>
          <w:rFonts w:hint="eastAsia" w:ascii="宋体" w:hAnsi="宋体" w:eastAsia="宋体" w:cs="宋体"/>
          <w:color w:val="auto"/>
          <w:szCs w:val="21"/>
          <w:highlight w:val="none"/>
        </w:rPr>
        <w:t>三、投标文件</w:t>
      </w:r>
      <w:r>
        <w:rPr>
          <w:color w:val="auto"/>
          <w:highlight w:val="none"/>
        </w:rPr>
        <w:tab/>
      </w:r>
      <w:r>
        <w:rPr>
          <w:color w:val="auto"/>
          <w:highlight w:val="none"/>
        </w:rPr>
        <w:fldChar w:fldCharType="begin"/>
      </w:r>
      <w:r>
        <w:rPr>
          <w:color w:val="auto"/>
          <w:highlight w:val="none"/>
        </w:rPr>
        <w:instrText xml:space="preserve"> PAGEREF _Toc19090 \h </w:instrText>
      </w:r>
      <w:r>
        <w:rPr>
          <w:color w:val="auto"/>
          <w:highlight w:val="none"/>
        </w:rPr>
        <w:fldChar w:fldCharType="separate"/>
      </w:r>
      <w:r>
        <w:rPr>
          <w:color w:val="auto"/>
          <w:highlight w:val="none"/>
        </w:rPr>
        <w:t>10</w:t>
      </w:r>
      <w:r>
        <w:rPr>
          <w:color w:val="auto"/>
          <w:highlight w:val="none"/>
        </w:rPr>
        <w:fldChar w:fldCharType="end"/>
      </w:r>
      <w:r>
        <w:rPr>
          <w:color w:val="auto"/>
          <w:szCs w:val="30"/>
          <w:highlight w:val="none"/>
        </w:rPr>
        <w:fldChar w:fldCharType="end"/>
      </w:r>
    </w:p>
    <w:p w14:paraId="03BCE91C">
      <w:pPr>
        <w:pStyle w:val="29"/>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_Toc9290 </w:instrText>
      </w:r>
      <w:r>
        <w:rPr>
          <w:color w:val="auto"/>
          <w:szCs w:val="30"/>
          <w:highlight w:val="none"/>
        </w:rPr>
        <w:fldChar w:fldCharType="separate"/>
      </w:r>
      <w:r>
        <w:rPr>
          <w:rFonts w:hint="eastAsia" w:ascii="宋体" w:hAnsi="宋体" w:eastAsia="宋体" w:cs="宋体"/>
          <w:color w:val="auto"/>
          <w:szCs w:val="21"/>
          <w:highlight w:val="none"/>
        </w:rPr>
        <w:t>四、投标文件的递交</w:t>
      </w:r>
      <w:r>
        <w:rPr>
          <w:color w:val="auto"/>
          <w:highlight w:val="none"/>
        </w:rPr>
        <w:tab/>
      </w:r>
      <w:r>
        <w:rPr>
          <w:color w:val="auto"/>
          <w:highlight w:val="none"/>
        </w:rPr>
        <w:fldChar w:fldCharType="begin"/>
      </w:r>
      <w:r>
        <w:rPr>
          <w:color w:val="auto"/>
          <w:highlight w:val="none"/>
        </w:rPr>
        <w:instrText xml:space="preserve"> PAGEREF _Toc9290 \h </w:instrText>
      </w:r>
      <w:r>
        <w:rPr>
          <w:color w:val="auto"/>
          <w:highlight w:val="none"/>
        </w:rPr>
        <w:fldChar w:fldCharType="separate"/>
      </w:r>
      <w:r>
        <w:rPr>
          <w:color w:val="auto"/>
          <w:highlight w:val="none"/>
        </w:rPr>
        <w:t>12</w:t>
      </w:r>
      <w:r>
        <w:rPr>
          <w:color w:val="auto"/>
          <w:highlight w:val="none"/>
        </w:rPr>
        <w:fldChar w:fldCharType="end"/>
      </w:r>
      <w:r>
        <w:rPr>
          <w:color w:val="auto"/>
          <w:szCs w:val="30"/>
          <w:highlight w:val="none"/>
        </w:rPr>
        <w:fldChar w:fldCharType="end"/>
      </w:r>
    </w:p>
    <w:p w14:paraId="4454D29C">
      <w:pPr>
        <w:pStyle w:val="29"/>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_Toc13017 </w:instrText>
      </w:r>
      <w:r>
        <w:rPr>
          <w:color w:val="auto"/>
          <w:szCs w:val="30"/>
          <w:highlight w:val="none"/>
        </w:rPr>
        <w:fldChar w:fldCharType="separate"/>
      </w:r>
      <w:r>
        <w:rPr>
          <w:rFonts w:hint="eastAsia" w:ascii="宋体" w:hAnsi="宋体" w:eastAsia="宋体" w:cs="宋体"/>
          <w:color w:val="auto"/>
          <w:szCs w:val="21"/>
          <w:highlight w:val="none"/>
        </w:rPr>
        <w:t>五、</w:t>
      </w:r>
      <w:r>
        <w:rPr>
          <w:rFonts w:hint="eastAsia" w:ascii="宋体" w:hAnsi="宋体" w:eastAsia="宋体" w:cs="宋体"/>
          <w:color w:val="auto"/>
          <w:szCs w:val="21"/>
          <w:highlight w:val="none"/>
          <w:lang w:val="en-US" w:eastAsia="zh-CN"/>
        </w:rPr>
        <w:t>费用缴纳</w:t>
      </w:r>
      <w:r>
        <w:rPr>
          <w:color w:val="auto"/>
          <w:highlight w:val="none"/>
        </w:rPr>
        <w:tab/>
      </w:r>
      <w:r>
        <w:rPr>
          <w:color w:val="auto"/>
          <w:highlight w:val="none"/>
        </w:rPr>
        <w:fldChar w:fldCharType="begin"/>
      </w:r>
      <w:r>
        <w:rPr>
          <w:color w:val="auto"/>
          <w:highlight w:val="none"/>
        </w:rPr>
        <w:instrText xml:space="preserve"> PAGEREF _Toc13017 \h </w:instrText>
      </w:r>
      <w:r>
        <w:rPr>
          <w:color w:val="auto"/>
          <w:highlight w:val="none"/>
        </w:rPr>
        <w:fldChar w:fldCharType="separate"/>
      </w:r>
      <w:r>
        <w:rPr>
          <w:color w:val="auto"/>
          <w:highlight w:val="none"/>
        </w:rPr>
        <w:t>13</w:t>
      </w:r>
      <w:r>
        <w:rPr>
          <w:color w:val="auto"/>
          <w:highlight w:val="none"/>
        </w:rPr>
        <w:fldChar w:fldCharType="end"/>
      </w:r>
      <w:r>
        <w:rPr>
          <w:color w:val="auto"/>
          <w:szCs w:val="30"/>
          <w:highlight w:val="none"/>
        </w:rPr>
        <w:fldChar w:fldCharType="end"/>
      </w:r>
    </w:p>
    <w:p w14:paraId="61A8E307">
      <w:pPr>
        <w:pStyle w:val="29"/>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_Toc11126 </w:instrText>
      </w:r>
      <w:r>
        <w:rPr>
          <w:color w:val="auto"/>
          <w:szCs w:val="30"/>
          <w:highlight w:val="none"/>
        </w:rPr>
        <w:fldChar w:fldCharType="separate"/>
      </w:r>
      <w:r>
        <w:rPr>
          <w:rFonts w:hint="eastAsia" w:ascii="宋体" w:hAnsi="宋体" w:eastAsia="宋体" w:cs="宋体"/>
          <w:color w:val="auto"/>
          <w:szCs w:val="21"/>
          <w:highlight w:val="none"/>
        </w:rPr>
        <w:t>六、</w:t>
      </w:r>
      <w:r>
        <w:rPr>
          <w:rFonts w:hint="eastAsia" w:ascii="宋体" w:hAnsi="宋体" w:eastAsia="宋体" w:cs="宋体"/>
          <w:color w:val="auto"/>
          <w:szCs w:val="21"/>
          <w:highlight w:val="none"/>
          <w:lang w:eastAsia="zh-CN"/>
        </w:rPr>
        <w:t>其他</w:t>
      </w:r>
      <w:r>
        <w:rPr>
          <w:color w:val="auto"/>
          <w:highlight w:val="none"/>
        </w:rPr>
        <w:tab/>
      </w:r>
      <w:r>
        <w:rPr>
          <w:color w:val="auto"/>
          <w:highlight w:val="none"/>
        </w:rPr>
        <w:fldChar w:fldCharType="begin"/>
      </w:r>
      <w:r>
        <w:rPr>
          <w:color w:val="auto"/>
          <w:highlight w:val="none"/>
        </w:rPr>
        <w:instrText xml:space="preserve"> PAGEREF _Toc11126 \h </w:instrText>
      </w:r>
      <w:r>
        <w:rPr>
          <w:color w:val="auto"/>
          <w:highlight w:val="none"/>
        </w:rPr>
        <w:fldChar w:fldCharType="separate"/>
      </w:r>
      <w:r>
        <w:rPr>
          <w:color w:val="auto"/>
          <w:highlight w:val="none"/>
        </w:rPr>
        <w:t>14</w:t>
      </w:r>
      <w:r>
        <w:rPr>
          <w:color w:val="auto"/>
          <w:highlight w:val="none"/>
        </w:rPr>
        <w:fldChar w:fldCharType="end"/>
      </w:r>
      <w:r>
        <w:rPr>
          <w:color w:val="auto"/>
          <w:szCs w:val="30"/>
          <w:highlight w:val="none"/>
        </w:rPr>
        <w:fldChar w:fldCharType="end"/>
      </w:r>
    </w:p>
    <w:p w14:paraId="1292D9FE">
      <w:pPr>
        <w:pStyle w:val="24"/>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_Toc11888 </w:instrText>
      </w:r>
      <w:r>
        <w:rPr>
          <w:color w:val="auto"/>
          <w:szCs w:val="30"/>
          <w:highlight w:val="none"/>
        </w:rPr>
        <w:fldChar w:fldCharType="separate"/>
      </w:r>
      <w:r>
        <w:rPr>
          <w:rFonts w:hint="eastAsia" w:ascii="Times New Roman" w:hAnsi="Times New Roman" w:eastAsia="宋体" w:cs="Times New Roman"/>
          <w:color w:val="auto"/>
          <w:highlight w:val="none"/>
          <w:lang w:val="en-US" w:eastAsia="zh-CN"/>
        </w:rPr>
        <w:t>第三章  招标项目要求</w:t>
      </w:r>
      <w:r>
        <w:rPr>
          <w:color w:val="auto"/>
          <w:highlight w:val="none"/>
        </w:rPr>
        <w:tab/>
      </w:r>
      <w:r>
        <w:rPr>
          <w:color w:val="auto"/>
          <w:highlight w:val="none"/>
        </w:rPr>
        <w:fldChar w:fldCharType="begin"/>
      </w:r>
      <w:r>
        <w:rPr>
          <w:color w:val="auto"/>
          <w:highlight w:val="none"/>
        </w:rPr>
        <w:instrText xml:space="preserve"> PAGEREF _Toc11888 \h </w:instrText>
      </w:r>
      <w:r>
        <w:rPr>
          <w:color w:val="auto"/>
          <w:highlight w:val="none"/>
        </w:rPr>
        <w:fldChar w:fldCharType="separate"/>
      </w:r>
      <w:r>
        <w:rPr>
          <w:color w:val="auto"/>
          <w:highlight w:val="none"/>
        </w:rPr>
        <w:t>15</w:t>
      </w:r>
      <w:r>
        <w:rPr>
          <w:color w:val="auto"/>
          <w:highlight w:val="none"/>
        </w:rPr>
        <w:fldChar w:fldCharType="end"/>
      </w:r>
      <w:r>
        <w:rPr>
          <w:color w:val="auto"/>
          <w:szCs w:val="30"/>
          <w:highlight w:val="none"/>
        </w:rPr>
        <w:fldChar w:fldCharType="end"/>
      </w:r>
    </w:p>
    <w:p w14:paraId="6D8A154D">
      <w:pPr>
        <w:pStyle w:val="29"/>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_Toc4610 </w:instrText>
      </w:r>
      <w:r>
        <w:rPr>
          <w:color w:val="auto"/>
          <w:szCs w:val="30"/>
          <w:highlight w:val="none"/>
        </w:rPr>
        <w:fldChar w:fldCharType="separate"/>
      </w:r>
      <w:r>
        <w:rPr>
          <w:rFonts w:hint="eastAsia" w:hAnsi="宋体" w:cs="宋体"/>
          <w:bCs w:val="0"/>
          <w:color w:val="auto"/>
          <w:highlight w:val="none"/>
        </w:rPr>
        <w:t>一、服务内容</w:t>
      </w:r>
      <w:r>
        <w:rPr>
          <w:color w:val="auto"/>
          <w:highlight w:val="none"/>
        </w:rPr>
        <w:tab/>
      </w:r>
      <w:r>
        <w:rPr>
          <w:color w:val="auto"/>
          <w:highlight w:val="none"/>
        </w:rPr>
        <w:fldChar w:fldCharType="begin"/>
      </w:r>
      <w:r>
        <w:rPr>
          <w:color w:val="auto"/>
          <w:highlight w:val="none"/>
        </w:rPr>
        <w:instrText xml:space="preserve"> PAGEREF _Toc4610 \h </w:instrText>
      </w:r>
      <w:r>
        <w:rPr>
          <w:color w:val="auto"/>
          <w:highlight w:val="none"/>
        </w:rPr>
        <w:fldChar w:fldCharType="separate"/>
      </w:r>
      <w:r>
        <w:rPr>
          <w:color w:val="auto"/>
          <w:highlight w:val="none"/>
        </w:rPr>
        <w:t>15</w:t>
      </w:r>
      <w:r>
        <w:rPr>
          <w:color w:val="auto"/>
          <w:highlight w:val="none"/>
        </w:rPr>
        <w:fldChar w:fldCharType="end"/>
      </w:r>
      <w:r>
        <w:rPr>
          <w:color w:val="auto"/>
          <w:szCs w:val="30"/>
          <w:highlight w:val="none"/>
        </w:rPr>
        <w:fldChar w:fldCharType="end"/>
      </w:r>
    </w:p>
    <w:p w14:paraId="1C62FD08">
      <w:pPr>
        <w:pStyle w:val="29"/>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_Toc18685 </w:instrText>
      </w:r>
      <w:r>
        <w:rPr>
          <w:color w:val="auto"/>
          <w:szCs w:val="30"/>
          <w:highlight w:val="none"/>
        </w:rPr>
        <w:fldChar w:fldCharType="separate"/>
      </w:r>
      <w:r>
        <w:rPr>
          <w:rFonts w:hint="eastAsia" w:hAnsi="宋体" w:cs="宋体"/>
          <w:bCs w:val="0"/>
          <w:color w:val="auto"/>
          <w:highlight w:val="none"/>
          <w:lang w:val="en-US" w:eastAsia="zh-CN"/>
        </w:rPr>
        <w:t>二</w:t>
      </w:r>
      <w:r>
        <w:rPr>
          <w:rFonts w:hint="eastAsia" w:hAnsi="宋体" w:cs="宋体"/>
          <w:bCs w:val="0"/>
          <w:color w:val="auto"/>
          <w:highlight w:val="none"/>
        </w:rPr>
        <w:t>、服务人员及变更</w:t>
      </w:r>
      <w:r>
        <w:rPr>
          <w:color w:val="auto"/>
          <w:highlight w:val="none"/>
        </w:rPr>
        <w:tab/>
      </w:r>
      <w:r>
        <w:rPr>
          <w:color w:val="auto"/>
          <w:highlight w:val="none"/>
        </w:rPr>
        <w:fldChar w:fldCharType="begin"/>
      </w:r>
      <w:r>
        <w:rPr>
          <w:color w:val="auto"/>
          <w:highlight w:val="none"/>
        </w:rPr>
        <w:instrText xml:space="preserve"> PAGEREF _Toc18685 \h </w:instrText>
      </w:r>
      <w:r>
        <w:rPr>
          <w:color w:val="auto"/>
          <w:highlight w:val="none"/>
        </w:rPr>
        <w:fldChar w:fldCharType="separate"/>
      </w:r>
      <w:r>
        <w:rPr>
          <w:color w:val="auto"/>
          <w:highlight w:val="none"/>
        </w:rPr>
        <w:t>15</w:t>
      </w:r>
      <w:r>
        <w:rPr>
          <w:color w:val="auto"/>
          <w:highlight w:val="none"/>
        </w:rPr>
        <w:fldChar w:fldCharType="end"/>
      </w:r>
      <w:r>
        <w:rPr>
          <w:color w:val="auto"/>
          <w:szCs w:val="30"/>
          <w:highlight w:val="none"/>
        </w:rPr>
        <w:fldChar w:fldCharType="end"/>
      </w:r>
    </w:p>
    <w:p w14:paraId="1F53EFA3">
      <w:pPr>
        <w:pStyle w:val="29"/>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_Toc18796 </w:instrText>
      </w:r>
      <w:r>
        <w:rPr>
          <w:color w:val="auto"/>
          <w:szCs w:val="30"/>
          <w:highlight w:val="none"/>
        </w:rPr>
        <w:fldChar w:fldCharType="separate"/>
      </w:r>
      <w:r>
        <w:rPr>
          <w:rFonts w:hint="eastAsia" w:ascii="Times New Roman" w:hAnsi="宋体" w:eastAsia="宋体" w:cs="宋体"/>
          <w:bCs w:val="0"/>
          <w:color w:val="auto"/>
          <w:kern w:val="2"/>
          <w:szCs w:val="24"/>
          <w:highlight w:val="none"/>
          <w:lang w:val="en-US" w:eastAsia="zh-CN" w:bidi="ar-SA"/>
        </w:rPr>
        <w:t>三、</w:t>
      </w:r>
      <w:r>
        <w:rPr>
          <w:rFonts w:hint="eastAsia" w:hAnsi="宋体" w:cs="宋体"/>
          <w:bCs w:val="0"/>
          <w:color w:val="auto"/>
          <w:highlight w:val="none"/>
          <w:lang w:val="en-US" w:eastAsia="zh-CN"/>
        </w:rPr>
        <w:t>履约要求</w:t>
      </w:r>
      <w:r>
        <w:rPr>
          <w:color w:val="auto"/>
          <w:highlight w:val="none"/>
        </w:rPr>
        <w:tab/>
      </w:r>
      <w:r>
        <w:rPr>
          <w:color w:val="auto"/>
          <w:highlight w:val="none"/>
        </w:rPr>
        <w:fldChar w:fldCharType="begin"/>
      </w:r>
      <w:r>
        <w:rPr>
          <w:color w:val="auto"/>
          <w:highlight w:val="none"/>
        </w:rPr>
        <w:instrText xml:space="preserve"> PAGEREF _Toc18796 \h </w:instrText>
      </w:r>
      <w:r>
        <w:rPr>
          <w:color w:val="auto"/>
          <w:highlight w:val="none"/>
        </w:rPr>
        <w:fldChar w:fldCharType="separate"/>
      </w:r>
      <w:r>
        <w:rPr>
          <w:color w:val="auto"/>
          <w:highlight w:val="none"/>
        </w:rPr>
        <w:t>15</w:t>
      </w:r>
      <w:r>
        <w:rPr>
          <w:color w:val="auto"/>
          <w:highlight w:val="none"/>
        </w:rPr>
        <w:fldChar w:fldCharType="end"/>
      </w:r>
      <w:r>
        <w:rPr>
          <w:color w:val="auto"/>
          <w:szCs w:val="30"/>
          <w:highlight w:val="none"/>
        </w:rPr>
        <w:fldChar w:fldCharType="end"/>
      </w:r>
    </w:p>
    <w:p w14:paraId="1D19E755">
      <w:pPr>
        <w:pStyle w:val="29"/>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_Toc14510 </w:instrText>
      </w:r>
      <w:r>
        <w:rPr>
          <w:color w:val="auto"/>
          <w:szCs w:val="30"/>
          <w:highlight w:val="none"/>
        </w:rPr>
        <w:fldChar w:fldCharType="separate"/>
      </w:r>
      <w:r>
        <w:rPr>
          <w:rFonts w:hint="eastAsia" w:hAnsi="宋体" w:cs="宋体"/>
          <w:bCs w:val="0"/>
          <w:color w:val="auto"/>
          <w:highlight w:val="none"/>
          <w:lang w:val="en-US" w:eastAsia="zh-CN"/>
        </w:rPr>
        <w:t>四</w:t>
      </w:r>
      <w:r>
        <w:rPr>
          <w:rFonts w:hint="eastAsia" w:hAnsi="宋体" w:cs="宋体"/>
          <w:bCs w:val="0"/>
          <w:color w:val="auto"/>
          <w:highlight w:val="none"/>
        </w:rPr>
        <w:t>、</w:t>
      </w:r>
      <w:r>
        <w:rPr>
          <w:rFonts w:hint="eastAsia" w:hAnsi="宋体" w:cs="宋体"/>
          <w:bCs w:val="0"/>
          <w:color w:val="auto"/>
          <w:highlight w:val="none"/>
          <w:lang w:val="en-US" w:eastAsia="zh-CN"/>
        </w:rPr>
        <w:t>其他</w:t>
      </w:r>
      <w:r>
        <w:rPr>
          <w:color w:val="auto"/>
          <w:highlight w:val="none"/>
        </w:rPr>
        <w:tab/>
      </w:r>
      <w:r>
        <w:rPr>
          <w:color w:val="auto"/>
          <w:highlight w:val="none"/>
        </w:rPr>
        <w:fldChar w:fldCharType="begin"/>
      </w:r>
      <w:r>
        <w:rPr>
          <w:color w:val="auto"/>
          <w:highlight w:val="none"/>
        </w:rPr>
        <w:instrText xml:space="preserve"> PAGEREF _Toc14510 \h </w:instrText>
      </w:r>
      <w:r>
        <w:rPr>
          <w:color w:val="auto"/>
          <w:highlight w:val="none"/>
        </w:rPr>
        <w:fldChar w:fldCharType="separate"/>
      </w:r>
      <w:r>
        <w:rPr>
          <w:color w:val="auto"/>
          <w:highlight w:val="none"/>
        </w:rPr>
        <w:t>15</w:t>
      </w:r>
      <w:r>
        <w:rPr>
          <w:color w:val="auto"/>
          <w:highlight w:val="none"/>
        </w:rPr>
        <w:fldChar w:fldCharType="end"/>
      </w:r>
      <w:r>
        <w:rPr>
          <w:color w:val="auto"/>
          <w:szCs w:val="30"/>
          <w:highlight w:val="none"/>
        </w:rPr>
        <w:fldChar w:fldCharType="end"/>
      </w:r>
    </w:p>
    <w:p w14:paraId="5A4C71D2">
      <w:pPr>
        <w:pStyle w:val="29"/>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_Toc14124 </w:instrText>
      </w:r>
      <w:r>
        <w:rPr>
          <w:color w:val="auto"/>
          <w:szCs w:val="30"/>
          <w:highlight w:val="none"/>
        </w:rPr>
        <w:fldChar w:fldCharType="separate"/>
      </w: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rPr>
        <w:t>、商务要求</w:t>
      </w:r>
      <w:r>
        <w:rPr>
          <w:color w:val="auto"/>
          <w:highlight w:val="none"/>
        </w:rPr>
        <w:tab/>
      </w:r>
      <w:r>
        <w:rPr>
          <w:color w:val="auto"/>
          <w:highlight w:val="none"/>
        </w:rPr>
        <w:fldChar w:fldCharType="begin"/>
      </w:r>
      <w:r>
        <w:rPr>
          <w:color w:val="auto"/>
          <w:highlight w:val="none"/>
        </w:rPr>
        <w:instrText xml:space="preserve"> PAGEREF _Toc14124 \h </w:instrText>
      </w:r>
      <w:r>
        <w:rPr>
          <w:color w:val="auto"/>
          <w:highlight w:val="none"/>
        </w:rPr>
        <w:fldChar w:fldCharType="separate"/>
      </w:r>
      <w:r>
        <w:rPr>
          <w:color w:val="auto"/>
          <w:highlight w:val="none"/>
        </w:rPr>
        <w:t>16</w:t>
      </w:r>
      <w:r>
        <w:rPr>
          <w:color w:val="auto"/>
          <w:highlight w:val="none"/>
        </w:rPr>
        <w:fldChar w:fldCharType="end"/>
      </w:r>
      <w:r>
        <w:rPr>
          <w:color w:val="auto"/>
          <w:szCs w:val="30"/>
          <w:highlight w:val="none"/>
        </w:rPr>
        <w:fldChar w:fldCharType="end"/>
      </w:r>
    </w:p>
    <w:p w14:paraId="20894BFC">
      <w:pPr>
        <w:pStyle w:val="29"/>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_Toc15637 </w:instrText>
      </w:r>
      <w:r>
        <w:rPr>
          <w:color w:val="auto"/>
          <w:szCs w:val="30"/>
          <w:highlight w:val="none"/>
        </w:rPr>
        <w:fldChar w:fldCharType="separate"/>
      </w:r>
      <w:r>
        <w:rPr>
          <w:rFonts w:hint="eastAsia" w:ascii="宋体" w:hAnsi="宋体" w:eastAsia="宋体" w:cs="宋体"/>
          <w:bCs/>
          <w:color w:val="auto"/>
          <w:szCs w:val="21"/>
          <w:highlight w:val="none"/>
          <w:lang w:val="en-US" w:eastAsia="zh-CN"/>
        </w:rPr>
        <w:t>六</w:t>
      </w:r>
      <w:r>
        <w:rPr>
          <w:rFonts w:hint="eastAsia" w:ascii="宋体" w:hAnsi="宋体" w:eastAsia="宋体" w:cs="宋体"/>
          <w:bCs/>
          <w:color w:val="auto"/>
          <w:szCs w:val="21"/>
          <w:highlight w:val="none"/>
        </w:rPr>
        <w:t>、其他说明</w:t>
      </w:r>
      <w:r>
        <w:rPr>
          <w:color w:val="auto"/>
          <w:highlight w:val="none"/>
        </w:rPr>
        <w:tab/>
      </w:r>
      <w:r>
        <w:rPr>
          <w:color w:val="auto"/>
          <w:highlight w:val="none"/>
        </w:rPr>
        <w:fldChar w:fldCharType="begin"/>
      </w:r>
      <w:r>
        <w:rPr>
          <w:color w:val="auto"/>
          <w:highlight w:val="none"/>
        </w:rPr>
        <w:instrText xml:space="preserve"> PAGEREF _Toc15637 \h </w:instrText>
      </w:r>
      <w:r>
        <w:rPr>
          <w:color w:val="auto"/>
          <w:highlight w:val="none"/>
        </w:rPr>
        <w:fldChar w:fldCharType="separate"/>
      </w:r>
      <w:r>
        <w:rPr>
          <w:color w:val="auto"/>
          <w:highlight w:val="none"/>
        </w:rPr>
        <w:t>17</w:t>
      </w:r>
      <w:r>
        <w:rPr>
          <w:color w:val="auto"/>
          <w:highlight w:val="none"/>
        </w:rPr>
        <w:fldChar w:fldCharType="end"/>
      </w:r>
      <w:r>
        <w:rPr>
          <w:color w:val="auto"/>
          <w:szCs w:val="30"/>
          <w:highlight w:val="none"/>
        </w:rPr>
        <w:fldChar w:fldCharType="end"/>
      </w:r>
    </w:p>
    <w:p w14:paraId="047203C9">
      <w:pPr>
        <w:pStyle w:val="24"/>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_Toc13468 </w:instrText>
      </w:r>
      <w:r>
        <w:rPr>
          <w:color w:val="auto"/>
          <w:szCs w:val="30"/>
          <w:highlight w:val="none"/>
        </w:rPr>
        <w:fldChar w:fldCharType="separate"/>
      </w:r>
      <w:r>
        <w:rPr>
          <w:rFonts w:hint="eastAsia" w:ascii="Times New Roman" w:hAnsi="Times New Roman" w:eastAsia="宋体" w:cs="Times New Roman"/>
          <w:bCs/>
          <w:color w:val="auto"/>
          <w:kern w:val="44"/>
          <w:szCs w:val="44"/>
          <w:highlight w:val="none"/>
          <w:lang w:val="en-US" w:eastAsia="zh-CN" w:bidi="ar-SA"/>
        </w:rPr>
        <w:t>第四章</w:t>
      </w:r>
      <w:r>
        <w:rPr>
          <w:rFonts w:ascii="Times New Roman" w:hAnsi="Times New Roman" w:eastAsia="宋体" w:cs="Times New Roman"/>
          <w:bCs/>
          <w:color w:val="auto"/>
          <w:kern w:val="44"/>
          <w:szCs w:val="44"/>
          <w:highlight w:val="none"/>
          <w:lang w:val="en-US" w:eastAsia="zh-CN" w:bidi="ar-SA"/>
        </w:rPr>
        <w:t xml:space="preserve">  </w:t>
      </w:r>
      <w:r>
        <w:rPr>
          <w:rFonts w:hint="eastAsia" w:ascii="Times New Roman" w:hAnsi="Times New Roman" w:eastAsia="宋体" w:cs="Times New Roman"/>
          <w:bCs/>
          <w:color w:val="auto"/>
          <w:kern w:val="44"/>
          <w:szCs w:val="44"/>
          <w:highlight w:val="none"/>
          <w:lang w:val="en-US" w:eastAsia="zh-CN" w:bidi="ar-SA"/>
        </w:rPr>
        <w:t>开标、评标和定标须知</w:t>
      </w:r>
      <w:r>
        <w:rPr>
          <w:color w:val="auto"/>
          <w:highlight w:val="none"/>
        </w:rPr>
        <w:tab/>
      </w:r>
      <w:r>
        <w:rPr>
          <w:color w:val="auto"/>
          <w:highlight w:val="none"/>
        </w:rPr>
        <w:fldChar w:fldCharType="begin"/>
      </w:r>
      <w:r>
        <w:rPr>
          <w:color w:val="auto"/>
          <w:highlight w:val="none"/>
        </w:rPr>
        <w:instrText xml:space="preserve"> PAGEREF _Toc13468 \h </w:instrText>
      </w:r>
      <w:r>
        <w:rPr>
          <w:color w:val="auto"/>
          <w:highlight w:val="none"/>
        </w:rPr>
        <w:fldChar w:fldCharType="separate"/>
      </w:r>
      <w:r>
        <w:rPr>
          <w:color w:val="auto"/>
          <w:highlight w:val="none"/>
        </w:rPr>
        <w:t>18</w:t>
      </w:r>
      <w:r>
        <w:rPr>
          <w:color w:val="auto"/>
          <w:highlight w:val="none"/>
        </w:rPr>
        <w:fldChar w:fldCharType="end"/>
      </w:r>
      <w:r>
        <w:rPr>
          <w:color w:val="auto"/>
          <w:szCs w:val="30"/>
          <w:highlight w:val="none"/>
        </w:rPr>
        <w:fldChar w:fldCharType="end"/>
      </w:r>
    </w:p>
    <w:p w14:paraId="55D699D1">
      <w:pPr>
        <w:pStyle w:val="29"/>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_Toc18930 </w:instrText>
      </w:r>
      <w:r>
        <w:rPr>
          <w:color w:val="auto"/>
          <w:szCs w:val="30"/>
          <w:highlight w:val="none"/>
        </w:rPr>
        <w:fldChar w:fldCharType="separate"/>
      </w:r>
      <w:r>
        <w:rPr>
          <w:rFonts w:hint="eastAsia" w:ascii="宋体" w:hAnsi="宋体" w:eastAsia="宋体"/>
          <w:color w:val="auto"/>
          <w:szCs w:val="21"/>
          <w:highlight w:val="none"/>
        </w:rPr>
        <w:t>一、开标</w:t>
      </w:r>
      <w:r>
        <w:rPr>
          <w:color w:val="auto"/>
          <w:highlight w:val="none"/>
        </w:rPr>
        <w:tab/>
      </w:r>
      <w:r>
        <w:rPr>
          <w:color w:val="auto"/>
          <w:highlight w:val="none"/>
        </w:rPr>
        <w:fldChar w:fldCharType="begin"/>
      </w:r>
      <w:r>
        <w:rPr>
          <w:color w:val="auto"/>
          <w:highlight w:val="none"/>
        </w:rPr>
        <w:instrText xml:space="preserve"> PAGEREF _Toc18930 \h </w:instrText>
      </w:r>
      <w:r>
        <w:rPr>
          <w:color w:val="auto"/>
          <w:highlight w:val="none"/>
        </w:rPr>
        <w:fldChar w:fldCharType="separate"/>
      </w:r>
      <w:r>
        <w:rPr>
          <w:color w:val="auto"/>
          <w:highlight w:val="none"/>
        </w:rPr>
        <w:t>18</w:t>
      </w:r>
      <w:r>
        <w:rPr>
          <w:color w:val="auto"/>
          <w:highlight w:val="none"/>
        </w:rPr>
        <w:fldChar w:fldCharType="end"/>
      </w:r>
      <w:r>
        <w:rPr>
          <w:color w:val="auto"/>
          <w:szCs w:val="30"/>
          <w:highlight w:val="none"/>
        </w:rPr>
        <w:fldChar w:fldCharType="end"/>
      </w:r>
    </w:p>
    <w:p w14:paraId="503BC106">
      <w:pPr>
        <w:pStyle w:val="29"/>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_Toc3876 </w:instrText>
      </w:r>
      <w:r>
        <w:rPr>
          <w:color w:val="auto"/>
          <w:szCs w:val="30"/>
          <w:highlight w:val="none"/>
        </w:rPr>
        <w:fldChar w:fldCharType="separate"/>
      </w:r>
      <w:r>
        <w:rPr>
          <w:rFonts w:hint="eastAsia" w:ascii="宋体" w:hAnsi="宋体" w:eastAsia="宋体" w:cs="宋体"/>
          <w:color w:val="auto"/>
          <w:szCs w:val="21"/>
          <w:highlight w:val="none"/>
        </w:rPr>
        <w:t>二、评标</w:t>
      </w:r>
      <w:r>
        <w:rPr>
          <w:color w:val="auto"/>
          <w:highlight w:val="none"/>
        </w:rPr>
        <w:tab/>
      </w:r>
      <w:r>
        <w:rPr>
          <w:color w:val="auto"/>
          <w:highlight w:val="none"/>
        </w:rPr>
        <w:fldChar w:fldCharType="begin"/>
      </w:r>
      <w:r>
        <w:rPr>
          <w:color w:val="auto"/>
          <w:highlight w:val="none"/>
        </w:rPr>
        <w:instrText xml:space="preserve"> PAGEREF _Toc3876 \h </w:instrText>
      </w:r>
      <w:r>
        <w:rPr>
          <w:color w:val="auto"/>
          <w:highlight w:val="none"/>
        </w:rPr>
        <w:fldChar w:fldCharType="separate"/>
      </w:r>
      <w:r>
        <w:rPr>
          <w:color w:val="auto"/>
          <w:highlight w:val="none"/>
        </w:rPr>
        <w:t>18</w:t>
      </w:r>
      <w:r>
        <w:rPr>
          <w:color w:val="auto"/>
          <w:highlight w:val="none"/>
        </w:rPr>
        <w:fldChar w:fldCharType="end"/>
      </w:r>
      <w:r>
        <w:rPr>
          <w:color w:val="auto"/>
          <w:szCs w:val="30"/>
          <w:highlight w:val="none"/>
        </w:rPr>
        <w:fldChar w:fldCharType="end"/>
      </w:r>
    </w:p>
    <w:p w14:paraId="7079771E">
      <w:pPr>
        <w:pStyle w:val="29"/>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_Toc1314 </w:instrText>
      </w:r>
      <w:r>
        <w:rPr>
          <w:color w:val="auto"/>
          <w:szCs w:val="30"/>
          <w:highlight w:val="none"/>
        </w:rPr>
        <w:fldChar w:fldCharType="separate"/>
      </w:r>
      <w:r>
        <w:rPr>
          <w:rFonts w:hint="eastAsia" w:ascii="宋体" w:hAnsi="宋体" w:eastAsia="宋体" w:cs="宋体"/>
          <w:color w:val="auto"/>
          <w:szCs w:val="21"/>
          <w:highlight w:val="none"/>
        </w:rPr>
        <w:t>三、定标</w:t>
      </w:r>
      <w:r>
        <w:rPr>
          <w:color w:val="auto"/>
          <w:highlight w:val="none"/>
        </w:rPr>
        <w:tab/>
      </w:r>
      <w:r>
        <w:rPr>
          <w:color w:val="auto"/>
          <w:highlight w:val="none"/>
        </w:rPr>
        <w:fldChar w:fldCharType="begin"/>
      </w:r>
      <w:r>
        <w:rPr>
          <w:color w:val="auto"/>
          <w:highlight w:val="none"/>
        </w:rPr>
        <w:instrText xml:space="preserve"> PAGEREF _Toc1314 \h </w:instrText>
      </w:r>
      <w:r>
        <w:rPr>
          <w:color w:val="auto"/>
          <w:highlight w:val="none"/>
        </w:rPr>
        <w:fldChar w:fldCharType="separate"/>
      </w:r>
      <w:r>
        <w:rPr>
          <w:color w:val="auto"/>
          <w:highlight w:val="none"/>
        </w:rPr>
        <w:t>20</w:t>
      </w:r>
      <w:r>
        <w:rPr>
          <w:color w:val="auto"/>
          <w:highlight w:val="none"/>
        </w:rPr>
        <w:fldChar w:fldCharType="end"/>
      </w:r>
      <w:r>
        <w:rPr>
          <w:color w:val="auto"/>
          <w:szCs w:val="30"/>
          <w:highlight w:val="none"/>
        </w:rPr>
        <w:fldChar w:fldCharType="end"/>
      </w:r>
    </w:p>
    <w:p w14:paraId="12D7C179">
      <w:pPr>
        <w:pStyle w:val="24"/>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_Toc4823 </w:instrText>
      </w:r>
      <w:r>
        <w:rPr>
          <w:color w:val="auto"/>
          <w:szCs w:val="30"/>
          <w:highlight w:val="none"/>
        </w:rPr>
        <w:fldChar w:fldCharType="separate"/>
      </w:r>
      <w:r>
        <w:rPr>
          <w:rFonts w:hint="eastAsia" w:hAnsi="宋体"/>
          <w:color w:val="auto"/>
          <w:highlight w:val="none"/>
        </w:rPr>
        <w:t>第五章</w:t>
      </w:r>
      <w:r>
        <w:rPr>
          <w:rFonts w:hAnsi="宋体"/>
          <w:color w:val="auto"/>
          <w:highlight w:val="none"/>
        </w:rPr>
        <w:t xml:space="preserve">  </w:t>
      </w:r>
      <w:r>
        <w:rPr>
          <w:rFonts w:hint="eastAsia" w:hAnsi="宋体"/>
          <w:color w:val="auto"/>
          <w:highlight w:val="none"/>
        </w:rPr>
        <w:t>投标文件的有效性</w:t>
      </w:r>
      <w:r>
        <w:rPr>
          <w:color w:val="auto"/>
          <w:highlight w:val="none"/>
        </w:rPr>
        <w:tab/>
      </w:r>
      <w:r>
        <w:rPr>
          <w:color w:val="auto"/>
          <w:highlight w:val="none"/>
        </w:rPr>
        <w:fldChar w:fldCharType="begin"/>
      </w:r>
      <w:r>
        <w:rPr>
          <w:color w:val="auto"/>
          <w:highlight w:val="none"/>
        </w:rPr>
        <w:instrText xml:space="preserve"> PAGEREF _Toc4823 \h </w:instrText>
      </w:r>
      <w:r>
        <w:rPr>
          <w:color w:val="auto"/>
          <w:highlight w:val="none"/>
        </w:rPr>
        <w:fldChar w:fldCharType="separate"/>
      </w:r>
      <w:r>
        <w:rPr>
          <w:color w:val="auto"/>
          <w:highlight w:val="none"/>
        </w:rPr>
        <w:t>23</w:t>
      </w:r>
      <w:r>
        <w:rPr>
          <w:color w:val="auto"/>
          <w:highlight w:val="none"/>
        </w:rPr>
        <w:fldChar w:fldCharType="end"/>
      </w:r>
      <w:r>
        <w:rPr>
          <w:color w:val="auto"/>
          <w:szCs w:val="30"/>
          <w:highlight w:val="none"/>
        </w:rPr>
        <w:fldChar w:fldCharType="end"/>
      </w:r>
    </w:p>
    <w:p w14:paraId="4704897A">
      <w:pPr>
        <w:pStyle w:val="24"/>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_Toc6489 </w:instrText>
      </w:r>
      <w:r>
        <w:rPr>
          <w:color w:val="auto"/>
          <w:szCs w:val="30"/>
          <w:highlight w:val="none"/>
        </w:rPr>
        <w:fldChar w:fldCharType="separate"/>
      </w:r>
      <w:r>
        <w:rPr>
          <w:rFonts w:hint="eastAsia"/>
          <w:color w:val="auto"/>
          <w:highlight w:val="none"/>
        </w:rPr>
        <w:t>第六章</w:t>
      </w:r>
      <w:r>
        <w:rPr>
          <w:color w:val="auto"/>
          <w:highlight w:val="none"/>
        </w:rPr>
        <w:t xml:space="preserve">  </w:t>
      </w:r>
      <w:r>
        <w:rPr>
          <w:rFonts w:hint="eastAsia"/>
          <w:color w:val="auto"/>
          <w:highlight w:val="none"/>
        </w:rPr>
        <w:t>评标办法</w:t>
      </w:r>
      <w:r>
        <w:rPr>
          <w:color w:val="auto"/>
          <w:highlight w:val="none"/>
        </w:rPr>
        <w:tab/>
      </w:r>
      <w:r>
        <w:rPr>
          <w:color w:val="auto"/>
          <w:highlight w:val="none"/>
        </w:rPr>
        <w:fldChar w:fldCharType="begin"/>
      </w:r>
      <w:r>
        <w:rPr>
          <w:color w:val="auto"/>
          <w:highlight w:val="none"/>
        </w:rPr>
        <w:instrText xml:space="preserve"> PAGEREF _Toc6489 \h </w:instrText>
      </w:r>
      <w:r>
        <w:rPr>
          <w:color w:val="auto"/>
          <w:highlight w:val="none"/>
        </w:rPr>
        <w:fldChar w:fldCharType="separate"/>
      </w:r>
      <w:r>
        <w:rPr>
          <w:color w:val="auto"/>
          <w:highlight w:val="none"/>
        </w:rPr>
        <w:t>25</w:t>
      </w:r>
      <w:r>
        <w:rPr>
          <w:color w:val="auto"/>
          <w:highlight w:val="none"/>
        </w:rPr>
        <w:fldChar w:fldCharType="end"/>
      </w:r>
      <w:r>
        <w:rPr>
          <w:color w:val="auto"/>
          <w:szCs w:val="30"/>
          <w:highlight w:val="none"/>
        </w:rPr>
        <w:fldChar w:fldCharType="end"/>
      </w:r>
    </w:p>
    <w:p w14:paraId="637A9AC8">
      <w:pPr>
        <w:pStyle w:val="24"/>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_Toc15073 </w:instrText>
      </w:r>
      <w:r>
        <w:rPr>
          <w:color w:val="auto"/>
          <w:szCs w:val="30"/>
          <w:highlight w:val="none"/>
        </w:rPr>
        <w:fldChar w:fldCharType="separate"/>
      </w:r>
      <w:r>
        <w:rPr>
          <w:rFonts w:hint="eastAsia"/>
          <w:color w:val="auto"/>
          <w:highlight w:val="none"/>
          <w:lang w:val="en-US" w:eastAsia="zh-CN"/>
        </w:rPr>
        <w:t xml:space="preserve">第七章 </w:t>
      </w:r>
      <w:r>
        <w:rPr>
          <w:rFonts w:hint="eastAsia"/>
          <w:color w:val="auto"/>
          <w:highlight w:val="none"/>
        </w:rPr>
        <w:t>合同</w:t>
      </w:r>
      <w:r>
        <w:rPr>
          <w:color w:val="auto"/>
          <w:highlight w:val="none"/>
        </w:rPr>
        <w:tab/>
      </w:r>
      <w:r>
        <w:rPr>
          <w:color w:val="auto"/>
          <w:highlight w:val="none"/>
        </w:rPr>
        <w:fldChar w:fldCharType="begin"/>
      </w:r>
      <w:r>
        <w:rPr>
          <w:color w:val="auto"/>
          <w:highlight w:val="none"/>
        </w:rPr>
        <w:instrText xml:space="preserve"> PAGEREF _Toc15073 \h </w:instrText>
      </w:r>
      <w:r>
        <w:rPr>
          <w:color w:val="auto"/>
          <w:highlight w:val="none"/>
        </w:rPr>
        <w:fldChar w:fldCharType="separate"/>
      </w:r>
      <w:r>
        <w:rPr>
          <w:color w:val="auto"/>
          <w:highlight w:val="none"/>
        </w:rPr>
        <w:t>27</w:t>
      </w:r>
      <w:r>
        <w:rPr>
          <w:color w:val="auto"/>
          <w:highlight w:val="none"/>
        </w:rPr>
        <w:fldChar w:fldCharType="end"/>
      </w:r>
      <w:r>
        <w:rPr>
          <w:color w:val="auto"/>
          <w:szCs w:val="30"/>
          <w:highlight w:val="none"/>
        </w:rPr>
        <w:fldChar w:fldCharType="end"/>
      </w:r>
    </w:p>
    <w:p w14:paraId="30061D01">
      <w:pPr>
        <w:pStyle w:val="24"/>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_Toc11084 </w:instrText>
      </w:r>
      <w:r>
        <w:rPr>
          <w:color w:val="auto"/>
          <w:szCs w:val="30"/>
          <w:highlight w:val="none"/>
        </w:rPr>
        <w:fldChar w:fldCharType="separate"/>
      </w:r>
      <w:r>
        <w:rPr>
          <w:rFonts w:hint="eastAsia" w:ascii="宋体" w:hAnsi="宋体" w:eastAsia="宋体" w:cs="Times New Roman"/>
          <w:color w:val="auto"/>
          <w:szCs w:val="36"/>
          <w:highlight w:val="none"/>
        </w:rPr>
        <w:t>第</w:t>
      </w:r>
      <w:r>
        <w:rPr>
          <w:rFonts w:hint="eastAsia" w:ascii="宋体" w:hAnsi="宋体" w:cs="Times New Roman"/>
          <w:color w:val="auto"/>
          <w:szCs w:val="36"/>
          <w:highlight w:val="none"/>
          <w:lang w:val="en-US" w:eastAsia="zh-CN"/>
        </w:rPr>
        <w:t>八</w:t>
      </w:r>
      <w:r>
        <w:rPr>
          <w:rFonts w:hint="eastAsia" w:ascii="宋体" w:hAnsi="宋体" w:eastAsia="宋体" w:cs="Times New Roman"/>
          <w:color w:val="auto"/>
          <w:szCs w:val="36"/>
          <w:highlight w:val="none"/>
        </w:rPr>
        <w:t>章  投标文件部分格式</w:t>
      </w:r>
      <w:r>
        <w:rPr>
          <w:color w:val="auto"/>
          <w:highlight w:val="none"/>
        </w:rPr>
        <w:tab/>
      </w:r>
      <w:r>
        <w:rPr>
          <w:color w:val="auto"/>
          <w:highlight w:val="none"/>
        </w:rPr>
        <w:fldChar w:fldCharType="begin"/>
      </w:r>
      <w:r>
        <w:rPr>
          <w:color w:val="auto"/>
          <w:highlight w:val="none"/>
        </w:rPr>
        <w:instrText xml:space="preserve"> PAGEREF _Toc11084 \h </w:instrText>
      </w:r>
      <w:r>
        <w:rPr>
          <w:color w:val="auto"/>
          <w:highlight w:val="none"/>
        </w:rPr>
        <w:fldChar w:fldCharType="separate"/>
      </w:r>
      <w:r>
        <w:rPr>
          <w:color w:val="auto"/>
          <w:highlight w:val="none"/>
        </w:rPr>
        <w:t>32</w:t>
      </w:r>
      <w:r>
        <w:rPr>
          <w:color w:val="auto"/>
          <w:highlight w:val="none"/>
        </w:rPr>
        <w:fldChar w:fldCharType="end"/>
      </w:r>
      <w:r>
        <w:rPr>
          <w:color w:val="auto"/>
          <w:szCs w:val="30"/>
          <w:highlight w:val="none"/>
        </w:rPr>
        <w:fldChar w:fldCharType="end"/>
      </w:r>
    </w:p>
    <w:p w14:paraId="5F1B0C6C">
      <w:pPr>
        <w:pStyle w:val="29"/>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_Toc15989 </w:instrText>
      </w:r>
      <w:r>
        <w:rPr>
          <w:color w:val="auto"/>
          <w:szCs w:val="30"/>
          <w:highlight w:val="none"/>
        </w:rPr>
        <w:fldChar w:fldCharType="separate"/>
      </w:r>
      <w:r>
        <w:rPr>
          <w:rFonts w:hint="eastAsia" w:ascii="宋体" w:hAnsi="宋体" w:eastAsia="宋体" w:cs="宋体"/>
          <w:color w:val="auto"/>
          <w:szCs w:val="21"/>
          <w:highlight w:val="none"/>
        </w:rPr>
        <w:t>一、资格响应文件、商务技术响应文件部分格式</w:t>
      </w:r>
      <w:r>
        <w:rPr>
          <w:color w:val="auto"/>
          <w:highlight w:val="none"/>
        </w:rPr>
        <w:tab/>
      </w:r>
      <w:r>
        <w:rPr>
          <w:color w:val="auto"/>
          <w:highlight w:val="none"/>
        </w:rPr>
        <w:fldChar w:fldCharType="begin"/>
      </w:r>
      <w:r>
        <w:rPr>
          <w:color w:val="auto"/>
          <w:highlight w:val="none"/>
        </w:rPr>
        <w:instrText xml:space="preserve"> PAGEREF _Toc15989 \h </w:instrText>
      </w:r>
      <w:r>
        <w:rPr>
          <w:color w:val="auto"/>
          <w:highlight w:val="none"/>
        </w:rPr>
        <w:fldChar w:fldCharType="separate"/>
      </w:r>
      <w:r>
        <w:rPr>
          <w:color w:val="auto"/>
          <w:highlight w:val="none"/>
        </w:rPr>
        <w:t>32</w:t>
      </w:r>
      <w:r>
        <w:rPr>
          <w:color w:val="auto"/>
          <w:highlight w:val="none"/>
        </w:rPr>
        <w:fldChar w:fldCharType="end"/>
      </w:r>
      <w:r>
        <w:rPr>
          <w:color w:val="auto"/>
          <w:szCs w:val="30"/>
          <w:highlight w:val="none"/>
        </w:rPr>
        <w:fldChar w:fldCharType="end"/>
      </w:r>
    </w:p>
    <w:p w14:paraId="405F2E5D">
      <w:pPr>
        <w:pStyle w:val="29"/>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_Toc28013 </w:instrText>
      </w:r>
      <w:r>
        <w:rPr>
          <w:color w:val="auto"/>
          <w:szCs w:val="30"/>
          <w:highlight w:val="none"/>
        </w:rPr>
        <w:fldChar w:fldCharType="separate"/>
      </w:r>
      <w:r>
        <w:rPr>
          <w:rFonts w:hint="eastAsia" w:ascii="宋体" w:hAnsi="宋体" w:eastAsia="宋体" w:cs="宋体"/>
          <w:color w:val="auto"/>
          <w:szCs w:val="21"/>
          <w:highlight w:val="none"/>
        </w:rPr>
        <w:t>二、报价响应文件部分格式</w:t>
      </w:r>
      <w:r>
        <w:rPr>
          <w:color w:val="auto"/>
          <w:highlight w:val="none"/>
        </w:rPr>
        <w:tab/>
      </w:r>
      <w:r>
        <w:rPr>
          <w:color w:val="auto"/>
          <w:highlight w:val="none"/>
        </w:rPr>
        <w:fldChar w:fldCharType="begin"/>
      </w:r>
      <w:r>
        <w:rPr>
          <w:color w:val="auto"/>
          <w:highlight w:val="none"/>
        </w:rPr>
        <w:instrText xml:space="preserve"> PAGEREF _Toc28013 \h </w:instrText>
      </w:r>
      <w:r>
        <w:rPr>
          <w:color w:val="auto"/>
          <w:highlight w:val="none"/>
        </w:rPr>
        <w:fldChar w:fldCharType="separate"/>
      </w:r>
      <w:r>
        <w:rPr>
          <w:color w:val="auto"/>
          <w:highlight w:val="none"/>
        </w:rPr>
        <w:t>32</w:t>
      </w:r>
      <w:r>
        <w:rPr>
          <w:color w:val="auto"/>
          <w:highlight w:val="none"/>
        </w:rPr>
        <w:fldChar w:fldCharType="end"/>
      </w:r>
      <w:r>
        <w:rPr>
          <w:color w:val="auto"/>
          <w:szCs w:val="30"/>
          <w:highlight w:val="none"/>
        </w:rPr>
        <w:fldChar w:fldCharType="end"/>
      </w:r>
    </w:p>
    <w:p w14:paraId="3CEAA109">
      <w:pPr>
        <w:pStyle w:val="29"/>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_Toc9757 </w:instrText>
      </w:r>
      <w:r>
        <w:rPr>
          <w:color w:val="auto"/>
          <w:szCs w:val="30"/>
          <w:highlight w:val="none"/>
        </w:rPr>
        <w:fldChar w:fldCharType="separate"/>
      </w:r>
      <w:r>
        <w:rPr>
          <w:rFonts w:hint="eastAsia" w:ascii="宋体" w:hAnsi="宋体" w:eastAsia="宋体" w:cs="宋体"/>
          <w:color w:val="auto"/>
          <w:szCs w:val="21"/>
          <w:highlight w:val="none"/>
        </w:rPr>
        <w:t>三、质疑函范本</w:t>
      </w:r>
      <w:r>
        <w:rPr>
          <w:color w:val="auto"/>
          <w:highlight w:val="none"/>
        </w:rPr>
        <w:tab/>
      </w:r>
      <w:r>
        <w:rPr>
          <w:color w:val="auto"/>
          <w:highlight w:val="none"/>
        </w:rPr>
        <w:fldChar w:fldCharType="begin"/>
      </w:r>
      <w:r>
        <w:rPr>
          <w:color w:val="auto"/>
          <w:highlight w:val="none"/>
        </w:rPr>
        <w:instrText xml:space="preserve"> PAGEREF _Toc9757 \h </w:instrText>
      </w:r>
      <w:r>
        <w:rPr>
          <w:color w:val="auto"/>
          <w:highlight w:val="none"/>
        </w:rPr>
        <w:fldChar w:fldCharType="separate"/>
      </w:r>
      <w:r>
        <w:rPr>
          <w:color w:val="auto"/>
          <w:highlight w:val="none"/>
        </w:rPr>
        <w:t>32</w:t>
      </w:r>
      <w:r>
        <w:rPr>
          <w:color w:val="auto"/>
          <w:highlight w:val="none"/>
        </w:rPr>
        <w:fldChar w:fldCharType="end"/>
      </w:r>
      <w:r>
        <w:rPr>
          <w:color w:val="auto"/>
          <w:szCs w:val="30"/>
          <w:highlight w:val="none"/>
        </w:rPr>
        <w:fldChar w:fldCharType="end"/>
      </w:r>
    </w:p>
    <w:p w14:paraId="6C5D817C">
      <w:pPr>
        <w:rPr>
          <w:color w:val="auto"/>
          <w:sz w:val="28"/>
          <w:szCs w:val="28"/>
          <w:highlight w:val="none"/>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r>
        <w:rPr>
          <w:color w:val="auto"/>
          <w:szCs w:val="30"/>
          <w:highlight w:val="none"/>
        </w:rPr>
        <w:fldChar w:fldCharType="end"/>
      </w:r>
    </w:p>
    <w:p w14:paraId="25F02D31">
      <w:pPr>
        <w:pStyle w:val="2"/>
        <w:keepNext/>
        <w:keepLines/>
        <w:pageBreakBefore w:val="0"/>
        <w:widowControl w:val="0"/>
        <w:numPr>
          <w:ilvl w:val="0"/>
          <w:numId w:val="0"/>
        </w:numPr>
        <w:kinsoku/>
        <w:wordWrap/>
        <w:overflowPunct/>
        <w:topLinePunct w:val="0"/>
        <w:autoSpaceDE/>
        <w:autoSpaceDN/>
        <w:bidi w:val="0"/>
        <w:adjustRightInd/>
        <w:snapToGrid/>
        <w:spacing w:before="340" w:after="330" w:line="240" w:lineRule="exact"/>
        <w:ind w:left="0" w:leftChars="0" w:right="0" w:rightChars="0"/>
        <w:jc w:val="center"/>
        <w:textAlignment w:val="auto"/>
        <w:rPr>
          <w:color w:val="auto"/>
          <w:sz w:val="36"/>
          <w:highlight w:val="none"/>
        </w:rPr>
      </w:pPr>
      <w:bookmarkStart w:id="0" w:name="_Toc13402"/>
      <w:bookmarkStart w:id="1" w:name="_Toc17857"/>
      <w:r>
        <w:rPr>
          <w:rFonts w:ascii="Times New Roman" w:hAnsi="Times New Roman" w:eastAsia="宋体" w:cs="Times New Roman"/>
          <w:b/>
          <w:bCs/>
          <w:color w:val="auto"/>
          <w:kern w:val="44"/>
          <w:sz w:val="36"/>
          <w:szCs w:val="44"/>
          <w:highlight w:val="none"/>
          <w:lang w:val="en-US" w:eastAsia="zh-CN" w:bidi="ar-SA"/>
        </w:rPr>
        <w:t>第一章</w:t>
      </w:r>
      <w:r>
        <w:rPr>
          <w:rFonts w:hint="eastAsia"/>
          <w:color w:val="auto"/>
          <w:sz w:val="36"/>
          <w:highlight w:val="none"/>
        </w:rPr>
        <w:t>　招标公告</w:t>
      </w:r>
      <w:bookmarkEnd w:id="0"/>
      <w:bookmarkEnd w:id="1"/>
    </w:p>
    <w:p w14:paraId="0389FF16">
      <w:pPr>
        <w:pageBreakBefore w:val="0"/>
        <w:widowControl w:val="0"/>
        <w:kinsoku/>
        <w:wordWrap/>
        <w:overflowPunct/>
        <w:topLinePunct w:val="0"/>
        <w:autoSpaceDE/>
        <w:autoSpaceDN/>
        <w:bidi w:val="0"/>
        <w:spacing w:line="360" w:lineRule="auto"/>
        <w:ind w:firstLine="420" w:firstLineChars="200"/>
        <w:textAlignment w:val="auto"/>
        <w:rPr>
          <w:rFonts w:hint="eastAsia"/>
          <w:color w:val="auto"/>
          <w:sz w:val="21"/>
          <w:szCs w:val="21"/>
          <w:highlight w:val="none"/>
        </w:rPr>
      </w:pPr>
      <w:r>
        <w:rPr>
          <w:rFonts w:hint="eastAsia"/>
          <w:color w:val="auto"/>
          <w:sz w:val="21"/>
          <w:szCs w:val="21"/>
          <w:highlight w:val="none"/>
        </w:rPr>
        <w:t>根据法律法规等相关规定，本项目进行公开招标，欢迎国内合格的</w:t>
      </w:r>
      <w:r>
        <w:rPr>
          <w:rFonts w:hint="eastAsia" w:ascii="宋体" w:hAnsi="宋体" w:cs="宋体"/>
          <w:color w:val="auto"/>
          <w:sz w:val="21"/>
          <w:szCs w:val="21"/>
          <w:highlight w:val="none"/>
        </w:rPr>
        <w:t>供应商</w:t>
      </w:r>
      <w:r>
        <w:rPr>
          <w:rFonts w:hint="eastAsia"/>
          <w:color w:val="auto"/>
          <w:sz w:val="21"/>
          <w:szCs w:val="21"/>
          <w:highlight w:val="none"/>
        </w:rPr>
        <w:t>参加投标。</w:t>
      </w:r>
    </w:p>
    <w:p w14:paraId="4B3CE6C3">
      <w:pPr>
        <w:pageBreakBefore w:val="0"/>
        <w:widowControl w:val="0"/>
        <w:numPr>
          <w:ilvl w:val="0"/>
          <w:numId w:val="0"/>
        </w:numPr>
        <w:kinsoku/>
        <w:wordWrap/>
        <w:overflowPunct/>
        <w:topLinePunct w:val="0"/>
        <w:autoSpaceDE/>
        <w:autoSpaceDN/>
        <w:bidi w:val="0"/>
        <w:spacing w:line="360" w:lineRule="auto"/>
        <w:ind w:left="-2" w:leftChars="0" w:firstLine="422" w:firstLineChars="0"/>
        <w:textAlignment w:val="auto"/>
        <w:rPr>
          <w:rFonts w:hint="eastAsia" w:ascii="宋体" w:hAnsi="宋体" w:cs="宋体"/>
          <w:b/>
          <w:bCs w:val="0"/>
          <w:color w:val="auto"/>
          <w:sz w:val="21"/>
          <w:szCs w:val="21"/>
          <w:highlight w:val="none"/>
        </w:rPr>
      </w:pPr>
      <w:r>
        <w:rPr>
          <w:rFonts w:hint="default" w:ascii="宋体" w:hAnsi="宋体" w:eastAsia="宋体" w:cs="宋体"/>
          <w:b/>
          <w:bCs/>
          <w:color w:val="auto"/>
          <w:kern w:val="2"/>
          <w:sz w:val="21"/>
          <w:szCs w:val="21"/>
          <w:lang w:val="en-US" w:eastAsia="zh-CN" w:bidi="ar-SA"/>
        </w:rPr>
        <w:t>1.</w:t>
      </w:r>
      <w:r>
        <w:rPr>
          <w:rFonts w:hint="eastAsia" w:ascii="宋体" w:hAnsi="宋体" w:cs="宋体"/>
          <w:b/>
          <w:bCs w:val="0"/>
          <w:color w:val="auto"/>
          <w:sz w:val="21"/>
          <w:szCs w:val="21"/>
          <w:highlight w:val="none"/>
        </w:rPr>
        <w:t>采购编号：YWYGZC202601CG0041</w:t>
      </w:r>
      <w:r>
        <w:rPr>
          <w:rFonts w:hint="eastAsia" w:ascii="宋体" w:hAnsi="宋体" w:eastAsia="宋体" w:cs="宋体"/>
          <w:b/>
          <w:bCs w:val="0"/>
          <w:color w:val="auto"/>
          <w:sz w:val="21"/>
          <w:szCs w:val="21"/>
          <w:highlight w:val="none"/>
          <w:lang w:eastAsia="zh-CN"/>
        </w:rPr>
        <w:t>（</w:t>
      </w:r>
      <w:r>
        <w:rPr>
          <w:rFonts w:hint="eastAsia" w:ascii="宋体" w:hAnsi="宋体" w:eastAsia="宋体" w:cs="宋体"/>
          <w:color w:val="auto"/>
          <w:sz w:val="21"/>
          <w:szCs w:val="21"/>
          <w:highlight w:val="none"/>
          <w:lang w:val="en-US" w:eastAsia="zh-CN"/>
        </w:rPr>
        <w:t>JYP-2026-CG030</w:t>
      </w:r>
      <w:r>
        <w:rPr>
          <w:rFonts w:hint="eastAsia" w:ascii="宋体" w:hAnsi="宋体" w:cs="宋体"/>
          <w:color w:val="auto"/>
          <w:sz w:val="21"/>
          <w:szCs w:val="21"/>
          <w:highlight w:val="none"/>
          <w:lang w:val="en-US" w:eastAsia="zh-CN"/>
        </w:rPr>
        <w:t>-1</w:t>
      </w:r>
      <w:r>
        <w:rPr>
          <w:rFonts w:hint="eastAsia" w:ascii="宋体" w:hAnsi="宋体" w:eastAsia="宋体" w:cs="宋体"/>
          <w:b/>
          <w:bCs w:val="0"/>
          <w:color w:val="auto"/>
          <w:sz w:val="21"/>
          <w:szCs w:val="21"/>
          <w:highlight w:val="none"/>
          <w:lang w:eastAsia="zh-CN"/>
        </w:rPr>
        <w:t>）</w:t>
      </w:r>
      <w:r>
        <w:rPr>
          <w:rFonts w:hint="eastAsia" w:ascii="宋体" w:hAnsi="宋体" w:cs="宋体"/>
          <w:b/>
          <w:bCs w:val="0"/>
          <w:color w:val="auto"/>
          <w:sz w:val="21"/>
          <w:szCs w:val="21"/>
          <w:highlight w:val="none"/>
        </w:rPr>
        <w:t xml:space="preserve">  </w:t>
      </w:r>
    </w:p>
    <w:p w14:paraId="653B8688">
      <w:pPr>
        <w:pageBreakBefore w:val="0"/>
        <w:widowControl w:val="0"/>
        <w:numPr>
          <w:ilvl w:val="0"/>
          <w:numId w:val="0"/>
        </w:numPr>
        <w:kinsoku/>
        <w:wordWrap/>
        <w:overflowPunct/>
        <w:topLinePunct w:val="0"/>
        <w:autoSpaceDE/>
        <w:autoSpaceDN/>
        <w:bidi w:val="0"/>
        <w:spacing w:line="360" w:lineRule="auto"/>
        <w:ind w:left="-2" w:leftChars="0" w:firstLine="422" w:firstLineChars="0"/>
        <w:textAlignment w:val="auto"/>
        <w:rPr>
          <w:rFonts w:hint="eastAsia" w:hAnsi="宋体"/>
          <w:b/>
          <w:bCs w:val="0"/>
          <w:color w:val="auto"/>
          <w:sz w:val="21"/>
          <w:szCs w:val="21"/>
          <w:highlight w:val="none"/>
        </w:rPr>
      </w:pPr>
      <w:r>
        <w:rPr>
          <w:rFonts w:hint="default" w:ascii="Times New Roman" w:hAnsi="宋体" w:eastAsia="宋体" w:cs="Times New Roman"/>
          <w:b/>
          <w:bCs/>
          <w:color w:val="auto"/>
          <w:kern w:val="2"/>
          <w:sz w:val="21"/>
          <w:szCs w:val="21"/>
          <w:lang w:val="en-US" w:eastAsia="zh-CN" w:bidi="ar-SA"/>
        </w:rPr>
        <w:t>2.</w:t>
      </w:r>
      <w:r>
        <w:rPr>
          <w:rFonts w:hint="eastAsia" w:ascii="宋体" w:hAnsi="宋体" w:cs="宋体"/>
          <w:b/>
          <w:bCs w:val="0"/>
          <w:color w:val="auto"/>
          <w:sz w:val="21"/>
          <w:szCs w:val="21"/>
          <w:highlight w:val="none"/>
        </w:rPr>
        <w:t>采购内容及数量：</w:t>
      </w:r>
      <w:r>
        <w:rPr>
          <w:rFonts w:hint="eastAsia" w:ascii="宋体" w:hAnsi="宋体" w:cs="宋体"/>
          <w:b w:val="0"/>
          <w:bCs/>
          <w:color w:val="auto"/>
          <w:sz w:val="21"/>
          <w:szCs w:val="21"/>
          <w:highlight w:val="none"/>
          <w:lang w:val="en-US" w:eastAsia="zh-CN"/>
        </w:rPr>
        <w:t>员工食堂劳务外包服务</w:t>
      </w:r>
      <w:r>
        <w:rPr>
          <w:rFonts w:hint="eastAsia" w:ascii="宋体" w:hAnsi="宋体"/>
          <w:color w:val="auto"/>
          <w:sz w:val="21"/>
          <w:szCs w:val="21"/>
          <w:highlight w:val="none"/>
          <w:lang w:eastAsia="zh-CN"/>
        </w:rPr>
        <w:t>采购，具体</w:t>
      </w:r>
      <w:r>
        <w:rPr>
          <w:rFonts w:hint="eastAsia" w:ascii="宋体" w:hAnsi="宋体"/>
          <w:color w:val="auto"/>
          <w:sz w:val="21"/>
          <w:szCs w:val="21"/>
          <w:highlight w:val="none"/>
          <w:lang w:val="en-US" w:eastAsia="zh-CN"/>
        </w:rPr>
        <w:t>内容</w:t>
      </w:r>
      <w:r>
        <w:rPr>
          <w:rFonts w:hint="eastAsia" w:ascii="宋体" w:hAnsi="宋体"/>
          <w:color w:val="auto"/>
          <w:sz w:val="21"/>
          <w:szCs w:val="21"/>
          <w:highlight w:val="none"/>
          <w:lang w:eastAsia="zh-CN"/>
        </w:rPr>
        <w:t>详见第三章招标项目要求。</w:t>
      </w:r>
    </w:p>
    <w:p w14:paraId="0F298545">
      <w:pPr>
        <w:pageBreakBefore w:val="0"/>
        <w:widowControl w:val="0"/>
        <w:numPr>
          <w:ilvl w:val="0"/>
          <w:numId w:val="0"/>
        </w:numPr>
        <w:kinsoku/>
        <w:wordWrap/>
        <w:overflowPunct/>
        <w:topLinePunct w:val="0"/>
        <w:autoSpaceDE/>
        <w:autoSpaceDN/>
        <w:bidi w:val="0"/>
        <w:spacing w:line="360" w:lineRule="auto"/>
        <w:ind w:left="-2" w:leftChars="0" w:firstLine="422" w:firstLineChars="0"/>
        <w:textAlignment w:val="auto"/>
        <w:rPr>
          <w:rFonts w:hint="eastAsia" w:hAnsi="宋体"/>
          <w:b/>
          <w:bCs w:val="0"/>
          <w:color w:val="auto"/>
          <w:sz w:val="21"/>
          <w:szCs w:val="21"/>
          <w:highlight w:val="none"/>
        </w:rPr>
      </w:pPr>
      <w:r>
        <w:rPr>
          <w:rFonts w:hint="default" w:ascii="Times New Roman" w:hAnsi="宋体" w:eastAsia="宋体" w:cs="Times New Roman"/>
          <w:b/>
          <w:bCs/>
          <w:color w:val="auto"/>
          <w:kern w:val="2"/>
          <w:sz w:val="21"/>
          <w:szCs w:val="21"/>
          <w:lang w:val="en-US" w:eastAsia="zh-CN" w:bidi="ar-SA"/>
        </w:rPr>
        <w:t>3.</w:t>
      </w:r>
      <w:r>
        <w:rPr>
          <w:rFonts w:hint="eastAsia" w:ascii="宋体" w:hAnsi="宋体" w:cs="宋体"/>
          <w:b/>
          <w:bCs/>
          <w:color w:val="auto"/>
          <w:sz w:val="21"/>
          <w:szCs w:val="21"/>
          <w:highlight w:val="none"/>
        </w:rPr>
        <w:t>采购预算</w:t>
      </w:r>
      <w:r>
        <w:rPr>
          <w:rFonts w:hint="eastAsia" w:ascii="宋体" w:hAnsi="宋体" w:cs="宋体"/>
          <w:b/>
          <w:bCs/>
          <w:color w:val="auto"/>
          <w:sz w:val="21"/>
          <w:szCs w:val="21"/>
          <w:highlight w:val="none"/>
          <w:lang w:val="en-US" w:eastAsia="zh-CN"/>
        </w:rPr>
        <w:t>及最高限</w:t>
      </w:r>
      <w:r>
        <w:rPr>
          <w:rFonts w:hint="eastAsia" w:ascii="宋体" w:hAnsi="宋体" w:cs="宋体"/>
          <w:b/>
          <w:bCs/>
          <w:color w:val="auto"/>
          <w:sz w:val="21"/>
          <w:szCs w:val="21"/>
          <w:highlight w:val="none"/>
        </w:rPr>
        <w:t>价</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45</w:t>
      </w:r>
      <w:r>
        <w:rPr>
          <w:rFonts w:hint="eastAsia" w:ascii="宋体" w:hAnsi="宋体" w:cs="宋体"/>
          <w:b w:val="0"/>
          <w:bCs w:val="0"/>
          <w:color w:val="auto"/>
          <w:sz w:val="21"/>
          <w:szCs w:val="21"/>
          <w:highlight w:val="none"/>
          <w:lang w:val="en-US" w:eastAsia="zh-CN"/>
        </w:rPr>
        <w:t>万元</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投标人的投标报价超过</w:t>
      </w:r>
      <w:r>
        <w:rPr>
          <w:rFonts w:hint="eastAsia" w:ascii="宋体" w:hAnsi="宋体" w:cs="宋体"/>
          <w:b/>
          <w:bCs/>
          <w:color w:val="auto"/>
          <w:sz w:val="21"/>
          <w:szCs w:val="21"/>
          <w:highlight w:val="none"/>
        </w:rPr>
        <w:t>采购预算</w:t>
      </w:r>
      <w:r>
        <w:rPr>
          <w:rFonts w:hint="eastAsia" w:ascii="宋体" w:hAnsi="宋体" w:cs="宋体"/>
          <w:b/>
          <w:bCs/>
          <w:color w:val="auto"/>
          <w:sz w:val="21"/>
          <w:szCs w:val="21"/>
          <w:highlight w:val="none"/>
          <w:lang w:val="en-US" w:eastAsia="zh-CN"/>
        </w:rPr>
        <w:t>及最高限</w:t>
      </w:r>
      <w:r>
        <w:rPr>
          <w:rFonts w:hint="eastAsia" w:ascii="宋体" w:hAnsi="宋体" w:cs="宋体"/>
          <w:b/>
          <w:bCs/>
          <w:color w:val="auto"/>
          <w:sz w:val="21"/>
          <w:szCs w:val="21"/>
          <w:highlight w:val="none"/>
        </w:rPr>
        <w:t>价</w:t>
      </w:r>
      <w:r>
        <w:rPr>
          <w:rFonts w:hint="eastAsia" w:ascii="宋体" w:hAnsi="宋体" w:cs="宋体"/>
          <w:b/>
          <w:bCs/>
          <w:color w:val="auto"/>
          <w:sz w:val="21"/>
          <w:szCs w:val="21"/>
          <w:highlight w:val="none"/>
          <w:lang w:val="en-US" w:eastAsia="zh-CN"/>
        </w:rPr>
        <w:t>的作</w:t>
      </w:r>
      <w:r>
        <w:rPr>
          <w:rFonts w:hint="eastAsia" w:ascii="宋体" w:hAnsi="宋体" w:cs="宋体"/>
          <w:color w:val="auto"/>
          <w:sz w:val="21"/>
          <w:szCs w:val="21"/>
          <w:highlight w:val="none"/>
          <w:lang w:val="en-US" w:eastAsia="zh-CN"/>
        </w:rPr>
        <w:t>无效标处理。</w:t>
      </w:r>
    </w:p>
    <w:p w14:paraId="57A3FA2C">
      <w:pPr>
        <w:pageBreakBefore w:val="0"/>
        <w:widowControl w:val="0"/>
        <w:numPr>
          <w:ilvl w:val="0"/>
          <w:numId w:val="0"/>
        </w:numPr>
        <w:kinsoku/>
        <w:wordWrap/>
        <w:overflowPunct/>
        <w:topLinePunct w:val="0"/>
        <w:autoSpaceDE/>
        <w:autoSpaceDN/>
        <w:bidi w:val="0"/>
        <w:spacing w:line="360" w:lineRule="auto"/>
        <w:ind w:left="-2" w:leftChars="0" w:firstLine="422" w:firstLineChars="0"/>
        <w:textAlignment w:val="auto"/>
        <w:rPr>
          <w:rFonts w:hint="eastAsia" w:hAnsi="宋体"/>
          <w:b/>
          <w:bCs w:val="0"/>
          <w:color w:val="auto"/>
          <w:sz w:val="21"/>
          <w:szCs w:val="21"/>
          <w:highlight w:val="none"/>
        </w:rPr>
      </w:pPr>
      <w:r>
        <w:rPr>
          <w:rFonts w:hint="default" w:ascii="Times New Roman" w:hAnsi="宋体" w:eastAsia="宋体" w:cs="Times New Roman"/>
          <w:b/>
          <w:bCs/>
          <w:color w:val="auto"/>
          <w:kern w:val="2"/>
          <w:sz w:val="21"/>
          <w:szCs w:val="21"/>
          <w:lang w:val="en-US" w:eastAsia="zh-CN" w:bidi="ar-SA"/>
        </w:rPr>
        <w:t>4.</w:t>
      </w:r>
      <w:r>
        <w:rPr>
          <w:rFonts w:hint="eastAsia" w:hAnsi="宋体"/>
          <w:b/>
          <w:bCs w:val="0"/>
          <w:color w:val="auto"/>
          <w:sz w:val="21"/>
          <w:szCs w:val="21"/>
          <w:highlight w:val="none"/>
          <w:lang w:val="zh-CN"/>
        </w:rPr>
        <w:t>投标人的资格要求</w:t>
      </w:r>
      <w:r>
        <w:rPr>
          <w:rFonts w:hint="eastAsia" w:hAnsi="宋体"/>
          <w:b/>
          <w:bCs w:val="0"/>
          <w:color w:val="auto"/>
          <w:sz w:val="21"/>
          <w:szCs w:val="21"/>
          <w:highlight w:val="none"/>
        </w:rPr>
        <w:t>：</w:t>
      </w:r>
    </w:p>
    <w:p w14:paraId="6BBBA1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sz w:val="21"/>
          <w:szCs w:val="21"/>
          <w:highlight w:val="none"/>
          <w:lang w:val="zh-CN"/>
        </w:rPr>
      </w:pPr>
      <w:r>
        <w:rPr>
          <w:rFonts w:hint="eastAsia" w:ascii="Times New Roman" w:hAnsi="宋体" w:eastAsia="宋体" w:cs="Times New Roman"/>
          <w:b w:val="0"/>
          <w:bCs/>
          <w:color w:val="auto"/>
          <w:sz w:val="21"/>
          <w:szCs w:val="21"/>
          <w:highlight w:val="none"/>
          <w:lang w:val="zh-CN" w:eastAsia="zh-CN"/>
        </w:rPr>
        <w:t>（</w:t>
      </w:r>
      <w:r>
        <w:rPr>
          <w:rFonts w:hint="eastAsia" w:ascii="Times New Roman" w:hAnsi="宋体" w:eastAsia="宋体" w:cs="Times New Roman"/>
          <w:b w:val="0"/>
          <w:bCs/>
          <w:color w:val="auto"/>
          <w:sz w:val="21"/>
          <w:szCs w:val="21"/>
          <w:highlight w:val="none"/>
          <w:lang w:val="en-US" w:eastAsia="zh-CN"/>
        </w:rPr>
        <w:t>1）</w:t>
      </w:r>
      <w:r>
        <w:rPr>
          <w:rFonts w:hint="eastAsia" w:ascii="Times New Roman" w:hAnsi="宋体" w:eastAsia="宋体" w:cs="Times New Roman"/>
          <w:b w:val="0"/>
          <w:bCs/>
          <w:color w:val="auto"/>
          <w:sz w:val="21"/>
          <w:szCs w:val="21"/>
          <w:highlight w:val="none"/>
          <w:lang w:val="zh-CN"/>
        </w:rPr>
        <w:t>具有独立承担民事责任的能力；具有良好的商业信誉和健全的财务会计制度；具有履行合同所必需的设备和专业技术能力；有依法缴纳税收和社会保障资金的良好记录。 参加采购活动前三年内，在经营活动中没有重大违法记录。</w:t>
      </w:r>
    </w:p>
    <w:p w14:paraId="44B411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sz w:val="21"/>
          <w:szCs w:val="21"/>
          <w:highlight w:val="none"/>
          <w:lang w:val="zh-CN"/>
        </w:rPr>
      </w:pPr>
      <w:r>
        <w:rPr>
          <w:rFonts w:hint="eastAsia" w:ascii="Times New Roman" w:hAnsi="宋体" w:eastAsia="宋体" w:cs="Times New Roman"/>
          <w:b w:val="0"/>
          <w:bCs/>
          <w:color w:val="auto"/>
          <w:sz w:val="21"/>
          <w:szCs w:val="21"/>
          <w:highlight w:val="none"/>
          <w:lang w:val="zh-CN" w:eastAsia="zh-CN"/>
        </w:rPr>
        <w:t>（</w:t>
      </w:r>
      <w:r>
        <w:rPr>
          <w:rFonts w:hint="eastAsia" w:ascii="Times New Roman" w:hAnsi="宋体" w:eastAsia="宋体" w:cs="Times New Roman"/>
          <w:b w:val="0"/>
          <w:bCs/>
          <w:color w:val="auto"/>
          <w:sz w:val="21"/>
          <w:szCs w:val="21"/>
          <w:highlight w:val="none"/>
          <w:lang w:val="en-US" w:eastAsia="zh-CN"/>
        </w:rPr>
        <w:t>2）</w:t>
      </w:r>
      <w:r>
        <w:rPr>
          <w:rFonts w:hint="eastAsia" w:ascii="Times New Roman" w:hAnsi="宋体" w:eastAsia="宋体" w:cs="Times New Roman"/>
          <w:b w:val="0"/>
          <w:bCs/>
          <w:color w:val="auto"/>
          <w:sz w:val="21"/>
          <w:szCs w:val="21"/>
          <w:highlight w:val="none"/>
          <w:lang w:val="zh-CN"/>
        </w:rPr>
        <w:t>信用要求：①未被“信用中国”网站（</w:t>
      </w:r>
      <w:r>
        <w:rPr>
          <w:rFonts w:hint="eastAsia" w:ascii="Times New Roman" w:hAnsi="宋体" w:eastAsia="宋体" w:cs="Times New Roman"/>
          <w:b w:val="0"/>
          <w:bCs/>
          <w:color w:val="auto"/>
          <w:sz w:val="21"/>
          <w:szCs w:val="21"/>
          <w:highlight w:val="none"/>
          <w:lang w:val="zh-CN"/>
        </w:rPr>
        <w:fldChar w:fldCharType="begin"/>
      </w:r>
      <w:r>
        <w:rPr>
          <w:rFonts w:hint="eastAsia" w:ascii="Times New Roman" w:hAnsi="宋体" w:eastAsia="宋体" w:cs="Times New Roman"/>
          <w:b w:val="0"/>
          <w:bCs/>
          <w:color w:val="auto"/>
          <w:sz w:val="21"/>
          <w:szCs w:val="21"/>
          <w:highlight w:val="none"/>
          <w:lang w:val="zh-CN"/>
        </w:rPr>
        <w:instrText xml:space="preserve"> HYPERLINK "https://www.creditchina.gov.cn" </w:instrText>
      </w:r>
      <w:r>
        <w:rPr>
          <w:rFonts w:hint="eastAsia" w:ascii="Times New Roman" w:hAnsi="宋体" w:eastAsia="宋体" w:cs="Times New Roman"/>
          <w:b w:val="0"/>
          <w:bCs/>
          <w:color w:val="auto"/>
          <w:sz w:val="21"/>
          <w:szCs w:val="21"/>
          <w:highlight w:val="none"/>
          <w:lang w:val="zh-CN"/>
        </w:rPr>
        <w:fldChar w:fldCharType="separate"/>
      </w:r>
      <w:r>
        <w:rPr>
          <w:rFonts w:hint="eastAsia" w:ascii="Times New Roman" w:hAnsi="宋体" w:eastAsia="宋体" w:cs="Times New Roman"/>
          <w:b w:val="0"/>
          <w:bCs/>
          <w:color w:val="auto"/>
          <w:sz w:val="21"/>
          <w:szCs w:val="21"/>
          <w:highlight w:val="none"/>
          <w:lang w:val="zh-CN"/>
        </w:rPr>
        <w:t>www.creditchina.gov.cn</w:t>
      </w:r>
      <w:r>
        <w:rPr>
          <w:rFonts w:hint="eastAsia" w:ascii="Times New Roman" w:hAnsi="宋体" w:eastAsia="宋体" w:cs="Times New Roman"/>
          <w:b w:val="0"/>
          <w:bCs/>
          <w:color w:val="auto"/>
          <w:sz w:val="21"/>
          <w:szCs w:val="21"/>
          <w:highlight w:val="none"/>
          <w:lang w:val="zh-CN"/>
        </w:rPr>
        <w:fldChar w:fldCharType="end"/>
      </w:r>
      <w:r>
        <w:rPr>
          <w:rFonts w:hint="eastAsia" w:ascii="Times New Roman" w:hAnsi="宋体" w:eastAsia="宋体" w:cs="Times New Roman"/>
          <w:b w:val="0"/>
          <w:bCs/>
          <w:color w:val="auto"/>
          <w:sz w:val="21"/>
          <w:szCs w:val="21"/>
          <w:highlight w:val="none"/>
          <w:lang w:val="zh-CN"/>
        </w:rPr>
        <w:t>）列入严重失信主体名单；②投标人或法定代表人自202</w:t>
      </w:r>
      <w:r>
        <w:rPr>
          <w:rFonts w:hint="eastAsia" w:hAnsi="宋体" w:cs="Times New Roman"/>
          <w:b w:val="0"/>
          <w:bCs/>
          <w:color w:val="auto"/>
          <w:sz w:val="21"/>
          <w:szCs w:val="21"/>
          <w:highlight w:val="none"/>
          <w:lang w:val="en-US" w:eastAsia="zh-CN"/>
        </w:rPr>
        <w:t>3</w:t>
      </w:r>
      <w:r>
        <w:rPr>
          <w:rFonts w:hint="eastAsia" w:ascii="Times New Roman" w:hAnsi="宋体" w:eastAsia="宋体" w:cs="Times New Roman"/>
          <w:b w:val="0"/>
          <w:bCs/>
          <w:color w:val="auto"/>
          <w:sz w:val="21"/>
          <w:szCs w:val="21"/>
          <w:highlight w:val="none"/>
          <w:lang w:val="zh-CN"/>
        </w:rPr>
        <w:t>年1月1日以来在中国裁判文书网（</w:t>
      </w:r>
      <w:r>
        <w:rPr>
          <w:rFonts w:hint="eastAsia" w:ascii="Times New Roman" w:hAnsi="宋体" w:eastAsia="宋体" w:cs="Times New Roman"/>
          <w:b w:val="0"/>
          <w:bCs/>
          <w:color w:val="auto"/>
          <w:sz w:val="21"/>
          <w:szCs w:val="21"/>
          <w:highlight w:val="none"/>
          <w:lang w:val="zh-CN"/>
        </w:rPr>
        <w:fldChar w:fldCharType="begin"/>
      </w:r>
      <w:r>
        <w:rPr>
          <w:rFonts w:hint="eastAsia" w:ascii="Times New Roman" w:hAnsi="宋体" w:eastAsia="宋体" w:cs="Times New Roman"/>
          <w:b w:val="0"/>
          <w:bCs/>
          <w:color w:val="auto"/>
          <w:sz w:val="21"/>
          <w:szCs w:val="21"/>
          <w:highlight w:val="none"/>
          <w:lang w:val="zh-CN"/>
        </w:rPr>
        <w:instrText xml:space="preserve"> HYPERLINK "https：//wenshu.court.gov.cn/" </w:instrText>
      </w:r>
      <w:r>
        <w:rPr>
          <w:rFonts w:hint="eastAsia" w:ascii="Times New Roman" w:hAnsi="宋体" w:eastAsia="宋体" w:cs="Times New Roman"/>
          <w:b w:val="0"/>
          <w:bCs/>
          <w:color w:val="auto"/>
          <w:sz w:val="21"/>
          <w:szCs w:val="21"/>
          <w:highlight w:val="none"/>
          <w:lang w:val="zh-CN"/>
        </w:rPr>
        <w:fldChar w:fldCharType="separate"/>
      </w:r>
      <w:r>
        <w:rPr>
          <w:rFonts w:hint="eastAsia" w:ascii="Times New Roman" w:hAnsi="宋体" w:eastAsia="宋体" w:cs="Times New Roman"/>
          <w:b w:val="0"/>
          <w:bCs/>
          <w:color w:val="auto"/>
          <w:sz w:val="21"/>
          <w:szCs w:val="21"/>
          <w:highlight w:val="none"/>
          <w:lang w:val="zh-CN"/>
        </w:rPr>
        <w:t>https</w:t>
      </w:r>
      <w:r>
        <w:rPr>
          <w:rFonts w:hint="eastAsia" w:hAnsi="宋体" w:cs="Times New Roman"/>
          <w:b w:val="0"/>
          <w:bCs/>
          <w:color w:val="auto"/>
          <w:sz w:val="21"/>
          <w:szCs w:val="21"/>
          <w:highlight w:val="none"/>
          <w:lang w:val="zh-CN"/>
        </w:rPr>
        <w:t>:</w:t>
      </w:r>
      <w:r>
        <w:rPr>
          <w:rFonts w:hint="eastAsia" w:ascii="Times New Roman" w:hAnsi="宋体" w:eastAsia="宋体" w:cs="Times New Roman"/>
          <w:b w:val="0"/>
          <w:bCs/>
          <w:color w:val="auto"/>
          <w:sz w:val="21"/>
          <w:szCs w:val="21"/>
          <w:highlight w:val="none"/>
          <w:lang w:val="zh-CN"/>
        </w:rPr>
        <w:t>//we</w:t>
      </w:r>
      <w:r>
        <w:rPr>
          <w:rFonts w:hint="eastAsia" w:ascii="Times New Roman" w:hAnsi="宋体" w:eastAsia="宋体" w:cs="Times New Roman"/>
          <w:b w:val="0"/>
          <w:bCs/>
          <w:color w:val="auto"/>
          <w:sz w:val="21"/>
          <w:szCs w:val="21"/>
          <w:highlight w:val="none"/>
          <w:lang w:val="zh-CN"/>
        </w:rPr>
        <w:fldChar w:fldCharType="end"/>
      </w:r>
      <w:r>
        <w:rPr>
          <w:rFonts w:hint="eastAsia" w:ascii="Times New Roman" w:hAnsi="宋体" w:eastAsia="宋体" w:cs="Times New Roman"/>
          <w:b w:val="0"/>
          <w:bCs/>
          <w:color w:val="auto"/>
          <w:sz w:val="21"/>
          <w:szCs w:val="21"/>
          <w:highlight w:val="none"/>
          <w:lang w:val="zh-CN"/>
        </w:rPr>
        <w:t xml:space="preserve"> </w:t>
      </w:r>
      <w:r>
        <w:rPr>
          <w:rFonts w:hint="eastAsia" w:ascii="Times New Roman" w:hAnsi="宋体" w:eastAsia="宋体" w:cs="Times New Roman"/>
          <w:b w:val="0"/>
          <w:bCs/>
          <w:color w:val="auto"/>
          <w:sz w:val="21"/>
          <w:szCs w:val="21"/>
          <w:highlight w:val="none"/>
          <w:lang w:val="zh-CN"/>
        </w:rPr>
        <w:fldChar w:fldCharType="begin"/>
      </w:r>
      <w:r>
        <w:rPr>
          <w:rFonts w:hint="eastAsia" w:ascii="Times New Roman" w:hAnsi="宋体" w:eastAsia="宋体" w:cs="Times New Roman"/>
          <w:b w:val="0"/>
          <w:bCs/>
          <w:color w:val="auto"/>
          <w:sz w:val="21"/>
          <w:szCs w:val="21"/>
          <w:highlight w:val="none"/>
          <w:lang w:val="zh-CN"/>
        </w:rPr>
        <w:instrText xml:space="preserve"> HYPERLINK "https：//wenshu.court.gov.cn/" </w:instrText>
      </w:r>
      <w:r>
        <w:rPr>
          <w:rFonts w:hint="eastAsia" w:ascii="Times New Roman" w:hAnsi="宋体" w:eastAsia="宋体" w:cs="Times New Roman"/>
          <w:b w:val="0"/>
          <w:bCs/>
          <w:color w:val="auto"/>
          <w:sz w:val="21"/>
          <w:szCs w:val="21"/>
          <w:highlight w:val="none"/>
          <w:lang w:val="zh-CN"/>
        </w:rPr>
        <w:fldChar w:fldCharType="separate"/>
      </w:r>
      <w:r>
        <w:rPr>
          <w:rFonts w:hint="eastAsia" w:ascii="Times New Roman" w:hAnsi="宋体" w:eastAsia="宋体" w:cs="Times New Roman"/>
          <w:b w:val="0"/>
          <w:bCs/>
          <w:color w:val="auto"/>
          <w:sz w:val="21"/>
          <w:szCs w:val="21"/>
          <w:highlight w:val="none"/>
          <w:lang w:val="zh-CN"/>
        </w:rPr>
        <w:t>nshu.court.gov.cn/</w:t>
      </w:r>
      <w:r>
        <w:rPr>
          <w:rFonts w:hint="eastAsia" w:ascii="Times New Roman" w:hAnsi="宋体" w:eastAsia="宋体" w:cs="Times New Roman"/>
          <w:b w:val="0"/>
          <w:bCs/>
          <w:color w:val="auto"/>
          <w:sz w:val="21"/>
          <w:szCs w:val="21"/>
          <w:highlight w:val="none"/>
          <w:lang w:val="zh-CN"/>
        </w:rPr>
        <w:fldChar w:fldCharType="end"/>
      </w:r>
      <w:r>
        <w:rPr>
          <w:rFonts w:hint="eastAsia" w:ascii="Times New Roman" w:hAnsi="宋体" w:eastAsia="宋体" w:cs="Times New Roman"/>
          <w:b w:val="0"/>
          <w:bCs/>
          <w:color w:val="auto"/>
          <w:sz w:val="21"/>
          <w:szCs w:val="21"/>
          <w:highlight w:val="none"/>
          <w:lang w:val="zh-CN"/>
        </w:rPr>
        <w:t>）上没有行贿犯罪记录情况（以行贿罪判决为准）；</w:t>
      </w:r>
    </w:p>
    <w:p w14:paraId="1896C4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sz w:val="21"/>
          <w:szCs w:val="21"/>
          <w:highlight w:val="none"/>
          <w:lang w:val="zh-CN"/>
        </w:rPr>
      </w:pPr>
      <w:r>
        <w:rPr>
          <w:rFonts w:hint="eastAsia" w:hAnsi="宋体" w:cs="Times New Roman"/>
          <w:b w:val="0"/>
          <w:bCs/>
          <w:color w:val="auto"/>
          <w:sz w:val="21"/>
          <w:szCs w:val="21"/>
          <w:highlight w:val="none"/>
          <w:lang w:val="zh-CN" w:eastAsia="zh-CN"/>
        </w:rPr>
        <w:t>（</w:t>
      </w:r>
      <w:r>
        <w:rPr>
          <w:rFonts w:hint="eastAsia" w:hAnsi="宋体" w:cs="Times New Roman"/>
          <w:b w:val="0"/>
          <w:bCs/>
          <w:color w:val="auto"/>
          <w:sz w:val="21"/>
          <w:szCs w:val="21"/>
          <w:highlight w:val="none"/>
          <w:lang w:val="en-US" w:eastAsia="zh-CN"/>
        </w:rPr>
        <w:t>3</w:t>
      </w:r>
      <w:r>
        <w:rPr>
          <w:rFonts w:hint="eastAsia" w:hAnsi="宋体" w:cs="Times New Roman"/>
          <w:b w:val="0"/>
          <w:bCs/>
          <w:color w:val="auto"/>
          <w:sz w:val="21"/>
          <w:szCs w:val="21"/>
          <w:highlight w:val="none"/>
          <w:lang w:val="zh-CN" w:eastAsia="zh-CN"/>
        </w:rPr>
        <w:t>）</w:t>
      </w:r>
      <w:r>
        <w:rPr>
          <w:rFonts w:hint="eastAsia" w:hAnsi="宋体" w:cs="Times New Roman"/>
          <w:b w:val="0"/>
          <w:bCs/>
          <w:color w:val="auto"/>
          <w:sz w:val="21"/>
          <w:szCs w:val="21"/>
          <w:highlight w:val="none"/>
          <w:lang w:val="en-US" w:eastAsia="zh-CN"/>
        </w:rPr>
        <w:t>自2023年1月1日以来投标人具有至少为2家及以上规模达100人以上的食堂提供劳务服务的经验</w:t>
      </w:r>
      <w:r>
        <w:rPr>
          <w:rFonts w:hint="eastAsia" w:hAnsi="宋体" w:cs="Times New Roman"/>
          <w:b w:val="0"/>
          <w:bCs/>
          <w:color w:val="auto"/>
          <w:sz w:val="21"/>
          <w:szCs w:val="21"/>
          <w:highlight w:val="none"/>
          <w:lang w:val="zh-CN" w:eastAsia="zh-CN"/>
        </w:rPr>
        <w:t>；</w:t>
      </w:r>
    </w:p>
    <w:p w14:paraId="5FB86F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sz w:val="21"/>
          <w:szCs w:val="21"/>
          <w:highlight w:val="none"/>
          <w:lang w:val="zh-CN"/>
        </w:rPr>
      </w:pPr>
      <w:r>
        <w:rPr>
          <w:rFonts w:hint="eastAsia" w:ascii="Times New Roman" w:hAnsi="宋体" w:eastAsia="宋体" w:cs="Times New Roman"/>
          <w:b w:val="0"/>
          <w:bCs/>
          <w:color w:val="auto"/>
          <w:sz w:val="21"/>
          <w:szCs w:val="21"/>
          <w:highlight w:val="none"/>
          <w:lang w:val="zh-CN" w:eastAsia="zh-CN"/>
        </w:rPr>
        <w:t>（</w:t>
      </w:r>
      <w:r>
        <w:rPr>
          <w:rFonts w:hint="eastAsia" w:hAnsi="宋体" w:cs="Times New Roman"/>
          <w:b w:val="0"/>
          <w:bCs/>
          <w:color w:val="auto"/>
          <w:sz w:val="21"/>
          <w:szCs w:val="21"/>
          <w:highlight w:val="none"/>
          <w:lang w:val="en-US" w:eastAsia="zh-CN"/>
        </w:rPr>
        <w:t>4</w:t>
      </w:r>
      <w:r>
        <w:rPr>
          <w:rFonts w:hint="eastAsia" w:ascii="Times New Roman" w:hAnsi="宋体" w:eastAsia="宋体" w:cs="Times New Roman"/>
          <w:b w:val="0"/>
          <w:bCs/>
          <w:color w:val="auto"/>
          <w:sz w:val="21"/>
          <w:szCs w:val="21"/>
          <w:highlight w:val="none"/>
          <w:lang w:val="en-US" w:eastAsia="zh-CN"/>
        </w:rPr>
        <w:t>）</w:t>
      </w:r>
      <w:r>
        <w:rPr>
          <w:rFonts w:hint="eastAsia" w:ascii="Times New Roman" w:hAnsi="宋体" w:eastAsia="宋体" w:cs="Times New Roman"/>
          <w:b w:val="0"/>
          <w:bCs/>
          <w:color w:val="auto"/>
          <w:sz w:val="21"/>
          <w:szCs w:val="21"/>
          <w:highlight w:val="none"/>
          <w:lang w:val="zh-CN"/>
        </w:rPr>
        <w:t>本项目不得转包（如有转包，</w:t>
      </w:r>
      <w:r>
        <w:rPr>
          <w:rFonts w:hint="eastAsia" w:ascii="Times New Roman" w:hAnsi="宋体" w:eastAsia="宋体" w:cs="Times New Roman"/>
          <w:b w:val="0"/>
          <w:bCs/>
          <w:color w:val="auto"/>
          <w:sz w:val="21"/>
          <w:szCs w:val="21"/>
          <w:highlight w:val="none"/>
          <w:lang w:val="en-US" w:eastAsia="zh-CN"/>
        </w:rPr>
        <w:t>解除</w:t>
      </w:r>
      <w:r>
        <w:rPr>
          <w:rFonts w:hint="eastAsia" w:ascii="Times New Roman" w:hAnsi="宋体" w:eastAsia="宋体" w:cs="Times New Roman"/>
          <w:b w:val="0"/>
          <w:bCs/>
          <w:color w:val="auto"/>
          <w:sz w:val="21"/>
          <w:szCs w:val="21"/>
          <w:highlight w:val="none"/>
          <w:lang w:val="zh-CN"/>
        </w:rPr>
        <w:t>合同），不接受联合体投标。</w:t>
      </w:r>
    </w:p>
    <w:p w14:paraId="33FC4FC5">
      <w:pPr>
        <w:pageBreakBefore w:val="0"/>
        <w:widowControl w:val="0"/>
        <w:numPr>
          <w:ilvl w:val="0"/>
          <w:numId w:val="0"/>
        </w:numPr>
        <w:kinsoku/>
        <w:wordWrap/>
        <w:overflowPunct/>
        <w:topLinePunct w:val="0"/>
        <w:autoSpaceDE/>
        <w:autoSpaceDN/>
        <w:bidi w:val="0"/>
        <w:spacing w:line="360" w:lineRule="auto"/>
        <w:ind w:left="-2" w:leftChars="0" w:firstLine="422" w:firstLineChars="0"/>
        <w:textAlignment w:val="auto"/>
        <w:rPr>
          <w:rFonts w:hint="eastAsia" w:ascii="Times New Roman" w:hAnsi="宋体" w:eastAsia="宋体" w:cs="Times New Roman"/>
          <w:b/>
          <w:bCs w:val="0"/>
          <w:color w:val="auto"/>
          <w:sz w:val="21"/>
          <w:szCs w:val="21"/>
          <w:highlight w:val="none"/>
          <w:lang w:val="zh-CN"/>
        </w:rPr>
      </w:pPr>
      <w:r>
        <w:rPr>
          <w:rFonts w:hint="default" w:ascii="Times New Roman" w:hAnsi="宋体" w:eastAsia="宋体" w:cs="Times New Roman"/>
          <w:b/>
          <w:bCs/>
          <w:color w:val="auto"/>
          <w:kern w:val="2"/>
          <w:sz w:val="21"/>
          <w:szCs w:val="21"/>
          <w:lang w:val="zh-CN" w:eastAsia="zh-CN" w:bidi="ar-SA"/>
        </w:rPr>
        <w:t>5.</w:t>
      </w:r>
      <w:r>
        <w:rPr>
          <w:rFonts w:hint="eastAsia" w:ascii="Times New Roman" w:hAnsi="宋体" w:eastAsia="宋体" w:cs="Times New Roman"/>
          <w:b/>
          <w:bCs w:val="0"/>
          <w:color w:val="auto"/>
          <w:sz w:val="21"/>
          <w:szCs w:val="21"/>
          <w:highlight w:val="none"/>
          <w:lang w:val="zh-CN"/>
        </w:rPr>
        <w:t>采购文件（即招标文件，下同）获取时间、地点及方式：</w:t>
      </w:r>
    </w:p>
    <w:p w14:paraId="1672D2AD">
      <w:pPr>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①时间：公告发布时间起至投标截止时间止。</w:t>
      </w:r>
    </w:p>
    <w:p w14:paraId="347C9695">
      <w:pPr>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②地点：义乌市阳光招标采购平台</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www.ywygzc.com</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、义乌产权交易网（www.ywcq.com）。</w:t>
      </w:r>
    </w:p>
    <w:p w14:paraId="463B2ED5">
      <w:pPr>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③方式：登录义乌市阳光招标采购平台账号获取或直接在招标公告下方获取。</w:t>
      </w:r>
    </w:p>
    <w:p w14:paraId="724CB33C">
      <w:pPr>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潜在供应商未在规定的期限内按照上述方式获取招标文件的，采购人、采购代理机构可以不予受理其所提出的对招标文件的质疑。</w:t>
      </w:r>
    </w:p>
    <w:p w14:paraId="52CB5141">
      <w:pPr>
        <w:pageBreakBefore w:val="0"/>
        <w:widowControl w:val="0"/>
        <w:numPr>
          <w:ilvl w:val="0"/>
          <w:numId w:val="0"/>
        </w:numPr>
        <w:kinsoku/>
        <w:wordWrap/>
        <w:overflowPunct/>
        <w:topLinePunct w:val="0"/>
        <w:autoSpaceDE/>
        <w:autoSpaceDN/>
        <w:bidi w:val="0"/>
        <w:spacing w:line="360" w:lineRule="auto"/>
        <w:ind w:left="-2" w:leftChars="0" w:firstLine="422" w:firstLineChars="0"/>
        <w:textAlignment w:val="auto"/>
        <w:rPr>
          <w:rFonts w:hint="eastAsia" w:ascii="宋体" w:hAnsi="宋体" w:cs="宋体"/>
          <w:color w:val="auto"/>
          <w:sz w:val="21"/>
          <w:szCs w:val="21"/>
          <w:highlight w:val="none"/>
        </w:rPr>
      </w:pPr>
      <w:r>
        <w:rPr>
          <w:rFonts w:hint="default" w:ascii="宋体" w:hAnsi="宋体" w:eastAsia="宋体" w:cs="宋体"/>
          <w:b/>
          <w:bCs/>
          <w:color w:val="auto"/>
          <w:kern w:val="2"/>
          <w:sz w:val="21"/>
          <w:szCs w:val="21"/>
          <w:lang w:val="en-US" w:eastAsia="zh-CN" w:bidi="ar-SA"/>
        </w:rPr>
        <w:t>6.</w:t>
      </w:r>
      <w:r>
        <w:rPr>
          <w:rFonts w:hint="eastAsia" w:ascii="Times New Roman" w:hAnsi="宋体" w:eastAsia="宋体" w:cs="Times New Roman"/>
          <w:b/>
          <w:bCs w:val="0"/>
          <w:color w:val="auto"/>
          <w:sz w:val="21"/>
          <w:szCs w:val="21"/>
          <w:highlight w:val="none"/>
          <w:lang w:val="zh-CN"/>
        </w:rPr>
        <w:t>技术答疑：</w:t>
      </w:r>
      <w:r>
        <w:rPr>
          <w:rFonts w:hint="eastAsia" w:ascii="宋体" w:hAnsi="宋体" w:cs="宋体"/>
          <w:color w:val="auto"/>
          <w:sz w:val="21"/>
          <w:szCs w:val="21"/>
          <w:highlight w:val="none"/>
        </w:rPr>
        <w:t>供应商认为采购文件使自己的权益受到损害的，请于投标截止时间</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日前以书面形式向采购人和采购代理机构提出质疑。质疑以书面方式分别提交至</w:t>
      </w:r>
      <w:r>
        <w:rPr>
          <w:rFonts w:hint="eastAsia" w:ascii="宋体" w:hAnsi="宋体" w:cs="宋体"/>
          <w:color w:val="auto"/>
          <w:sz w:val="21"/>
          <w:szCs w:val="21"/>
          <w:highlight w:val="none"/>
          <w:lang w:eastAsia="zh-CN"/>
        </w:rPr>
        <w:t>浙江中国小商品城集团股份有限公司银都雅悦酒店：许先生（</w:t>
      </w:r>
      <w:r>
        <w:rPr>
          <w:rFonts w:hint="eastAsia" w:ascii="宋体" w:hAnsi="宋体" w:cs="宋体"/>
          <w:color w:val="auto"/>
          <w:sz w:val="21"/>
          <w:szCs w:val="21"/>
          <w:highlight w:val="none"/>
          <w:lang w:val="en-US" w:eastAsia="zh-CN"/>
        </w:rPr>
        <w:t>15057952895</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和</w:t>
      </w:r>
      <w:r>
        <w:rPr>
          <w:rFonts w:hint="eastAsia" w:ascii="宋体" w:hAnsi="宋体" w:cs="宋体"/>
          <w:color w:val="auto"/>
          <w:sz w:val="21"/>
          <w:szCs w:val="21"/>
          <w:highlight w:val="none"/>
          <w:lang w:eastAsia="zh-CN"/>
        </w:rPr>
        <w:t>金华义产拍卖有限公司</w:t>
      </w:r>
      <w:r>
        <w:rPr>
          <w:rFonts w:hint="eastAsia" w:ascii="宋体" w:hAnsi="宋体" w:cs="宋体"/>
          <w:color w:val="auto"/>
          <w:sz w:val="21"/>
          <w:szCs w:val="21"/>
          <w:highlight w:val="none"/>
        </w:rPr>
        <w:t>：王小姐（0579-89903039，ywcqztb001@ywcq.com），并致电采购代理机构确认。书面文件邮寄地址：义乌市北苑街道望道路300号405</w:t>
      </w:r>
      <w:r>
        <w:rPr>
          <w:rFonts w:hint="eastAsia" w:ascii="宋体" w:hAnsi="宋体" w:cs="宋体"/>
          <w:color w:val="auto"/>
          <w:sz w:val="21"/>
          <w:szCs w:val="21"/>
          <w:highlight w:val="none"/>
          <w:lang w:val="en-US" w:eastAsia="zh-CN"/>
        </w:rPr>
        <w:t>1。</w:t>
      </w:r>
    </w:p>
    <w:p w14:paraId="69963116">
      <w:pPr>
        <w:pageBreakBefore w:val="0"/>
        <w:widowControl w:val="0"/>
        <w:numPr>
          <w:ilvl w:val="0"/>
          <w:numId w:val="0"/>
        </w:numPr>
        <w:kinsoku/>
        <w:wordWrap/>
        <w:overflowPunct/>
        <w:topLinePunct w:val="0"/>
        <w:autoSpaceDE/>
        <w:autoSpaceDN/>
        <w:bidi w:val="0"/>
        <w:spacing w:line="360" w:lineRule="auto"/>
        <w:ind w:left="-2" w:leftChars="0" w:firstLine="422" w:firstLineChars="0"/>
        <w:textAlignment w:val="auto"/>
        <w:rPr>
          <w:rFonts w:hint="eastAsia" w:ascii="Times New Roman" w:hAnsi="宋体" w:eastAsia="宋体" w:cs="Times New Roman"/>
          <w:b/>
          <w:bCs w:val="0"/>
          <w:color w:val="auto"/>
          <w:sz w:val="21"/>
          <w:szCs w:val="21"/>
          <w:highlight w:val="none"/>
          <w:lang w:val="zh-CN"/>
        </w:rPr>
      </w:pPr>
      <w:bookmarkStart w:id="2" w:name="_Toc4701"/>
      <w:r>
        <w:rPr>
          <w:rFonts w:hint="default" w:ascii="Times New Roman" w:hAnsi="宋体" w:eastAsia="宋体" w:cs="Times New Roman"/>
          <w:b/>
          <w:bCs/>
          <w:color w:val="auto"/>
          <w:kern w:val="2"/>
          <w:sz w:val="21"/>
          <w:szCs w:val="21"/>
          <w:lang w:val="zh-CN" w:eastAsia="zh-CN" w:bidi="ar-SA"/>
        </w:rPr>
        <w:t>7.</w:t>
      </w:r>
      <w:r>
        <w:rPr>
          <w:rFonts w:hint="eastAsia" w:ascii="Times New Roman" w:hAnsi="宋体" w:eastAsia="宋体" w:cs="Times New Roman"/>
          <w:b/>
          <w:bCs w:val="0"/>
          <w:color w:val="auto"/>
          <w:sz w:val="21"/>
          <w:szCs w:val="21"/>
          <w:highlight w:val="none"/>
          <w:lang w:val="zh-CN"/>
        </w:rPr>
        <w:t>投标截止时间及地点：</w:t>
      </w:r>
      <w:bookmarkEnd w:id="2"/>
    </w:p>
    <w:p w14:paraId="7111E57D">
      <w:pPr>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提交投标文件截止时间：</w:t>
      </w:r>
      <w:r>
        <w:rPr>
          <w:rFonts w:hint="eastAsia" w:ascii="宋体" w:hAnsi="宋体" w:cs="宋体"/>
          <w:color w:val="auto"/>
          <w:sz w:val="21"/>
          <w:szCs w:val="21"/>
          <w:highlight w:val="none"/>
          <w:lang w:val="en-US" w:eastAsia="zh-CN"/>
        </w:rPr>
        <w:t>2026年2月5日9:00</w:t>
      </w:r>
      <w:r>
        <w:rPr>
          <w:rFonts w:hint="eastAsia" w:ascii="宋体" w:hAnsi="宋体" w:eastAsia="宋体" w:cs="宋体"/>
          <w:color w:val="auto"/>
          <w:sz w:val="21"/>
          <w:szCs w:val="21"/>
          <w:highlight w:val="none"/>
        </w:rPr>
        <w:t>（北京时间）</w:t>
      </w:r>
    </w:p>
    <w:p w14:paraId="139485B5">
      <w:pPr>
        <w:pageBreakBefore w:val="0"/>
        <w:widowControl w:val="0"/>
        <w:kinsoku/>
        <w:wordWrap/>
        <w:overflowPunct/>
        <w:topLinePunct w:val="0"/>
        <w:autoSpaceDE/>
        <w:autoSpaceDN/>
        <w:bidi w:val="0"/>
        <w:snapToGrid w:val="0"/>
        <w:spacing w:line="360" w:lineRule="auto"/>
        <w:ind w:firstLine="411" w:firstLineChars="196"/>
        <w:textAlignment w:val="auto"/>
        <w:rPr>
          <w:rFonts w:ascii="宋体" w:cs="Courier New"/>
          <w:color w:val="auto"/>
          <w:sz w:val="21"/>
          <w:szCs w:val="21"/>
          <w:highlight w:val="none"/>
        </w:rPr>
      </w:pPr>
      <w:r>
        <w:rPr>
          <w:rFonts w:hint="eastAsia" w:ascii="宋体" w:hAnsi="宋体" w:cs="Courier New"/>
          <w:color w:val="auto"/>
          <w:sz w:val="21"/>
          <w:szCs w:val="21"/>
          <w:highlight w:val="none"/>
          <w:lang w:eastAsia="zh-CN"/>
        </w:rPr>
        <w:t>（</w:t>
      </w:r>
      <w:r>
        <w:rPr>
          <w:rFonts w:hint="eastAsia" w:ascii="宋体" w:hAnsi="宋体" w:cs="Courier New"/>
          <w:color w:val="auto"/>
          <w:sz w:val="21"/>
          <w:szCs w:val="21"/>
          <w:highlight w:val="none"/>
          <w:lang w:val="en-US" w:eastAsia="zh-CN"/>
        </w:rPr>
        <w:t>2）</w:t>
      </w:r>
      <w:r>
        <w:rPr>
          <w:rFonts w:hint="eastAsia" w:ascii="宋体" w:hAnsi="宋体" w:cs="Courier New"/>
          <w:color w:val="auto"/>
          <w:sz w:val="21"/>
          <w:szCs w:val="21"/>
          <w:highlight w:val="none"/>
        </w:rPr>
        <w:t>投标地点：</w:t>
      </w:r>
      <w:r>
        <w:rPr>
          <w:rFonts w:hint="eastAsia" w:ascii="宋体" w:hAnsi="宋体" w:cs="Courier New"/>
          <w:iCs/>
          <w:color w:val="auto"/>
          <w:sz w:val="21"/>
          <w:szCs w:val="21"/>
          <w:highlight w:val="none"/>
        </w:rPr>
        <w:t>在谷歌或IE浏览器上，</w:t>
      </w:r>
      <w:r>
        <w:rPr>
          <w:rFonts w:hint="eastAsia" w:ascii="宋体" w:hAnsi="宋体" w:cs="Courier New"/>
          <w:color w:val="auto"/>
          <w:sz w:val="21"/>
          <w:szCs w:val="21"/>
          <w:highlight w:val="none"/>
        </w:rPr>
        <w:t>用账号登录义乌市阳光招标采购平台（www.ywygzc.com），上传电子加密标书至“义乌市阳光招标采购平台”，逾期或未上传成功的将导致无法投标或投标无效。</w:t>
      </w:r>
    </w:p>
    <w:p w14:paraId="50D1B390">
      <w:pPr>
        <w:pageBreakBefore w:val="0"/>
        <w:widowControl w:val="0"/>
        <w:kinsoku/>
        <w:wordWrap/>
        <w:overflowPunct/>
        <w:topLinePunct w:val="0"/>
        <w:autoSpaceDE/>
        <w:autoSpaceDN/>
        <w:bidi w:val="0"/>
        <w:snapToGrid w:val="0"/>
        <w:spacing w:line="360" w:lineRule="auto"/>
        <w:ind w:firstLine="411" w:firstLineChars="196"/>
        <w:textAlignment w:val="auto"/>
        <w:rPr>
          <w:rFonts w:ascii="宋体" w:cs="Courier New"/>
          <w:color w:val="auto"/>
          <w:sz w:val="21"/>
          <w:szCs w:val="21"/>
          <w:highlight w:val="none"/>
        </w:rPr>
      </w:pPr>
      <w:r>
        <w:rPr>
          <w:rFonts w:hint="eastAsia" w:ascii="宋体" w:hAnsi="宋体" w:cs="Courier New"/>
          <w:color w:val="auto"/>
          <w:sz w:val="21"/>
          <w:szCs w:val="21"/>
          <w:highlight w:val="none"/>
          <w:lang w:eastAsia="zh-CN"/>
        </w:rPr>
        <w:t>（</w:t>
      </w:r>
      <w:r>
        <w:rPr>
          <w:rFonts w:hint="eastAsia" w:ascii="宋体" w:hAnsi="宋体" w:cs="Courier New"/>
          <w:color w:val="auto"/>
          <w:sz w:val="21"/>
          <w:szCs w:val="21"/>
          <w:highlight w:val="none"/>
          <w:lang w:val="en-US" w:eastAsia="zh-CN"/>
        </w:rPr>
        <w:t>3）</w:t>
      </w:r>
      <w:r>
        <w:rPr>
          <w:rFonts w:hint="eastAsia" w:ascii="宋体" w:hAnsi="宋体" w:cs="Courier New"/>
          <w:color w:val="auto"/>
          <w:sz w:val="21"/>
          <w:szCs w:val="21"/>
          <w:highlight w:val="none"/>
        </w:rPr>
        <w:t>开标时间：</w:t>
      </w:r>
      <w:r>
        <w:rPr>
          <w:rFonts w:hint="eastAsia" w:ascii="宋体" w:hAnsi="宋体" w:cs="宋体"/>
          <w:color w:val="auto"/>
          <w:sz w:val="21"/>
          <w:szCs w:val="21"/>
          <w:highlight w:val="none"/>
          <w:lang w:val="en-US" w:eastAsia="zh-CN"/>
        </w:rPr>
        <w:t>2026年2月5日9:00</w:t>
      </w:r>
    </w:p>
    <w:p w14:paraId="1F95EA98">
      <w:pPr>
        <w:pageBreakBefore w:val="0"/>
        <w:widowControl w:val="0"/>
        <w:kinsoku/>
        <w:wordWrap/>
        <w:overflowPunct/>
        <w:topLinePunct w:val="0"/>
        <w:autoSpaceDE/>
        <w:autoSpaceDN/>
        <w:bidi w:val="0"/>
        <w:snapToGrid w:val="0"/>
        <w:spacing w:line="360" w:lineRule="auto"/>
        <w:ind w:firstLine="411" w:firstLineChars="196"/>
        <w:textAlignment w:val="auto"/>
        <w:rPr>
          <w:rFonts w:hint="eastAsia" w:ascii="宋体" w:hAnsi="宋体" w:cs="Courier New"/>
          <w:color w:val="auto"/>
          <w:sz w:val="21"/>
          <w:szCs w:val="21"/>
          <w:highlight w:val="none"/>
        </w:rPr>
      </w:pPr>
      <w:r>
        <w:rPr>
          <w:rFonts w:hint="eastAsia" w:ascii="宋体" w:hAnsi="宋体" w:cs="Courier New"/>
          <w:color w:val="auto"/>
          <w:sz w:val="21"/>
          <w:szCs w:val="21"/>
          <w:highlight w:val="none"/>
          <w:lang w:eastAsia="zh-CN"/>
        </w:rPr>
        <w:t>（</w:t>
      </w:r>
      <w:r>
        <w:rPr>
          <w:rFonts w:hint="eastAsia" w:ascii="宋体" w:hAnsi="宋体" w:cs="Courier New"/>
          <w:color w:val="auto"/>
          <w:sz w:val="21"/>
          <w:szCs w:val="21"/>
          <w:highlight w:val="none"/>
          <w:lang w:val="en-US" w:eastAsia="zh-CN"/>
        </w:rPr>
        <w:t>4）</w:t>
      </w:r>
      <w:r>
        <w:rPr>
          <w:rFonts w:hint="eastAsia" w:ascii="宋体" w:hAnsi="宋体" w:cs="Courier New"/>
          <w:color w:val="auto"/>
          <w:sz w:val="21"/>
          <w:szCs w:val="21"/>
          <w:highlight w:val="none"/>
        </w:rPr>
        <w:t>开标地点：“义乌市阳光招标采购平台”（www.ywygzc.com）</w:t>
      </w:r>
    </w:p>
    <w:p w14:paraId="0215B744">
      <w:pPr>
        <w:pageBreakBefore w:val="0"/>
        <w:widowControl w:val="0"/>
        <w:numPr>
          <w:ilvl w:val="0"/>
          <w:numId w:val="0"/>
        </w:numPr>
        <w:kinsoku/>
        <w:wordWrap/>
        <w:overflowPunct/>
        <w:topLinePunct w:val="0"/>
        <w:autoSpaceDE/>
        <w:autoSpaceDN/>
        <w:bidi w:val="0"/>
        <w:spacing w:line="360" w:lineRule="auto"/>
        <w:ind w:left="-2" w:leftChars="0" w:firstLine="422" w:firstLineChars="0"/>
        <w:textAlignment w:val="auto"/>
        <w:rPr>
          <w:rFonts w:hint="eastAsia" w:ascii="Times New Roman" w:hAnsi="宋体" w:eastAsia="宋体" w:cs="Times New Roman"/>
          <w:b/>
          <w:bCs w:val="0"/>
          <w:color w:val="auto"/>
          <w:sz w:val="21"/>
          <w:szCs w:val="21"/>
          <w:highlight w:val="none"/>
          <w:lang w:val="zh-CN"/>
        </w:rPr>
      </w:pPr>
      <w:r>
        <w:rPr>
          <w:rFonts w:hint="default" w:ascii="Times New Roman" w:hAnsi="宋体" w:eastAsia="宋体" w:cs="Times New Roman"/>
          <w:b/>
          <w:bCs/>
          <w:color w:val="auto"/>
          <w:kern w:val="2"/>
          <w:sz w:val="21"/>
          <w:szCs w:val="21"/>
          <w:lang w:val="zh-CN" w:eastAsia="zh-CN" w:bidi="ar-SA"/>
        </w:rPr>
        <w:t>8.</w:t>
      </w:r>
      <w:r>
        <w:rPr>
          <w:rFonts w:hint="eastAsia" w:ascii="Times New Roman" w:hAnsi="宋体" w:eastAsia="宋体" w:cs="Times New Roman"/>
          <w:b/>
          <w:bCs w:val="0"/>
          <w:color w:val="auto"/>
          <w:sz w:val="21"/>
          <w:szCs w:val="21"/>
          <w:highlight w:val="none"/>
          <w:lang w:val="zh-CN"/>
        </w:rPr>
        <w:t>投标与开标注意事项：</w:t>
      </w:r>
    </w:p>
    <w:p w14:paraId="15F2DE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sz w:val="21"/>
          <w:szCs w:val="21"/>
          <w:highlight w:val="none"/>
          <w:lang w:val="zh-CN"/>
        </w:rPr>
      </w:pPr>
      <w:r>
        <w:rPr>
          <w:rFonts w:hint="eastAsia" w:ascii="Times New Roman" w:hAnsi="宋体" w:eastAsia="宋体" w:cs="Times New Roman"/>
          <w:b w:val="0"/>
          <w:bCs/>
          <w:color w:val="auto"/>
          <w:sz w:val="21"/>
          <w:szCs w:val="21"/>
          <w:highlight w:val="none"/>
          <w:lang w:val="zh-CN"/>
        </w:rPr>
        <w:t>①标前准备：本项目通过“义乌市阳光招标采购平台”实行在线投标（电子投标），各供应商在投标前应确保成为义乌市阳光招标采购平台正式注册入库供应商，并完成CA数字证书办理。【供应商入库办理流程：义乌市阳光招标采购平台</w:t>
      </w:r>
      <w:r>
        <w:rPr>
          <w:rFonts w:hint="eastAsia" w:hAnsi="宋体" w:cs="Times New Roman"/>
          <w:b w:val="0"/>
          <w:bCs/>
          <w:color w:val="auto"/>
          <w:sz w:val="21"/>
          <w:szCs w:val="21"/>
          <w:highlight w:val="none"/>
          <w:lang w:val="zh-CN"/>
        </w:rPr>
        <w:t>－</w:t>
      </w:r>
      <w:r>
        <w:rPr>
          <w:rFonts w:hint="eastAsia" w:ascii="Times New Roman" w:hAnsi="宋体" w:eastAsia="宋体" w:cs="Times New Roman"/>
          <w:b w:val="0"/>
          <w:bCs/>
          <w:color w:val="auto"/>
          <w:sz w:val="21"/>
          <w:szCs w:val="21"/>
          <w:highlight w:val="none"/>
          <w:lang w:val="zh-CN"/>
        </w:rPr>
        <w:t>下载中心</w:t>
      </w:r>
      <w:r>
        <w:rPr>
          <w:rFonts w:hint="eastAsia" w:hAnsi="宋体" w:cs="Times New Roman"/>
          <w:b w:val="0"/>
          <w:bCs/>
          <w:color w:val="auto"/>
          <w:sz w:val="21"/>
          <w:szCs w:val="21"/>
          <w:highlight w:val="none"/>
          <w:lang w:val="zh-CN"/>
        </w:rPr>
        <w:t>－</w:t>
      </w:r>
      <w:r>
        <w:rPr>
          <w:rFonts w:hint="eastAsia" w:ascii="Times New Roman" w:hAnsi="宋体" w:eastAsia="宋体" w:cs="Times New Roman"/>
          <w:b w:val="0"/>
          <w:bCs/>
          <w:color w:val="auto"/>
          <w:sz w:val="21"/>
          <w:szCs w:val="21"/>
          <w:highlight w:val="none"/>
          <w:lang w:val="zh-CN"/>
        </w:rPr>
        <w:t>义乌市阳光招标采购平台供应商入库申报操作手册；CA办理操作流程：义乌市阳光招标采购平台</w:t>
      </w:r>
      <w:r>
        <w:rPr>
          <w:rFonts w:hint="eastAsia" w:hAnsi="宋体" w:cs="Times New Roman"/>
          <w:b w:val="0"/>
          <w:bCs/>
          <w:color w:val="auto"/>
          <w:sz w:val="21"/>
          <w:szCs w:val="21"/>
          <w:highlight w:val="none"/>
          <w:lang w:val="zh-CN"/>
        </w:rPr>
        <w:t>－</w:t>
      </w:r>
      <w:r>
        <w:rPr>
          <w:rFonts w:hint="eastAsia" w:ascii="Times New Roman" w:hAnsi="宋体" w:eastAsia="宋体" w:cs="Times New Roman"/>
          <w:b w:val="0"/>
          <w:bCs/>
          <w:color w:val="auto"/>
          <w:sz w:val="21"/>
          <w:szCs w:val="21"/>
          <w:highlight w:val="none"/>
          <w:lang w:val="zh-CN"/>
        </w:rPr>
        <w:t>办事指南-CA在线办理”（目前“义乌市阳光招标采购平台”仅支持天谷CA锁）】。因未注册入库、未办理CA数字证书等原因造成无法投标或投标失败等后果由供应商自行承担。</w:t>
      </w:r>
    </w:p>
    <w:p w14:paraId="769F4D53">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sz w:val="21"/>
          <w:szCs w:val="21"/>
          <w:highlight w:val="none"/>
          <w:lang w:val="zh-CN"/>
        </w:rPr>
      </w:pPr>
      <w:r>
        <w:rPr>
          <w:rFonts w:hint="eastAsia" w:ascii="Times New Roman" w:hAnsi="宋体" w:eastAsia="宋体" w:cs="Times New Roman"/>
          <w:b w:val="0"/>
          <w:bCs/>
          <w:color w:val="auto"/>
          <w:sz w:val="21"/>
          <w:szCs w:val="21"/>
          <w:highlight w:val="none"/>
          <w:lang w:val="zh-CN"/>
        </w:rPr>
        <w:t>②投标文件制作：投标人通过“义乌市阳光招标采购平台”电子投标工具制作投标文件，电子投标工具请供应商自行前往https://download.bqpoint.com/?SourceFrom=Ztb&amp;ZtbSoftXiaQuCode=112203&amp;ZtbSoftType=tballinclusive&amp;SoftGuid=4995a22f-7707-4e9a-bdcd-b81f2f25e809&amp;RootGuid=e9eef476-f8a3-4999-ac46-4f8b3d7857da&amp;softtypecode=03获取。投标文件制作具体流程详见“义乌市阳光招标采购平台</w:t>
      </w:r>
      <w:r>
        <w:rPr>
          <w:rFonts w:hint="eastAsia" w:hAnsi="宋体" w:cs="Times New Roman"/>
          <w:b w:val="0"/>
          <w:bCs/>
          <w:color w:val="auto"/>
          <w:sz w:val="21"/>
          <w:szCs w:val="21"/>
          <w:highlight w:val="none"/>
          <w:lang w:val="zh-CN"/>
        </w:rPr>
        <w:t>－</w:t>
      </w:r>
      <w:r>
        <w:rPr>
          <w:rFonts w:hint="eastAsia" w:ascii="Times New Roman" w:hAnsi="宋体" w:eastAsia="宋体" w:cs="Times New Roman"/>
          <w:b w:val="0"/>
          <w:bCs/>
          <w:color w:val="auto"/>
          <w:sz w:val="21"/>
          <w:szCs w:val="21"/>
          <w:highlight w:val="none"/>
          <w:lang w:val="zh-CN"/>
        </w:rPr>
        <w:t>下载中心</w:t>
      </w:r>
      <w:r>
        <w:rPr>
          <w:rFonts w:hint="eastAsia" w:hAnsi="宋体" w:cs="Times New Roman"/>
          <w:b w:val="0"/>
          <w:bCs/>
          <w:color w:val="auto"/>
          <w:sz w:val="21"/>
          <w:szCs w:val="21"/>
          <w:highlight w:val="none"/>
          <w:lang w:val="zh-CN"/>
        </w:rPr>
        <w:t>－</w:t>
      </w:r>
      <w:r>
        <w:rPr>
          <w:rFonts w:hint="eastAsia" w:ascii="Times New Roman" w:hAnsi="宋体" w:eastAsia="宋体" w:cs="Times New Roman"/>
          <w:b w:val="0"/>
          <w:bCs/>
          <w:color w:val="auto"/>
          <w:sz w:val="21"/>
          <w:szCs w:val="21"/>
          <w:highlight w:val="none"/>
          <w:lang w:val="zh-CN"/>
        </w:rPr>
        <w:t>义乌市阳光招标采购平台投标人操作手册”以获取最新操作指南。</w:t>
      </w:r>
    </w:p>
    <w:p w14:paraId="39CE3A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sz w:val="21"/>
          <w:szCs w:val="21"/>
          <w:highlight w:val="none"/>
          <w:lang w:val="zh-CN"/>
        </w:rPr>
      </w:pPr>
      <w:r>
        <w:rPr>
          <w:rFonts w:hint="eastAsia" w:ascii="Times New Roman" w:hAnsi="宋体" w:eastAsia="宋体" w:cs="Times New Roman"/>
          <w:b w:val="0"/>
          <w:bCs/>
          <w:color w:val="auto"/>
          <w:sz w:val="21"/>
          <w:szCs w:val="21"/>
          <w:highlight w:val="none"/>
          <w:lang w:val="zh-CN"/>
        </w:rPr>
        <w:t>③投标文件上传：投标人应在投标截止时间（</w:t>
      </w:r>
      <w:r>
        <w:rPr>
          <w:rFonts w:hint="eastAsia" w:ascii="宋体" w:hAnsi="宋体" w:cs="宋体"/>
          <w:color w:val="auto"/>
          <w:sz w:val="21"/>
          <w:szCs w:val="21"/>
          <w:highlight w:val="none"/>
          <w:lang w:val="en-US" w:eastAsia="zh-CN"/>
        </w:rPr>
        <w:t>2026年2月5日9:00</w:t>
      </w:r>
      <w:r>
        <w:rPr>
          <w:rFonts w:hint="eastAsia" w:ascii="Times New Roman" w:hAnsi="宋体" w:eastAsia="宋体" w:cs="Times New Roman"/>
          <w:b w:val="0"/>
          <w:bCs/>
          <w:color w:val="auto"/>
          <w:sz w:val="21"/>
          <w:szCs w:val="21"/>
          <w:highlight w:val="none"/>
          <w:lang w:val="zh-CN"/>
        </w:rPr>
        <w:t>）之前上传投标文件。</w:t>
      </w:r>
    </w:p>
    <w:p w14:paraId="0067C69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sz w:val="21"/>
          <w:szCs w:val="21"/>
          <w:highlight w:val="none"/>
          <w:lang w:val="zh-CN"/>
        </w:rPr>
      </w:pPr>
      <w:r>
        <w:rPr>
          <w:rFonts w:hint="eastAsia" w:ascii="Times New Roman" w:hAnsi="宋体" w:eastAsia="宋体" w:cs="Times New Roman"/>
          <w:b w:val="0"/>
          <w:bCs/>
          <w:color w:val="auto"/>
          <w:sz w:val="21"/>
          <w:szCs w:val="21"/>
          <w:highlight w:val="none"/>
          <w:lang w:val="zh-CN"/>
        </w:rPr>
        <w:t>④开标与投标文件解密：本项目采用不见面开标方式，供应商无需到开标现场，但应准时参加线上开标。开标时间后代理机构公布名单并开启解密。开启解密后的30分钟内，供应商应当登录“义乌市阳光招标采购平台”，用“开标签到解密”功能或者登录“不见面开标大厅”解密投标文件。</w:t>
      </w:r>
    </w:p>
    <w:p w14:paraId="0D75E7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sz w:val="21"/>
          <w:szCs w:val="21"/>
          <w:highlight w:val="none"/>
          <w:lang w:val="zh-CN"/>
        </w:rPr>
      </w:pPr>
      <w:r>
        <w:rPr>
          <w:rFonts w:hint="eastAsia" w:ascii="Times New Roman" w:hAnsi="宋体" w:eastAsia="宋体" w:cs="Times New Roman"/>
          <w:b w:val="0"/>
          <w:bCs/>
          <w:color w:val="auto"/>
          <w:sz w:val="21"/>
          <w:szCs w:val="21"/>
          <w:highlight w:val="none"/>
          <w:lang w:val="zh-CN"/>
        </w:rPr>
        <w:t>请投标人开标前检查电脑和CA锁是否正常（确保CA锁在有效期内且CA锁介质无破损）。若收到开启解密通知后，无法解密的，可能是以下问题造成，请在收到开启解密通知15分钟内及时联系平台或招标代理进行处理，避免造成超时。</w:t>
      </w:r>
    </w:p>
    <w:p w14:paraId="782C26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sz w:val="21"/>
          <w:szCs w:val="21"/>
          <w:highlight w:val="none"/>
          <w:lang w:val="en-US" w:eastAsia="zh-CN"/>
        </w:rPr>
      </w:pPr>
      <w:r>
        <w:rPr>
          <w:rFonts w:hint="eastAsia" w:ascii="Times New Roman" w:hAnsi="宋体" w:eastAsia="宋体" w:cs="Times New Roman"/>
          <w:b w:val="0"/>
          <w:bCs/>
          <w:color w:val="auto"/>
          <w:sz w:val="21"/>
          <w:szCs w:val="21"/>
          <w:highlight w:val="none"/>
          <w:lang w:val="zh-CN"/>
        </w:rPr>
        <w:t>（1）该电脑未安装CA驱动，无法读取CA锁——重新下载安装驱动</w:t>
      </w:r>
      <w:r>
        <w:rPr>
          <w:rFonts w:hint="eastAsia" w:hAnsi="宋体" w:cs="Times New Roman"/>
          <w:b w:val="0"/>
          <w:bCs/>
          <w:color w:val="auto"/>
          <w:sz w:val="21"/>
          <w:szCs w:val="21"/>
          <w:highlight w:val="none"/>
          <w:lang w:val="en-US" w:eastAsia="zh-CN"/>
        </w:rPr>
        <w:t>；</w:t>
      </w:r>
    </w:p>
    <w:p w14:paraId="183720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sz w:val="21"/>
          <w:szCs w:val="21"/>
          <w:highlight w:val="none"/>
          <w:lang w:val="en-US" w:eastAsia="zh-CN"/>
        </w:rPr>
      </w:pPr>
      <w:r>
        <w:rPr>
          <w:rFonts w:hint="eastAsia" w:ascii="Times New Roman" w:hAnsi="宋体" w:eastAsia="宋体" w:cs="Times New Roman"/>
          <w:b w:val="0"/>
          <w:bCs/>
          <w:color w:val="auto"/>
          <w:sz w:val="21"/>
          <w:szCs w:val="21"/>
          <w:highlight w:val="none"/>
          <w:lang w:val="zh-CN"/>
        </w:rPr>
        <w:t>（2）电脑长时间未关机应用程序未响应，导致无法读取CA锁——重启电脑或重新安装驱动</w:t>
      </w:r>
      <w:r>
        <w:rPr>
          <w:rFonts w:hint="eastAsia" w:hAnsi="宋体" w:cs="Times New Roman"/>
          <w:b w:val="0"/>
          <w:bCs/>
          <w:color w:val="auto"/>
          <w:sz w:val="21"/>
          <w:szCs w:val="21"/>
          <w:highlight w:val="none"/>
          <w:lang w:val="en-US" w:eastAsia="zh-CN"/>
        </w:rPr>
        <w:t>；</w:t>
      </w:r>
    </w:p>
    <w:p w14:paraId="2317F3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sz w:val="21"/>
          <w:szCs w:val="21"/>
          <w:highlight w:val="none"/>
          <w:lang w:val="en-US" w:eastAsia="zh-CN"/>
        </w:rPr>
      </w:pPr>
      <w:r>
        <w:rPr>
          <w:rFonts w:hint="eastAsia" w:ascii="Times New Roman" w:hAnsi="宋体" w:eastAsia="宋体" w:cs="Times New Roman"/>
          <w:b w:val="0"/>
          <w:bCs/>
          <w:color w:val="auto"/>
          <w:sz w:val="21"/>
          <w:szCs w:val="21"/>
          <w:highlight w:val="none"/>
          <w:lang w:val="zh-CN"/>
        </w:rPr>
        <w:t>（3）浏览器版本过低导致无法识别——更换</w:t>
      </w:r>
      <w:r>
        <w:rPr>
          <w:rFonts w:hint="eastAsia" w:hAnsi="宋体" w:cs="Times New Roman"/>
          <w:b w:val="0"/>
          <w:bCs/>
          <w:color w:val="auto"/>
          <w:sz w:val="21"/>
          <w:szCs w:val="21"/>
          <w:highlight w:val="none"/>
          <w:lang w:val="zh-CN"/>
        </w:rPr>
        <w:t>Edge</w:t>
      </w:r>
      <w:r>
        <w:rPr>
          <w:rFonts w:hint="eastAsia" w:ascii="Times New Roman" w:hAnsi="宋体" w:eastAsia="宋体" w:cs="Times New Roman"/>
          <w:b w:val="0"/>
          <w:bCs/>
          <w:color w:val="auto"/>
          <w:sz w:val="21"/>
          <w:szCs w:val="21"/>
          <w:highlight w:val="none"/>
          <w:lang w:val="zh-CN"/>
        </w:rPr>
        <w:t>、谷歌浏览器</w:t>
      </w:r>
      <w:r>
        <w:rPr>
          <w:rFonts w:hint="eastAsia" w:hAnsi="宋体" w:cs="Times New Roman"/>
          <w:b w:val="0"/>
          <w:bCs/>
          <w:color w:val="auto"/>
          <w:sz w:val="21"/>
          <w:szCs w:val="21"/>
          <w:highlight w:val="none"/>
          <w:lang w:val="en-US" w:eastAsia="zh-CN"/>
        </w:rPr>
        <w:t>；</w:t>
      </w:r>
    </w:p>
    <w:p w14:paraId="17EE85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sz w:val="21"/>
          <w:szCs w:val="21"/>
          <w:highlight w:val="none"/>
          <w:lang w:val="en-US" w:eastAsia="zh-CN"/>
        </w:rPr>
      </w:pPr>
      <w:r>
        <w:rPr>
          <w:rFonts w:hint="eastAsia" w:ascii="Times New Roman" w:hAnsi="宋体" w:eastAsia="宋体" w:cs="Times New Roman"/>
          <w:b w:val="0"/>
          <w:bCs/>
          <w:color w:val="auto"/>
          <w:sz w:val="21"/>
          <w:szCs w:val="21"/>
          <w:highlight w:val="none"/>
          <w:lang w:val="zh-CN"/>
        </w:rPr>
        <w:t>（4）密码多次输入错误导致无法解密——打开CA工具进行检测密码是否正确</w:t>
      </w:r>
      <w:r>
        <w:rPr>
          <w:rFonts w:hint="eastAsia" w:hAnsi="宋体" w:cs="Times New Roman"/>
          <w:b w:val="0"/>
          <w:bCs/>
          <w:color w:val="auto"/>
          <w:sz w:val="21"/>
          <w:szCs w:val="21"/>
          <w:highlight w:val="none"/>
          <w:lang w:val="en-US" w:eastAsia="zh-CN"/>
        </w:rPr>
        <w:t>；</w:t>
      </w:r>
    </w:p>
    <w:p w14:paraId="0FD19D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sz w:val="21"/>
          <w:szCs w:val="21"/>
          <w:highlight w:val="none"/>
          <w:lang w:val="en-US" w:eastAsia="zh-CN"/>
        </w:rPr>
      </w:pPr>
      <w:r>
        <w:rPr>
          <w:rFonts w:hint="eastAsia" w:ascii="Times New Roman" w:hAnsi="宋体" w:eastAsia="宋体" w:cs="Times New Roman"/>
          <w:b w:val="0"/>
          <w:bCs/>
          <w:color w:val="auto"/>
          <w:sz w:val="21"/>
          <w:szCs w:val="21"/>
          <w:highlight w:val="none"/>
          <w:lang w:val="zh-CN"/>
        </w:rPr>
        <w:t>（5）因杀毒软件检测导致无法识别CA锁——关闭杀毒软件</w:t>
      </w:r>
      <w:r>
        <w:rPr>
          <w:rFonts w:hint="eastAsia" w:hAnsi="宋体" w:cs="Times New Roman"/>
          <w:b w:val="0"/>
          <w:bCs/>
          <w:color w:val="auto"/>
          <w:sz w:val="21"/>
          <w:szCs w:val="21"/>
          <w:highlight w:val="none"/>
          <w:lang w:val="en-US" w:eastAsia="zh-CN"/>
        </w:rPr>
        <w:t>；</w:t>
      </w:r>
    </w:p>
    <w:p w14:paraId="169B70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sz w:val="21"/>
          <w:szCs w:val="21"/>
          <w:highlight w:val="none"/>
          <w:lang w:val="zh-CN"/>
        </w:rPr>
      </w:pPr>
      <w:r>
        <w:rPr>
          <w:rFonts w:hint="eastAsia" w:ascii="Times New Roman" w:hAnsi="宋体" w:eastAsia="宋体" w:cs="Times New Roman"/>
          <w:b w:val="0"/>
          <w:bCs/>
          <w:color w:val="auto"/>
          <w:sz w:val="21"/>
          <w:szCs w:val="21"/>
          <w:highlight w:val="none"/>
          <w:lang w:val="zh-CN"/>
        </w:rPr>
        <w:t>（6）因系统安装多版本驱动导致无法识别CA锁——卸载其他驱动或更换其他电脑安装驱动。</w:t>
      </w:r>
    </w:p>
    <w:p w14:paraId="645297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sz w:val="21"/>
          <w:szCs w:val="21"/>
          <w:highlight w:val="none"/>
          <w:lang w:val="zh-CN"/>
        </w:rPr>
      </w:pPr>
      <w:r>
        <w:rPr>
          <w:rFonts w:hint="eastAsia" w:ascii="Times New Roman" w:hAnsi="宋体" w:eastAsia="宋体" w:cs="Times New Roman"/>
          <w:b w:val="0"/>
          <w:bCs/>
          <w:color w:val="auto"/>
          <w:sz w:val="21"/>
          <w:szCs w:val="21"/>
          <w:highlight w:val="none"/>
          <w:lang w:val="zh-CN"/>
        </w:rPr>
        <w:t>⑤参与在线投标时如遇平台技术问题详询：0579-89920081</w:t>
      </w:r>
      <w:r>
        <w:rPr>
          <w:rFonts w:hint="eastAsia" w:hAnsi="宋体" w:cs="Times New Roman"/>
          <w:b w:val="0"/>
          <w:bCs/>
          <w:color w:val="auto"/>
          <w:sz w:val="21"/>
          <w:szCs w:val="21"/>
          <w:highlight w:val="none"/>
          <w:lang w:val="zh-CN"/>
        </w:rPr>
        <w:t>、</w:t>
      </w:r>
      <w:r>
        <w:rPr>
          <w:rFonts w:hint="eastAsia" w:hAnsi="宋体" w:cs="Times New Roman"/>
          <w:b w:val="0"/>
          <w:bCs/>
          <w:color w:val="auto"/>
          <w:sz w:val="21"/>
          <w:szCs w:val="21"/>
          <w:highlight w:val="none"/>
          <w:lang w:val="en-US" w:eastAsia="zh-CN"/>
        </w:rPr>
        <w:t>0579-89920080</w:t>
      </w:r>
      <w:r>
        <w:rPr>
          <w:rFonts w:hint="eastAsia" w:ascii="Times New Roman" w:hAnsi="宋体" w:eastAsia="宋体" w:cs="Times New Roman"/>
          <w:b w:val="0"/>
          <w:bCs/>
          <w:color w:val="auto"/>
          <w:sz w:val="21"/>
          <w:szCs w:val="21"/>
          <w:highlight w:val="none"/>
          <w:lang w:val="zh-CN"/>
        </w:rPr>
        <w:t>，投标人注册、办</w:t>
      </w:r>
      <w:r>
        <w:rPr>
          <w:rFonts w:hint="eastAsia" w:hAnsi="宋体" w:cs="Times New Roman"/>
          <w:b w:val="0"/>
          <w:bCs/>
          <w:color w:val="auto"/>
          <w:sz w:val="21"/>
          <w:szCs w:val="21"/>
          <w:highlight w:val="none"/>
          <w:lang w:val="en-US" w:eastAsia="zh-CN"/>
        </w:rPr>
        <w:t>理CA</w:t>
      </w:r>
      <w:r>
        <w:rPr>
          <w:rFonts w:hint="eastAsia" w:ascii="Times New Roman" w:hAnsi="宋体" w:eastAsia="宋体" w:cs="Times New Roman"/>
          <w:b w:val="0"/>
          <w:bCs/>
          <w:color w:val="auto"/>
          <w:sz w:val="21"/>
          <w:szCs w:val="21"/>
          <w:highlight w:val="none"/>
          <w:lang w:val="zh-CN"/>
        </w:rPr>
        <w:t>锁、报名等问题</w:t>
      </w:r>
      <w:r>
        <w:rPr>
          <w:rFonts w:hint="eastAsia" w:hAnsi="宋体" w:cs="Times New Roman"/>
          <w:b w:val="0"/>
          <w:bCs/>
          <w:color w:val="auto"/>
          <w:sz w:val="21"/>
          <w:szCs w:val="21"/>
          <w:highlight w:val="none"/>
          <w:lang w:val="en-US" w:eastAsia="zh-CN"/>
        </w:rPr>
        <w:t>详询客服热线：</w:t>
      </w:r>
      <w:r>
        <w:rPr>
          <w:rFonts w:hint="eastAsia" w:ascii="Times New Roman" w:hAnsi="宋体" w:eastAsia="宋体" w:cs="Times New Roman"/>
          <w:b w:val="0"/>
          <w:bCs/>
          <w:color w:val="auto"/>
          <w:sz w:val="21"/>
          <w:szCs w:val="21"/>
          <w:highlight w:val="none"/>
          <w:lang w:val="zh-CN"/>
        </w:rPr>
        <w:t>0512-58151515</w:t>
      </w:r>
      <w:r>
        <w:rPr>
          <w:rFonts w:hint="eastAsia" w:hAnsi="宋体" w:cs="Times New Roman"/>
          <w:b w:val="0"/>
          <w:bCs/>
          <w:color w:val="auto"/>
          <w:sz w:val="21"/>
          <w:szCs w:val="21"/>
          <w:highlight w:val="none"/>
          <w:lang w:val="zh-CN"/>
        </w:rPr>
        <w:t>。</w:t>
      </w:r>
      <w:bookmarkStart w:id="83" w:name="_GoBack"/>
      <w:bookmarkEnd w:id="83"/>
    </w:p>
    <w:p w14:paraId="33AA040A">
      <w:pPr>
        <w:pageBreakBefore w:val="0"/>
        <w:widowControl w:val="0"/>
        <w:numPr>
          <w:ilvl w:val="0"/>
          <w:numId w:val="0"/>
        </w:numPr>
        <w:kinsoku/>
        <w:wordWrap/>
        <w:overflowPunct/>
        <w:topLinePunct w:val="0"/>
        <w:autoSpaceDE/>
        <w:autoSpaceDN/>
        <w:bidi w:val="0"/>
        <w:spacing w:line="360" w:lineRule="auto"/>
        <w:ind w:left="-2" w:leftChars="0" w:firstLine="422" w:firstLineChars="0"/>
        <w:textAlignment w:val="auto"/>
        <w:rPr>
          <w:rFonts w:hint="eastAsia" w:ascii="Times New Roman" w:hAnsi="宋体" w:eastAsia="宋体" w:cs="Times New Roman"/>
          <w:b/>
          <w:bCs w:val="0"/>
          <w:color w:val="auto"/>
          <w:sz w:val="21"/>
          <w:szCs w:val="21"/>
          <w:highlight w:val="none"/>
          <w:lang w:val="zh-CN"/>
        </w:rPr>
      </w:pPr>
      <w:r>
        <w:rPr>
          <w:rFonts w:hint="default" w:ascii="Times New Roman" w:hAnsi="宋体" w:eastAsia="宋体" w:cs="Times New Roman"/>
          <w:b/>
          <w:bCs/>
          <w:color w:val="auto"/>
          <w:kern w:val="2"/>
          <w:sz w:val="21"/>
          <w:szCs w:val="21"/>
          <w:lang w:val="zh-CN" w:eastAsia="zh-CN" w:bidi="ar-SA"/>
        </w:rPr>
        <w:t>9.</w:t>
      </w:r>
      <w:r>
        <w:rPr>
          <w:rFonts w:hint="eastAsia" w:ascii="Times New Roman" w:hAnsi="宋体" w:eastAsia="宋体" w:cs="Times New Roman"/>
          <w:b/>
          <w:bCs w:val="0"/>
          <w:color w:val="auto"/>
          <w:sz w:val="21"/>
          <w:szCs w:val="21"/>
          <w:highlight w:val="none"/>
          <w:lang w:val="zh-CN"/>
        </w:rPr>
        <w:t>投标保证金：无</w:t>
      </w:r>
    </w:p>
    <w:p w14:paraId="31F06F90">
      <w:pPr>
        <w:pageBreakBefore w:val="0"/>
        <w:widowControl w:val="0"/>
        <w:numPr>
          <w:ilvl w:val="0"/>
          <w:numId w:val="0"/>
        </w:numPr>
        <w:kinsoku/>
        <w:wordWrap/>
        <w:overflowPunct/>
        <w:topLinePunct w:val="0"/>
        <w:autoSpaceDE/>
        <w:autoSpaceDN/>
        <w:bidi w:val="0"/>
        <w:spacing w:line="360" w:lineRule="auto"/>
        <w:ind w:left="-2" w:leftChars="0" w:firstLine="422" w:firstLineChars="0"/>
        <w:textAlignment w:val="auto"/>
        <w:rPr>
          <w:rFonts w:hint="eastAsia" w:ascii="Times New Roman" w:hAnsi="宋体" w:eastAsia="宋体" w:cs="Times New Roman"/>
          <w:b/>
          <w:bCs w:val="0"/>
          <w:color w:val="auto"/>
          <w:sz w:val="21"/>
          <w:szCs w:val="21"/>
          <w:highlight w:val="none"/>
          <w:lang w:val="zh-CN"/>
        </w:rPr>
      </w:pPr>
      <w:r>
        <w:rPr>
          <w:rFonts w:hint="default" w:ascii="Times New Roman" w:hAnsi="宋体" w:eastAsia="宋体" w:cs="Times New Roman"/>
          <w:b/>
          <w:bCs/>
          <w:color w:val="auto"/>
          <w:kern w:val="2"/>
          <w:sz w:val="21"/>
          <w:szCs w:val="21"/>
          <w:lang w:val="zh-CN" w:eastAsia="zh-CN" w:bidi="ar-SA"/>
        </w:rPr>
        <w:t>10.</w:t>
      </w:r>
      <w:r>
        <w:rPr>
          <w:rFonts w:hint="eastAsia" w:ascii="Times New Roman" w:hAnsi="宋体" w:eastAsia="宋体" w:cs="Times New Roman"/>
          <w:b/>
          <w:bCs w:val="0"/>
          <w:color w:val="auto"/>
          <w:sz w:val="21"/>
          <w:szCs w:val="21"/>
          <w:highlight w:val="none"/>
          <w:lang w:val="zh-CN"/>
        </w:rPr>
        <w:t>业务咨询：</w:t>
      </w:r>
    </w:p>
    <w:p w14:paraId="02E5E06A">
      <w:pPr>
        <w:keepNext w:val="0"/>
        <w:keepLines w:val="0"/>
        <w:pageBreakBefore w:val="0"/>
        <w:widowControl w:val="0"/>
        <w:kinsoku/>
        <w:wordWrap/>
        <w:overflowPunct/>
        <w:topLinePunct w:val="0"/>
        <w:autoSpaceDE/>
        <w:autoSpaceDN/>
        <w:bidi w:val="0"/>
        <w:snapToGrid w:val="0"/>
        <w:spacing w:line="400" w:lineRule="exact"/>
        <w:ind w:firstLine="411" w:firstLineChars="196"/>
        <w:textAlignment w:val="auto"/>
        <w:rPr>
          <w:rFonts w:hint="eastAsia" w:ascii="宋体" w:hAnsi="宋体" w:cs="Times New Roman"/>
          <w:color w:val="auto"/>
          <w:sz w:val="21"/>
          <w:szCs w:val="21"/>
          <w:highlight w:val="none"/>
          <w:lang w:eastAsia="zh-CN"/>
        </w:rPr>
      </w:pPr>
      <w:r>
        <w:rPr>
          <w:rFonts w:hint="eastAsia" w:ascii="宋体" w:hAnsi="宋体" w:cs="Times New Roman"/>
          <w:color w:val="auto"/>
          <w:sz w:val="21"/>
          <w:szCs w:val="21"/>
          <w:highlight w:val="none"/>
          <w:lang w:eastAsia="zh-CN"/>
        </w:rPr>
        <w:t xml:space="preserve">浙江中国小商品城集团股份有限公司银都雅悦酒店：许先生 </w:t>
      </w:r>
      <w:r>
        <w:rPr>
          <w:rFonts w:hint="eastAsia" w:ascii="宋体" w:hAnsi="宋体" w:cs="宋体"/>
          <w:color w:val="auto"/>
          <w:sz w:val="21"/>
          <w:szCs w:val="21"/>
          <w:highlight w:val="none"/>
          <w:lang w:val="en-US" w:eastAsia="zh-CN"/>
        </w:rPr>
        <w:t>15057952895</w:t>
      </w:r>
    </w:p>
    <w:p w14:paraId="090BFF72">
      <w:pPr>
        <w:keepNext w:val="0"/>
        <w:keepLines w:val="0"/>
        <w:pageBreakBefore w:val="0"/>
        <w:widowControl w:val="0"/>
        <w:kinsoku/>
        <w:wordWrap/>
        <w:overflowPunct/>
        <w:topLinePunct w:val="0"/>
        <w:autoSpaceDE/>
        <w:autoSpaceDN/>
        <w:bidi w:val="0"/>
        <w:snapToGrid w:val="0"/>
        <w:spacing w:line="400" w:lineRule="exact"/>
        <w:ind w:firstLine="411" w:firstLineChars="196"/>
        <w:textAlignment w:val="auto"/>
        <w:rPr>
          <w:rFonts w:hint="default" w:ascii="宋体" w:hAnsi="宋体" w:cs="宋体"/>
          <w:color w:val="auto"/>
          <w:sz w:val="21"/>
          <w:szCs w:val="21"/>
          <w:highlight w:val="none"/>
          <w:lang w:val="en-US"/>
        </w:rPr>
      </w:pPr>
      <w:r>
        <w:rPr>
          <w:rFonts w:hint="eastAsia" w:hAnsi="宋体"/>
          <w:color w:val="auto"/>
          <w:sz w:val="21"/>
          <w:szCs w:val="21"/>
          <w:highlight w:val="none"/>
          <w:lang w:eastAsia="zh-CN"/>
        </w:rPr>
        <w:t>金华义产拍卖有限公司：</w:t>
      </w:r>
      <w:r>
        <w:rPr>
          <w:rFonts w:hint="eastAsia" w:hAnsi="宋体"/>
          <w:color w:val="auto"/>
          <w:sz w:val="21"/>
          <w:szCs w:val="21"/>
          <w:highlight w:val="none"/>
          <w:lang w:val="en-US" w:eastAsia="zh-CN"/>
        </w:rPr>
        <w:t xml:space="preserve">王女士 </w:t>
      </w:r>
      <w:r>
        <w:rPr>
          <w:rFonts w:hint="eastAsia" w:ascii="宋体" w:hAnsi="宋体" w:cs="宋体"/>
          <w:color w:val="auto"/>
          <w:sz w:val="21"/>
          <w:szCs w:val="21"/>
          <w:highlight w:val="none"/>
        </w:rPr>
        <w:t xml:space="preserve">  0579-</w:t>
      </w:r>
      <w:r>
        <w:rPr>
          <w:rFonts w:hint="eastAsia" w:ascii="宋体" w:hAnsi="宋体" w:cs="Times New Roman"/>
          <w:color w:val="auto"/>
          <w:sz w:val="21"/>
          <w:szCs w:val="21"/>
          <w:highlight w:val="none"/>
          <w:lang w:val="en-US" w:eastAsia="zh-CN"/>
        </w:rPr>
        <w:t xml:space="preserve">89903039 </w:t>
      </w:r>
    </w:p>
    <w:p w14:paraId="59622A5E">
      <w:pPr>
        <w:keepNext w:val="0"/>
        <w:keepLines w:val="0"/>
        <w:pageBreakBefore w:val="0"/>
        <w:widowControl w:val="0"/>
        <w:kinsoku/>
        <w:wordWrap/>
        <w:overflowPunct/>
        <w:topLinePunct w:val="0"/>
        <w:autoSpaceDE/>
        <w:autoSpaceDN/>
        <w:bidi w:val="0"/>
        <w:snapToGrid w:val="0"/>
        <w:spacing w:line="400" w:lineRule="exact"/>
        <w:ind w:firstLine="411" w:firstLineChars="196"/>
        <w:textAlignment w:val="auto"/>
        <w:rPr>
          <w:rFonts w:hint="eastAsia" w:ascii="宋体" w:hAnsi="宋体" w:cs="宋体"/>
          <w:color w:val="auto"/>
          <w:sz w:val="21"/>
          <w:szCs w:val="21"/>
          <w:highlight w:val="none"/>
        </w:rPr>
      </w:pPr>
    </w:p>
    <w:p w14:paraId="474DA927">
      <w:pPr>
        <w:pStyle w:val="36"/>
        <w:rPr>
          <w:rFonts w:hint="eastAsia"/>
          <w:color w:val="auto"/>
          <w:sz w:val="21"/>
          <w:szCs w:val="21"/>
          <w:highlight w:val="none"/>
        </w:rPr>
      </w:pPr>
    </w:p>
    <w:p w14:paraId="7AB3A044">
      <w:pPr>
        <w:pStyle w:val="18"/>
        <w:keepNext w:val="0"/>
        <w:keepLines w:val="0"/>
        <w:pageBreakBefore w:val="0"/>
        <w:widowControl w:val="0"/>
        <w:kinsoku/>
        <w:wordWrap/>
        <w:overflowPunct/>
        <w:topLinePunct w:val="0"/>
        <w:autoSpaceDE/>
        <w:autoSpaceDN/>
        <w:bidi w:val="0"/>
        <w:adjustRightInd w:val="0"/>
        <w:snapToGrid w:val="0"/>
        <w:spacing w:line="400" w:lineRule="exact"/>
        <w:jc w:val="right"/>
        <w:textAlignment w:val="auto"/>
        <w:rPr>
          <w:rFonts w:hint="eastAsia" w:ascii="宋体" w:hAnsi="宋体" w:cs="Times New Roman"/>
          <w:color w:val="auto"/>
          <w:sz w:val="21"/>
          <w:szCs w:val="21"/>
          <w:highlight w:val="none"/>
          <w:lang w:eastAsia="zh-CN"/>
        </w:rPr>
      </w:pPr>
      <w:r>
        <w:rPr>
          <w:rFonts w:hint="eastAsia" w:hAnsi="宋体" w:cs="Times New Roman"/>
          <w:color w:val="auto"/>
          <w:sz w:val="21"/>
          <w:szCs w:val="21"/>
          <w:highlight w:val="none"/>
          <w:lang w:eastAsia="zh-CN"/>
        </w:rPr>
        <w:t>浙江中国小商品城集团股份有限公司银都雅悦酒店</w:t>
      </w:r>
    </w:p>
    <w:p w14:paraId="44419238">
      <w:pPr>
        <w:pStyle w:val="18"/>
        <w:keepNext w:val="0"/>
        <w:keepLines w:val="0"/>
        <w:pageBreakBefore w:val="0"/>
        <w:widowControl w:val="0"/>
        <w:kinsoku/>
        <w:wordWrap/>
        <w:overflowPunct/>
        <w:topLinePunct w:val="0"/>
        <w:autoSpaceDE/>
        <w:autoSpaceDN/>
        <w:bidi w:val="0"/>
        <w:adjustRightInd w:val="0"/>
        <w:snapToGrid w:val="0"/>
        <w:spacing w:line="400" w:lineRule="exact"/>
        <w:jc w:val="right"/>
        <w:textAlignment w:val="auto"/>
        <w:rPr>
          <w:rFonts w:hint="eastAsia" w:hAnsi="宋体" w:eastAsia="宋体"/>
          <w:color w:val="auto"/>
          <w:sz w:val="21"/>
          <w:szCs w:val="21"/>
          <w:highlight w:val="none"/>
          <w:lang w:eastAsia="zh-CN"/>
        </w:rPr>
      </w:pPr>
      <w:r>
        <w:rPr>
          <w:rFonts w:hint="eastAsia" w:hAnsi="宋体"/>
          <w:color w:val="auto"/>
          <w:sz w:val="21"/>
          <w:szCs w:val="21"/>
          <w:highlight w:val="none"/>
          <w:lang w:eastAsia="zh-CN"/>
        </w:rPr>
        <w:t>金华义产拍卖有限公司</w:t>
      </w:r>
    </w:p>
    <w:p w14:paraId="4C49FE0A">
      <w:pPr>
        <w:pStyle w:val="18"/>
        <w:keepNext w:val="0"/>
        <w:keepLines w:val="0"/>
        <w:pageBreakBefore w:val="0"/>
        <w:widowControl w:val="0"/>
        <w:kinsoku/>
        <w:wordWrap/>
        <w:overflowPunct/>
        <w:topLinePunct w:val="0"/>
        <w:autoSpaceDE/>
        <w:autoSpaceDN/>
        <w:bidi w:val="0"/>
        <w:adjustRightInd w:val="0"/>
        <w:snapToGrid w:val="0"/>
        <w:spacing w:line="420" w:lineRule="exact"/>
        <w:jc w:val="right"/>
        <w:textAlignment w:val="auto"/>
        <w:rPr>
          <w:rFonts w:hint="eastAsia" w:hAnsi="宋体"/>
          <w:color w:val="auto"/>
          <w:sz w:val="21"/>
          <w:szCs w:val="21"/>
          <w:highlight w:val="none"/>
        </w:rPr>
      </w:pPr>
      <w:r>
        <w:rPr>
          <w:rFonts w:hint="eastAsia" w:hAnsi="宋体"/>
          <w:color w:val="auto"/>
          <w:sz w:val="21"/>
          <w:szCs w:val="21"/>
          <w:highlight w:val="none"/>
        </w:rPr>
        <w:t>202</w:t>
      </w:r>
      <w:r>
        <w:rPr>
          <w:rFonts w:hint="eastAsia" w:hAnsi="宋体"/>
          <w:color w:val="auto"/>
          <w:sz w:val="21"/>
          <w:szCs w:val="21"/>
          <w:highlight w:val="none"/>
          <w:lang w:val="en-US" w:eastAsia="zh-CN"/>
        </w:rPr>
        <w:t>6</w:t>
      </w:r>
      <w:r>
        <w:rPr>
          <w:rFonts w:hint="eastAsia" w:hAnsi="宋体"/>
          <w:color w:val="auto"/>
          <w:sz w:val="21"/>
          <w:szCs w:val="21"/>
          <w:highlight w:val="none"/>
        </w:rPr>
        <w:t>年</w:t>
      </w:r>
      <w:r>
        <w:rPr>
          <w:rFonts w:hint="eastAsia" w:hAnsi="宋体"/>
          <w:color w:val="auto"/>
          <w:sz w:val="21"/>
          <w:szCs w:val="21"/>
          <w:highlight w:val="none"/>
          <w:lang w:val="en-US" w:eastAsia="zh-CN"/>
        </w:rPr>
        <w:t>1</w:t>
      </w:r>
      <w:r>
        <w:rPr>
          <w:rFonts w:hint="eastAsia" w:hAnsi="宋体"/>
          <w:color w:val="auto"/>
          <w:sz w:val="21"/>
          <w:szCs w:val="21"/>
          <w:highlight w:val="none"/>
        </w:rPr>
        <w:t>月</w:t>
      </w:r>
      <w:r>
        <w:rPr>
          <w:rFonts w:hint="eastAsia" w:hAnsi="宋体"/>
          <w:color w:val="auto"/>
          <w:sz w:val="21"/>
          <w:szCs w:val="21"/>
          <w:highlight w:val="none"/>
          <w:lang w:val="en-US" w:eastAsia="zh-CN"/>
        </w:rPr>
        <w:t>28</w:t>
      </w:r>
      <w:r>
        <w:rPr>
          <w:rFonts w:hint="eastAsia" w:hAnsi="宋体"/>
          <w:color w:val="auto"/>
          <w:sz w:val="21"/>
          <w:szCs w:val="21"/>
          <w:highlight w:val="none"/>
        </w:rPr>
        <w:t>日</w:t>
      </w:r>
    </w:p>
    <w:p w14:paraId="7796E3F8">
      <w:pPr>
        <w:pStyle w:val="18"/>
        <w:adjustRightInd w:val="0"/>
        <w:snapToGrid w:val="0"/>
        <w:spacing w:line="360" w:lineRule="auto"/>
        <w:jc w:val="right"/>
        <w:rPr>
          <w:rFonts w:hint="eastAsia" w:hAnsi="宋体"/>
          <w:color w:val="auto"/>
          <w:sz w:val="24"/>
          <w:highlight w:val="none"/>
        </w:rPr>
      </w:pPr>
    </w:p>
    <w:p w14:paraId="6B1135AB">
      <w:pPr>
        <w:pStyle w:val="18"/>
        <w:adjustRightInd w:val="0"/>
        <w:snapToGrid w:val="0"/>
        <w:spacing w:line="360" w:lineRule="auto"/>
        <w:jc w:val="right"/>
        <w:rPr>
          <w:rFonts w:hint="eastAsia" w:hAnsi="宋体"/>
          <w:color w:val="auto"/>
          <w:sz w:val="24"/>
          <w:highlight w:val="none"/>
        </w:rPr>
      </w:pPr>
    </w:p>
    <w:p w14:paraId="586B18AF">
      <w:pPr>
        <w:pStyle w:val="18"/>
        <w:adjustRightInd w:val="0"/>
        <w:snapToGrid w:val="0"/>
        <w:spacing w:line="400" w:lineRule="exact"/>
        <w:jc w:val="right"/>
        <w:rPr>
          <w:rFonts w:hint="eastAsia" w:hAnsi="宋体"/>
          <w:color w:val="auto"/>
          <w:sz w:val="24"/>
          <w:highlight w:val="none"/>
        </w:rPr>
      </w:pPr>
    </w:p>
    <w:p w14:paraId="7ED7D8F6">
      <w:pPr>
        <w:pStyle w:val="18"/>
        <w:adjustRightInd w:val="0"/>
        <w:snapToGrid w:val="0"/>
        <w:spacing w:line="400" w:lineRule="exact"/>
        <w:jc w:val="right"/>
        <w:rPr>
          <w:rFonts w:hint="eastAsia" w:hAnsi="宋体"/>
          <w:color w:val="auto"/>
          <w:sz w:val="24"/>
          <w:highlight w:val="none"/>
        </w:rPr>
      </w:pPr>
    </w:p>
    <w:p w14:paraId="57CA975D">
      <w:pPr>
        <w:pStyle w:val="18"/>
        <w:adjustRightInd w:val="0"/>
        <w:snapToGrid w:val="0"/>
        <w:spacing w:line="400" w:lineRule="exact"/>
        <w:jc w:val="right"/>
        <w:rPr>
          <w:rFonts w:hint="eastAsia" w:hAnsi="宋体"/>
          <w:color w:val="auto"/>
          <w:sz w:val="24"/>
          <w:highlight w:val="none"/>
        </w:rPr>
      </w:pPr>
    </w:p>
    <w:p w14:paraId="341E215F">
      <w:pPr>
        <w:pStyle w:val="18"/>
        <w:adjustRightInd w:val="0"/>
        <w:snapToGrid w:val="0"/>
        <w:spacing w:line="400" w:lineRule="exact"/>
        <w:jc w:val="right"/>
        <w:rPr>
          <w:rFonts w:hint="eastAsia" w:hAnsi="宋体"/>
          <w:color w:val="auto"/>
          <w:sz w:val="24"/>
          <w:highlight w:val="none"/>
        </w:rPr>
      </w:pPr>
    </w:p>
    <w:p w14:paraId="602697E7">
      <w:pPr>
        <w:pStyle w:val="18"/>
        <w:adjustRightInd w:val="0"/>
        <w:snapToGrid w:val="0"/>
        <w:spacing w:line="400" w:lineRule="exact"/>
        <w:jc w:val="right"/>
        <w:rPr>
          <w:rFonts w:hint="eastAsia" w:hAnsi="宋体"/>
          <w:color w:val="auto"/>
          <w:sz w:val="24"/>
          <w:highlight w:val="none"/>
        </w:rPr>
      </w:pPr>
    </w:p>
    <w:p w14:paraId="615D0FD7">
      <w:pPr>
        <w:pStyle w:val="18"/>
        <w:adjustRightInd w:val="0"/>
        <w:snapToGrid w:val="0"/>
        <w:spacing w:line="400" w:lineRule="exact"/>
        <w:jc w:val="right"/>
        <w:rPr>
          <w:rFonts w:hAnsi="宋体"/>
          <w:color w:val="auto"/>
          <w:highlight w:val="none"/>
        </w:rPr>
      </w:pPr>
    </w:p>
    <w:p w14:paraId="20A54470">
      <w:pPr>
        <w:pStyle w:val="18"/>
        <w:adjustRightInd w:val="0"/>
        <w:snapToGrid w:val="0"/>
        <w:spacing w:line="400" w:lineRule="exact"/>
        <w:jc w:val="right"/>
        <w:rPr>
          <w:rFonts w:hAnsi="宋体"/>
          <w:color w:val="auto"/>
          <w:highlight w:val="none"/>
        </w:rPr>
      </w:pPr>
    </w:p>
    <w:p w14:paraId="0ABA6B3A">
      <w:pPr>
        <w:pStyle w:val="2"/>
        <w:keepNext/>
        <w:keepLines/>
        <w:pageBreakBefore w:val="0"/>
        <w:widowControl w:val="0"/>
        <w:numPr>
          <w:ilvl w:val="0"/>
          <w:numId w:val="0"/>
        </w:numPr>
        <w:kinsoku/>
        <w:wordWrap/>
        <w:overflowPunct/>
        <w:topLinePunct w:val="0"/>
        <w:autoSpaceDE/>
        <w:autoSpaceDN/>
        <w:bidi w:val="0"/>
        <w:adjustRightInd/>
        <w:snapToGrid/>
        <w:spacing w:before="340" w:after="330" w:line="240" w:lineRule="exact"/>
        <w:ind w:left="0" w:leftChars="0" w:right="0" w:rightChars="0"/>
        <w:jc w:val="center"/>
        <w:textAlignment w:val="auto"/>
        <w:rPr>
          <w:rFonts w:hint="eastAsia" w:ascii="Times New Roman" w:hAnsi="Times New Roman" w:eastAsia="宋体" w:cs="Times New Roman"/>
          <w:b/>
          <w:bCs/>
          <w:color w:val="auto"/>
          <w:kern w:val="44"/>
          <w:sz w:val="36"/>
          <w:szCs w:val="44"/>
          <w:highlight w:val="none"/>
          <w:lang w:val="en-US" w:eastAsia="zh-CN" w:bidi="ar-SA"/>
        </w:rPr>
      </w:pPr>
      <w:bookmarkStart w:id="3" w:name="_Toc10680"/>
      <w:r>
        <w:rPr>
          <w:rFonts w:hint="eastAsia" w:ascii="Times New Roman" w:hAnsi="Times New Roman" w:eastAsia="宋体" w:cs="Times New Roman"/>
          <w:b/>
          <w:bCs/>
          <w:color w:val="auto"/>
          <w:kern w:val="44"/>
          <w:sz w:val="36"/>
          <w:szCs w:val="44"/>
          <w:highlight w:val="none"/>
          <w:lang w:val="en-US" w:eastAsia="zh-CN" w:bidi="ar-SA"/>
        </w:rPr>
        <w:br w:type="page"/>
      </w:r>
      <w:bookmarkStart w:id="4" w:name="_Toc16943"/>
      <w:r>
        <w:rPr>
          <w:rFonts w:hint="eastAsia" w:ascii="Times New Roman" w:hAnsi="Times New Roman" w:eastAsia="宋体" w:cs="Times New Roman"/>
          <w:b/>
          <w:bCs/>
          <w:color w:val="auto"/>
          <w:kern w:val="44"/>
          <w:sz w:val="36"/>
          <w:szCs w:val="44"/>
          <w:highlight w:val="none"/>
          <w:lang w:val="en-US" w:eastAsia="zh-CN" w:bidi="ar-SA"/>
        </w:rPr>
        <w:t>第二章　投标须知和投标须知前附表</w:t>
      </w:r>
      <w:bookmarkEnd w:id="3"/>
      <w:bookmarkEnd w:id="4"/>
    </w:p>
    <w:p w14:paraId="08BD9214">
      <w:pPr>
        <w:spacing w:line="360" w:lineRule="auto"/>
        <w:ind w:firstLine="602" w:firstLineChars="200"/>
        <w:jc w:val="center"/>
        <w:rPr>
          <w:rFonts w:hint="eastAsia" w:ascii="宋体" w:hAnsi="宋体"/>
          <w:b/>
          <w:color w:val="auto"/>
          <w:sz w:val="30"/>
          <w:szCs w:val="30"/>
          <w:highlight w:val="none"/>
        </w:rPr>
      </w:pPr>
      <w:r>
        <w:rPr>
          <w:rFonts w:hint="eastAsia" w:ascii="宋体" w:hAnsi="宋体"/>
          <w:b/>
          <w:color w:val="auto"/>
          <w:sz w:val="30"/>
          <w:szCs w:val="30"/>
          <w:highlight w:val="none"/>
        </w:rPr>
        <w:t>投标须知前附表</w:t>
      </w:r>
    </w:p>
    <w:tbl>
      <w:tblPr>
        <w:tblStyle w:val="38"/>
        <w:tblW w:w="99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70"/>
        <w:gridCol w:w="7560"/>
      </w:tblGrid>
      <w:tr w14:paraId="6A2F7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40372B02">
            <w:pPr>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9230" w:type="dxa"/>
            <w:gridSpan w:val="2"/>
            <w:tcBorders>
              <w:top w:val="single" w:color="auto" w:sz="4" w:space="0"/>
              <w:left w:val="single" w:color="auto" w:sz="4" w:space="0"/>
              <w:bottom w:val="single" w:color="auto" w:sz="4" w:space="0"/>
              <w:right w:val="single" w:color="auto" w:sz="4" w:space="0"/>
            </w:tcBorders>
            <w:noWrap w:val="0"/>
            <w:vAlign w:val="center"/>
          </w:tcPr>
          <w:p w14:paraId="76B9BE53">
            <w:pPr>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内容规定</w:t>
            </w:r>
          </w:p>
        </w:tc>
      </w:tr>
      <w:tr w14:paraId="1CDE8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156022DF">
            <w:pPr>
              <w:pageBreakBefore w:val="0"/>
              <w:widowControl w:val="0"/>
              <w:kinsoku/>
              <w:wordWrap/>
              <w:overflowPunct/>
              <w:topLinePunct w:val="0"/>
              <w:autoSpaceDE/>
              <w:autoSpaceDN/>
              <w:bidi w:val="0"/>
              <w:spacing w:line="40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708EAC11">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项目综合</w:t>
            </w:r>
          </w:p>
          <w:p w14:paraId="50FB79C4">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38D10FFB">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Cs w:val="21"/>
                <w:highlight w:val="none"/>
                <w:lang w:val="en-US" w:eastAsia="zh-CN"/>
              </w:rPr>
              <w:t>项目名称：</w:t>
            </w:r>
            <w:r>
              <w:rPr>
                <w:rFonts w:hint="eastAsia" w:ascii="宋体" w:hAnsi="宋体" w:cs="Times New Roman"/>
                <w:color w:val="auto"/>
                <w:highlight w:val="none"/>
                <w:lang w:eastAsia="zh-CN"/>
              </w:rPr>
              <w:t>浙江中国小商品城集团股份有限公司银都雅悦酒店员工食堂劳务外包服务采购项目</w:t>
            </w:r>
          </w:p>
          <w:p w14:paraId="046CA0C2">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Cs w:val="21"/>
                <w:highlight w:val="none"/>
              </w:rPr>
              <w:t>采购内容</w:t>
            </w:r>
            <w:r>
              <w:rPr>
                <w:rFonts w:hint="eastAsia" w:ascii="宋体" w:hAnsi="宋体" w:eastAsia="宋体" w:cs="宋体"/>
                <w:b/>
                <w:bCs/>
                <w:color w:val="auto"/>
                <w:szCs w:val="21"/>
                <w:highlight w:val="none"/>
                <w:lang w:val="en-US" w:eastAsia="zh-CN"/>
              </w:rPr>
              <w:t>及数量</w:t>
            </w:r>
            <w:r>
              <w:rPr>
                <w:rFonts w:hint="eastAsia" w:ascii="宋体" w:hAnsi="宋体" w:eastAsia="宋体" w:cs="宋体"/>
                <w:b/>
                <w:bCs/>
                <w:color w:val="auto"/>
                <w:szCs w:val="21"/>
                <w:highlight w:val="none"/>
                <w:lang w:eastAsia="zh-CN"/>
              </w:rPr>
              <w:t>：</w:t>
            </w:r>
            <w:r>
              <w:rPr>
                <w:rFonts w:hint="eastAsia" w:ascii="宋体" w:hAnsi="宋体" w:cs="Times New Roman"/>
                <w:color w:val="auto"/>
                <w:highlight w:val="none"/>
                <w:lang w:eastAsia="zh-CN"/>
              </w:rPr>
              <w:t>员工食堂劳务外包服务</w:t>
            </w:r>
            <w:r>
              <w:rPr>
                <w:rFonts w:hint="eastAsia" w:ascii="宋体" w:hAnsi="宋体" w:eastAsia="宋体" w:cs="Times New Roman"/>
                <w:color w:val="auto"/>
                <w:highlight w:val="none"/>
                <w:lang w:eastAsia="zh-CN"/>
              </w:rPr>
              <w:t>采购，具体</w:t>
            </w:r>
            <w:r>
              <w:rPr>
                <w:rFonts w:hint="eastAsia" w:ascii="宋体" w:hAnsi="宋体" w:cs="Times New Roman"/>
                <w:color w:val="auto"/>
                <w:highlight w:val="none"/>
                <w:lang w:val="en-US" w:eastAsia="zh-CN"/>
              </w:rPr>
              <w:t>内容</w:t>
            </w:r>
            <w:r>
              <w:rPr>
                <w:rFonts w:hint="eastAsia" w:ascii="宋体" w:hAnsi="宋体" w:eastAsia="宋体" w:cs="Times New Roman"/>
                <w:color w:val="auto"/>
                <w:highlight w:val="none"/>
                <w:lang w:eastAsia="zh-CN"/>
              </w:rPr>
              <w:t>详见第三章招标项目要求</w:t>
            </w:r>
            <w:r>
              <w:rPr>
                <w:rFonts w:hint="eastAsia" w:ascii="宋体" w:hAnsi="宋体" w:eastAsia="宋体" w:cs="宋体"/>
                <w:color w:val="auto"/>
                <w:szCs w:val="21"/>
                <w:highlight w:val="none"/>
              </w:rPr>
              <w:t xml:space="preserve">。        </w:t>
            </w:r>
            <w:r>
              <w:rPr>
                <w:rFonts w:hint="eastAsia" w:ascii="宋体" w:hAnsi="宋体" w:eastAsia="宋体" w:cs="宋体"/>
                <w:color w:val="auto"/>
                <w:sz w:val="21"/>
                <w:szCs w:val="21"/>
                <w:highlight w:val="none"/>
              </w:rPr>
              <w:t xml:space="preserve">         </w:t>
            </w:r>
          </w:p>
        </w:tc>
      </w:tr>
      <w:tr w14:paraId="2DC3C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010FD4B1">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69CE1576">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招标方式</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6102F88C">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公开招标                       </w:t>
            </w:r>
          </w:p>
        </w:tc>
      </w:tr>
      <w:tr w14:paraId="3EF6E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67BF4643">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7D5093ED">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投标单位</w:t>
            </w:r>
          </w:p>
          <w:p w14:paraId="3343A158">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资格要求</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44EDB823">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详见招标公告</w:t>
            </w:r>
          </w:p>
        </w:tc>
      </w:tr>
      <w:tr w14:paraId="42861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2A0C1BA7">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5B4E9CE7">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评标办法</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170ABC05">
            <w:pPr>
              <w:pageBreakBefore w:val="0"/>
              <w:widowControl w:val="0"/>
              <w:kinsoku/>
              <w:wordWrap/>
              <w:overflowPunct/>
              <w:topLinePunct w:val="0"/>
              <w:autoSpaceDE/>
              <w:autoSpaceDN/>
              <w:bidi w:val="0"/>
              <w:spacing w:line="400" w:lineRule="exact"/>
              <w:textAlignment w:val="auto"/>
              <w:rPr>
                <w:rFonts w:hint="default" w:ascii="宋体" w:hAnsi="宋体" w:eastAsia="宋体" w:cs="宋体"/>
                <w:color w:val="auto"/>
                <w:kern w:val="0"/>
                <w:sz w:val="21"/>
                <w:szCs w:val="21"/>
                <w:highlight w:val="none"/>
                <w:lang w:val="en-US"/>
              </w:rPr>
            </w:pPr>
            <w:r>
              <w:rPr>
                <w:rFonts w:hint="eastAsia" w:ascii="宋体" w:hAnsi="宋体" w:cs="宋体"/>
                <w:color w:val="auto"/>
                <w:sz w:val="21"/>
                <w:szCs w:val="21"/>
                <w:highlight w:val="none"/>
                <w:lang w:val="en-US" w:eastAsia="zh-CN"/>
              </w:rPr>
              <w:t>最低评标价法</w:t>
            </w:r>
          </w:p>
        </w:tc>
      </w:tr>
      <w:tr w14:paraId="63EEA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68B9D8E7">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6799CBF3">
            <w:pPr>
              <w:pageBreakBefore w:val="0"/>
              <w:widowControl w:val="0"/>
              <w:kinsoku/>
              <w:wordWrap/>
              <w:overflowPunct/>
              <w:topLinePunct w:val="0"/>
              <w:autoSpaceDE/>
              <w:autoSpaceDN/>
              <w:bidi w:val="0"/>
              <w:spacing w:line="400" w:lineRule="exact"/>
              <w:jc w:val="center"/>
              <w:textAlignment w:val="auto"/>
              <w:rPr>
                <w:rFonts w:hint="default" w:ascii="宋体" w:hAnsi="宋体" w:eastAsia="宋体" w:cs="宋体"/>
                <w:color w:val="auto"/>
                <w:sz w:val="21"/>
                <w:szCs w:val="21"/>
                <w:highlight w:val="none"/>
                <w:lang w:val="en-US"/>
              </w:rPr>
            </w:pPr>
            <w:r>
              <w:rPr>
                <w:rFonts w:hint="eastAsia" w:ascii="宋体" w:hAnsi="宋体" w:cs="宋体"/>
                <w:color w:val="auto"/>
                <w:szCs w:val="21"/>
                <w:highlight w:val="none"/>
                <w:lang w:val="en-US" w:eastAsia="zh-CN"/>
              </w:rPr>
              <w:t>供货要求</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7CB11E86">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详见招标文件第三章</w:t>
            </w:r>
          </w:p>
        </w:tc>
      </w:tr>
      <w:tr w14:paraId="10E34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21E2DB9F">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33592587">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招标文件获取时间和地点</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7C61A748">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详见招标公告</w:t>
            </w:r>
          </w:p>
        </w:tc>
      </w:tr>
      <w:tr w14:paraId="79D1B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66A74E83">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461648E6">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现场踏勘时间</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6962A765">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投标前，投标人须自行到项目所在地予以踏勘，对项目实施现场及周边环境等进行勘察，以获取编制投标文件和签署合同所需的所有资料，否则，由此所造成的一切后果由投标人自行承担</w:t>
            </w:r>
            <w:r>
              <w:rPr>
                <w:rFonts w:hint="eastAsia" w:ascii="宋体" w:hAnsi="宋体" w:eastAsia="宋体" w:cs="宋体"/>
                <w:color w:val="auto"/>
                <w:sz w:val="21"/>
                <w:szCs w:val="21"/>
                <w:highlight w:val="none"/>
              </w:rPr>
              <w:t>。</w:t>
            </w:r>
          </w:p>
        </w:tc>
      </w:tr>
      <w:tr w14:paraId="5E2D0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08CA3D14">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6AAE403F">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技术答疑</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7F31587C">
            <w:pPr>
              <w:keepNext w:val="0"/>
              <w:keepLines w:val="0"/>
              <w:pageBreakBefore w:val="0"/>
              <w:widowControl w:val="0"/>
              <w:kinsoku/>
              <w:wordWrap/>
              <w:overflowPunct/>
              <w:topLinePunct w:val="0"/>
              <w:autoSpaceDE/>
              <w:autoSpaceDN/>
              <w:bidi w:val="0"/>
              <w:snapToGrid w:val="0"/>
              <w:spacing w:line="400" w:lineRule="exact"/>
              <w:ind w:firstLine="411" w:firstLineChars="196"/>
              <w:textAlignment w:val="auto"/>
              <w:rPr>
                <w:rFonts w:hint="eastAsia" w:ascii="宋体" w:hAnsi="宋体" w:eastAsia="宋体" w:cs="宋体"/>
                <w:color w:val="auto"/>
                <w:sz w:val="21"/>
                <w:szCs w:val="21"/>
                <w:highlight w:val="none"/>
              </w:rPr>
            </w:pPr>
            <w:r>
              <w:rPr>
                <w:rFonts w:hint="eastAsia" w:ascii="宋体" w:hAnsi="宋体" w:cs="宋体"/>
                <w:color w:val="auto"/>
                <w:highlight w:val="none"/>
              </w:rPr>
              <w:t>供应商认为采购文件使自己的权益受到损害的，请于投标截止时间</w:t>
            </w:r>
            <w:r>
              <w:rPr>
                <w:rFonts w:hint="eastAsia" w:ascii="宋体" w:hAnsi="宋体" w:cs="宋体"/>
                <w:color w:val="auto"/>
                <w:highlight w:val="none"/>
                <w:lang w:val="en-US" w:eastAsia="zh-CN"/>
              </w:rPr>
              <w:t>3</w:t>
            </w:r>
            <w:r>
              <w:rPr>
                <w:rFonts w:hint="eastAsia" w:ascii="宋体" w:hAnsi="宋体" w:cs="宋体"/>
                <w:color w:val="auto"/>
                <w:highlight w:val="none"/>
              </w:rPr>
              <w:t>日前以书面形式向采购人和采购代理机构提出质疑。质疑以书面方式分别提交至</w:t>
            </w:r>
            <w:r>
              <w:rPr>
                <w:rFonts w:hint="eastAsia" w:ascii="宋体" w:hAnsi="宋体" w:cs="宋体"/>
                <w:color w:val="auto"/>
                <w:highlight w:val="none"/>
                <w:lang w:eastAsia="zh-CN"/>
              </w:rPr>
              <w:t>浙江中国小商品城集团股份有限公司银都雅悦酒店：许先生（</w:t>
            </w:r>
            <w:r>
              <w:rPr>
                <w:rFonts w:hint="eastAsia" w:ascii="宋体" w:hAnsi="宋体" w:cs="宋体"/>
                <w:color w:val="auto"/>
                <w:highlight w:val="none"/>
                <w:lang w:val="en-US" w:eastAsia="zh-CN"/>
              </w:rPr>
              <w:t>15057952895</w:t>
            </w:r>
            <w:r>
              <w:rPr>
                <w:rFonts w:hint="eastAsia" w:ascii="宋体" w:hAnsi="宋体" w:cs="宋体"/>
                <w:color w:val="auto"/>
                <w:highlight w:val="none"/>
                <w:lang w:eastAsia="zh-CN"/>
              </w:rPr>
              <w:t>）</w:t>
            </w:r>
            <w:r>
              <w:rPr>
                <w:rFonts w:hint="eastAsia" w:ascii="宋体" w:hAnsi="宋体" w:cs="宋体"/>
                <w:color w:val="auto"/>
                <w:highlight w:val="none"/>
              </w:rPr>
              <w:t>和</w:t>
            </w:r>
            <w:r>
              <w:rPr>
                <w:rFonts w:hint="eastAsia" w:ascii="宋体" w:hAnsi="宋体" w:cs="宋体"/>
                <w:color w:val="auto"/>
                <w:highlight w:val="none"/>
                <w:lang w:eastAsia="zh-CN"/>
              </w:rPr>
              <w:t>金华义产拍卖有限公司</w:t>
            </w:r>
            <w:r>
              <w:rPr>
                <w:rFonts w:hint="eastAsia" w:ascii="宋体" w:hAnsi="宋体" w:cs="宋体"/>
                <w:color w:val="auto"/>
                <w:highlight w:val="none"/>
              </w:rPr>
              <w:t>：王小姐（0579-89903039，ywcqztb001@ywcq.com），并致电采购代理机构确认。书面文件邮寄地址：义乌市北苑街道望道路300号405</w:t>
            </w:r>
            <w:r>
              <w:rPr>
                <w:rFonts w:hint="eastAsia" w:ascii="宋体" w:hAnsi="宋体" w:cs="宋体"/>
                <w:color w:val="auto"/>
                <w:highlight w:val="none"/>
                <w:lang w:val="en-US" w:eastAsia="zh-CN"/>
              </w:rPr>
              <w:t>1</w:t>
            </w:r>
            <w:r>
              <w:rPr>
                <w:rFonts w:hint="eastAsia" w:ascii="宋体" w:hAnsi="宋体" w:eastAsia="宋体" w:cs="宋体"/>
                <w:color w:val="auto"/>
                <w:highlight w:val="none"/>
              </w:rPr>
              <w:t>。</w:t>
            </w:r>
          </w:p>
        </w:tc>
      </w:tr>
      <w:tr w14:paraId="563A3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01AB9FED">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7114A81C">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7FF5715F">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自开标之日起60天（日历天）</w:t>
            </w:r>
          </w:p>
        </w:tc>
      </w:tr>
      <w:tr w14:paraId="4B6D3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5293BB23">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3E47FA41">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上传电子投标文件时间</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7B11DF93">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投标人应在投标截止时间（</w:t>
            </w:r>
            <w:r>
              <w:rPr>
                <w:rFonts w:hint="eastAsia" w:ascii="宋体" w:hAnsi="宋体" w:cs="宋体"/>
                <w:color w:val="auto"/>
                <w:highlight w:val="none"/>
                <w:lang w:val="en-US" w:eastAsia="zh-CN"/>
              </w:rPr>
              <w:t>2026年2月5日9:00</w:t>
            </w:r>
            <w:r>
              <w:rPr>
                <w:rFonts w:hint="eastAsia" w:ascii="宋体" w:hAnsi="宋体" w:eastAsia="宋体" w:cs="宋体"/>
                <w:color w:val="auto"/>
                <w:sz w:val="21"/>
                <w:szCs w:val="21"/>
                <w:highlight w:val="none"/>
              </w:rPr>
              <w:t>）之前上传投标文件</w:t>
            </w:r>
            <w:r>
              <w:rPr>
                <w:rFonts w:hint="eastAsia" w:ascii="宋体" w:hAnsi="宋体" w:eastAsia="宋体" w:cs="宋体"/>
                <w:color w:val="auto"/>
                <w:sz w:val="21"/>
                <w:szCs w:val="21"/>
                <w:highlight w:val="none"/>
                <w:lang w:eastAsia="zh-CN"/>
              </w:rPr>
              <w:t>。</w:t>
            </w:r>
          </w:p>
        </w:tc>
      </w:tr>
      <w:tr w14:paraId="66FF5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1B49C68D">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16D99CD3">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开标时间、地点及电子投标文件解密</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56C03C28">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w:t>
            </w:r>
            <w:r>
              <w:rPr>
                <w:rFonts w:hint="eastAsia" w:ascii="宋体" w:hAnsi="宋体" w:cs="宋体"/>
                <w:color w:val="auto"/>
                <w:highlight w:val="none"/>
                <w:lang w:val="en-US" w:eastAsia="zh-CN"/>
              </w:rPr>
              <w:t>2026年2月5日9:00</w:t>
            </w:r>
          </w:p>
          <w:p w14:paraId="46BD6181">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开标地点：“义乌市阳光招标采购平台”（www.ywygzc.com）</w:t>
            </w:r>
          </w:p>
          <w:p w14:paraId="2F6D9CD0">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本项目采用不见面开标方式，供应商无需到开标现场，但应准时参加线上开标。开标时间后代理机构公布名单并开启解密。开启解密后的30分钟内，供应商应当登录“义乌市阳光招标采购平台”，用“开标签到解密”功能或者登录“不见面开标大厅”解密投标文件。</w:t>
            </w:r>
          </w:p>
          <w:p w14:paraId="223FA68C">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cs="宋体"/>
                <w:color w:val="auto"/>
                <w:highlight w:val="none"/>
              </w:rPr>
            </w:pPr>
            <w:r>
              <w:rPr>
                <w:rFonts w:hint="eastAsia" w:ascii="宋体" w:hAnsi="宋体" w:cs="宋体"/>
                <w:color w:val="auto"/>
                <w:highlight w:val="none"/>
              </w:rPr>
              <w:t>请投标人开标前检查电脑和CA锁是否正常（确保CA锁在有效期内且CA锁介质无破损）。若收到开启解密通知后，无法解密的，可能是以下问题造成，请在收到开启解密通知15分钟内及时联系平台或招标代理进行处理，避免造成超时。</w:t>
            </w:r>
          </w:p>
          <w:p w14:paraId="5F6500C5">
            <w:pPr>
              <w:keepNext w:val="0"/>
              <w:keepLines w:val="0"/>
              <w:pageBreakBefore w:val="0"/>
              <w:widowControl w:val="0"/>
              <w:kinsoku/>
              <w:wordWrap/>
              <w:overflowPunct/>
              <w:topLinePunct w:val="0"/>
              <w:autoSpaceDE/>
              <w:autoSpaceDN/>
              <w:bidi w:val="0"/>
              <w:adjustRightInd/>
              <w:snapToGrid w:val="0"/>
              <w:spacing w:line="400" w:lineRule="exact"/>
              <w:ind w:firstLine="411" w:firstLineChars="196"/>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1</w:t>
            </w:r>
            <w:r>
              <w:rPr>
                <w:rFonts w:hint="eastAsia" w:ascii="宋体" w:hAnsi="宋体" w:cs="宋体"/>
                <w:color w:val="auto"/>
                <w:highlight w:val="none"/>
                <w:lang w:eastAsia="zh-CN"/>
              </w:rPr>
              <w:t>）</w:t>
            </w:r>
            <w:r>
              <w:rPr>
                <w:rFonts w:hint="eastAsia" w:ascii="宋体" w:hAnsi="宋体" w:cs="宋体"/>
                <w:color w:val="auto"/>
                <w:highlight w:val="none"/>
              </w:rPr>
              <w:t>该电脑未安装CA驱动，无法读取CA锁——重新下载安装驱动</w:t>
            </w:r>
            <w:r>
              <w:rPr>
                <w:rFonts w:hint="eastAsia" w:ascii="宋体" w:hAnsi="宋体" w:cs="宋体"/>
                <w:color w:val="auto"/>
                <w:highlight w:val="none"/>
                <w:lang w:eastAsia="zh-CN"/>
              </w:rPr>
              <w:t>；</w:t>
            </w:r>
          </w:p>
          <w:p w14:paraId="24FB2979">
            <w:pPr>
              <w:keepNext w:val="0"/>
              <w:keepLines w:val="0"/>
              <w:pageBreakBefore w:val="0"/>
              <w:widowControl w:val="0"/>
              <w:kinsoku/>
              <w:wordWrap/>
              <w:overflowPunct/>
              <w:topLinePunct w:val="0"/>
              <w:autoSpaceDE/>
              <w:autoSpaceDN/>
              <w:bidi w:val="0"/>
              <w:adjustRightInd/>
              <w:snapToGrid w:val="0"/>
              <w:spacing w:line="400" w:lineRule="exact"/>
              <w:ind w:firstLine="411" w:firstLineChars="196"/>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2</w:t>
            </w:r>
            <w:r>
              <w:rPr>
                <w:rFonts w:hint="eastAsia" w:ascii="宋体" w:hAnsi="宋体" w:cs="宋体"/>
                <w:color w:val="auto"/>
                <w:highlight w:val="none"/>
                <w:lang w:eastAsia="zh-CN"/>
              </w:rPr>
              <w:t>）</w:t>
            </w:r>
            <w:r>
              <w:rPr>
                <w:rFonts w:hint="eastAsia" w:ascii="宋体" w:hAnsi="宋体" w:cs="宋体"/>
                <w:color w:val="auto"/>
                <w:highlight w:val="none"/>
              </w:rPr>
              <w:t>电脑长时间未关机应用程序未响应，导致无法读取CA锁——重启电脑或重新安装驱动</w:t>
            </w:r>
            <w:r>
              <w:rPr>
                <w:rFonts w:hint="eastAsia" w:ascii="宋体" w:hAnsi="宋体" w:cs="宋体"/>
                <w:color w:val="auto"/>
                <w:highlight w:val="none"/>
                <w:lang w:eastAsia="zh-CN"/>
              </w:rPr>
              <w:t>；</w:t>
            </w:r>
          </w:p>
          <w:p w14:paraId="4DD3DD9A">
            <w:pPr>
              <w:keepNext w:val="0"/>
              <w:keepLines w:val="0"/>
              <w:pageBreakBefore w:val="0"/>
              <w:widowControl w:val="0"/>
              <w:kinsoku/>
              <w:wordWrap/>
              <w:overflowPunct/>
              <w:topLinePunct w:val="0"/>
              <w:autoSpaceDE/>
              <w:autoSpaceDN/>
              <w:bidi w:val="0"/>
              <w:adjustRightInd/>
              <w:snapToGrid w:val="0"/>
              <w:spacing w:line="400" w:lineRule="exact"/>
              <w:ind w:firstLine="411" w:firstLineChars="196"/>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3</w:t>
            </w:r>
            <w:r>
              <w:rPr>
                <w:rFonts w:hint="eastAsia" w:ascii="宋体" w:hAnsi="宋体" w:cs="宋体"/>
                <w:color w:val="auto"/>
                <w:highlight w:val="none"/>
                <w:lang w:eastAsia="zh-CN"/>
              </w:rPr>
              <w:t>）</w:t>
            </w:r>
            <w:r>
              <w:rPr>
                <w:rFonts w:hint="eastAsia" w:ascii="宋体" w:hAnsi="宋体" w:cs="宋体"/>
                <w:color w:val="auto"/>
                <w:highlight w:val="none"/>
              </w:rPr>
              <w:t>浏览器版本过低导致无法识别——更换</w:t>
            </w:r>
            <w:r>
              <w:rPr>
                <w:rFonts w:hint="eastAsia" w:ascii="宋体" w:hAnsi="宋体" w:cs="宋体"/>
                <w:color w:val="auto"/>
                <w:highlight w:val="none"/>
                <w:lang w:eastAsia="zh-CN"/>
              </w:rPr>
              <w:t>Edge</w:t>
            </w:r>
            <w:r>
              <w:rPr>
                <w:rFonts w:hint="eastAsia" w:ascii="宋体" w:hAnsi="宋体" w:cs="宋体"/>
                <w:color w:val="auto"/>
                <w:highlight w:val="none"/>
              </w:rPr>
              <w:t>、谷歌浏览器</w:t>
            </w:r>
            <w:r>
              <w:rPr>
                <w:rFonts w:hint="eastAsia" w:ascii="宋体" w:hAnsi="宋体" w:cs="宋体"/>
                <w:color w:val="auto"/>
                <w:highlight w:val="none"/>
                <w:lang w:eastAsia="zh-CN"/>
              </w:rPr>
              <w:t>；</w:t>
            </w:r>
          </w:p>
          <w:p w14:paraId="5FD7380C">
            <w:pPr>
              <w:keepNext w:val="0"/>
              <w:keepLines w:val="0"/>
              <w:pageBreakBefore w:val="0"/>
              <w:widowControl w:val="0"/>
              <w:kinsoku/>
              <w:wordWrap/>
              <w:overflowPunct/>
              <w:topLinePunct w:val="0"/>
              <w:autoSpaceDE/>
              <w:autoSpaceDN/>
              <w:bidi w:val="0"/>
              <w:adjustRightInd/>
              <w:snapToGrid w:val="0"/>
              <w:spacing w:line="400" w:lineRule="exact"/>
              <w:ind w:firstLine="411" w:firstLineChars="196"/>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4</w:t>
            </w:r>
            <w:r>
              <w:rPr>
                <w:rFonts w:hint="eastAsia" w:ascii="宋体" w:hAnsi="宋体" w:cs="宋体"/>
                <w:color w:val="auto"/>
                <w:highlight w:val="none"/>
                <w:lang w:eastAsia="zh-CN"/>
              </w:rPr>
              <w:t>）</w:t>
            </w:r>
            <w:r>
              <w:rPr>
                <w:rFonts w:hint="eastAsia" w:ascii="宋体" w:hAnsi="宋体" w:cs="宋体"/>
                <w:color w:val="auto"/>
                <w:highlight w:val="none"/>
              </w:rPr>
              <w:t>密码多次输入错误导致无法解密——打开CA工具进行检测密码是否正确</w:t>
            </w:r>
            <w:r>
              <w:rPr>
                <w:rFonts w:hint="eastAsia" w:ascii="宋体" w:hAnsi="宋体" w:cs="宋体"/>
                <w:color w:val="auto"/>
                <w:highlight w:val="none"/>
                <w:lang w:eastAsia="zh-CN"/>
              </w:rPr>
              <w:t>；</w:t>
            </w:r>
          </w:p>
          <w:p w14:paraId="49D36D9E">
            <w:pPr>
              <w:keepNext w:val="0"/>
              <w:keepLines w:val="0"/>
              <w:pageBreakBefore w:val="0"/>
              <w:widowControl w:val="0"/>
              <w:kinsoku/>
              <w:wordWrap/>
              <w:overflowPunct/>
              <w:topLinePunct w:val="0"/>
              <w:autoSpaceDE/>
              <w:autoSpaceDN/>
              <w:bidi w:val="0"/>
              <w:adjustRightInd/>
              <w:snapToGrid w:val="0"/>
              <w:spacing w:line="400" w:lineRule="exact"/>
              <w:ind w:firstLine="411" w:firstLineChars="196"/>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5</w:t>
            </w:r>
            <w:r>
              <w:rPr>
                <w:rFonts w:hint="eastAsia" w:ascii="宋体" w:hAnsi="宋体" w:cs="宋体"/>
                <w:color w:val="auto"/>
                <w:highlight w:val="none"/>
                <w:lang w:eastAsia="zh-CN"/>
              </w:rPr>
              <w:t>）</w:t>
            </w:r>
            <w:r>
              <w:rPr>
                <w:rFonts w:hint="eastAsia" w:ascii="宋体" w:hAnsi="宋体" w:cs="宋体"/>
                <w:color w:val="auto"/>
                <w:highlight w:val="none"/>
              </w:rPr>
              <w:t>因杀毒软件检测导致无法识别CA锁——关闭杀毒软件</w:t>
            </w:r>
            <w:r>
              <w:rPr>
                <w:rFonts w:hint="eastAsia" w:ascii="宋体" w:hAnsi="宋体" w:cs="宋体"/>
                <w:color w:val="auto"/>
                <w:highlight w:val="none"/>
                <w:lang w:eastAsia="zh-CN"/>
              </w:rPr>
              <w:t>；</w:t>
            </w:r>
          </w:p>
          <w:p w14:paraId="0C6D01AE">
            <w:pPr>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6</w:t>
            </w:r>
            <w:r>
              <w:rPr>
                <w:rFonts w:hint="eastAsia" w:ascii="宋体" w:hAnsi="宋体" w:cs="宋体"/>
                <w:color w:val="auto"/>
                <w:highlight w:val="none"/>
                <w:lang w:eastAsia="zh-CN"/>
              </w:rPr>
              <w:t>）</w:t>
            </w:r>
            <w:r>
              <w:rPr>
                <w:rFonts w:hint="eastAsia" w:ascii="宋体" w:hAnsi="宋体" w:cs="宋体"/>
                <w:color w:val="auto"/>
                <w:highlight w:val="none"/>
              </w:rPr>
              <w:t>因系统安装多版本驱动导致无法识别CA锁——卸载其他驱动或更换其他电脑安装驱动。</w:t>
            </w:r>
          </w:p>
        </w:tc>
      </w:tr>
      <w:tr w14:paraId="14080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2CA63236">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70DA40CF">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4DCE11B0">
            <w:pPr>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无</w:t>
            </w:r>
          </w:p>
        </w:tc>
      </w:tr>
      <w:tr w14:paraId="3AFF2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0B6485BD">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6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63167F">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履约保证金</w:t>
            </w:r>
          </w:p>
        </w:tc>
        <w:tc>
          <w:tcPr>
            <w:tcW w:w="7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4AA8C6">
            <w:pP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无</w:t>
            </w:r>
          </w:p>
        </w:tc>
      </w:tr>
      <w:tr w14:paraId="0143D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2D16AE73">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4</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71E46BE2">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666CEFED">
            <w:pPr>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详见招标文件第三章。</w:t>
            </w:r>
          </w:p>
        </w:tc>
      </w:tr>
      <w:tr w14:paraId="52B4B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06A19E04">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5</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10E0439A">
            <w:pPr>
              <w:pageBreakBefore w:val="0"/>
              <w:widowControl w:val="0"/>
              <w:kinsoku/>
              <w:wordWrap/>
              <w:overflowPunct/>
              <w:topLinePunct w:val="0"/>
              <w:autoSpaceDE/>
              <w:autoSpaceDN/>
              <w:bidi w:val="0"/>
              <w:spacing w:line="400" w:lineRule="exact"/>
              <w:ind w:left="-99" w:leftChars="-47"/>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失信行为处理</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35881C9B">
            <w:pPr>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投标人发生下列情况之一时，除严格依法依规进行处理外，还将通报市信用管理部门，列入严重失信名单：</w:t>
            </w:r>
          </w:p>
          <w:p w14:paraId="54883E8C">
            <w:pPr>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（1）投标人在规定的投标有效期内撤回投标或放弃中标的；</w:t>
            </w:r>
          </w:p>
          <w:p w14:paraId="1AFD8209">
            <w:pPr>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（2）有意串标或提供虚假材料的；</w:t>
            </w:r>
          </w:p>
          <w:p w14:paraId="2BE62F4B">
            <w:pPr>
              <w:pageBreakBefore w:val="0"/>
              <w:widowControl w:val="0"/>
              <w:kinsoku/>
              <w:wordWrap/>
              <w:overflowPunct/>
              <w:topLinePunct w:val="0"/>
              <w:autoSpaceDE/>
              <w:autoSpaceDN/>
              <w:bidi w:val="0"/>
              <w:spacing w:line="400" w:lineRule="exact"/>
              <w:jc w:val="left"/>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（3）中标人在收到中标通知书后，因自身原因不能在投标有效期内和采购人签订合同</w:t>
            </w:r>
            <w:r>
              <w:rPr>
                <w:rFonts w:hint="default" w:ascii="宋体" w:hAnsi="宋体" w:cs="宋体"/>
                <w:color w:val="auto"/>
                <w:sz w:val="21"/>
                <w:szCs w:val="21"/>
                <w:highlight w:val="none"/>
              </w:rPr>
              <w:t>；</w:t>
            </w:r>
          </w:p>
          <w:p w14:paraId="7ADFEA3D">
            <w:pPr>
              <w:pageBreakBefore w:val="0"/>
              <w:widowControl w:val="0"/>
              <w:kinsoku/>
              <w:wordWrap/>
              <w:overflowPunct/>
              <w:topLinePunct w:val="0"/>
              <w:autoSpaceDE/>
              <w:autoSpaceDN/>
              <w:bidi w:val="0"/>
              <w:spacing w:line="400" w:lineRule="exact"/>
              <w:ind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（4）中标人未在规定时间缴纳招标代理费的；</w:t>
            </w:r>
          </w:p>
          <w:p w14:paraId="090E0A40">
            <w:pPr>
              <w:pageBreakBefore w:val="0"/>
              <w:widowControl w:val="0"/>
              <w:kinsoku/>
              <w:wordWrap/>
              <w:overflowPunct/>
              <w:topLinePunct w:val="0"/>
              <w:autoSpaceDE/>
              <w:autoSpaceDN/>
              <w:bidi w:val="0"/>
              <w:spacing w:line="400" w:lineRule="exact"/>
              <w:jc w:val="left"/>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（5）中标供应商在</w:t>
            </w: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highlight w:val="none"/>
              </w:rPr>
              <w:t>标后履约过程中未按合同约定的期限和要求履约的</w:t>
            </w:r>
            <w:r>
              <w:rPr>
                <w:rFonts w:hint="default" w:ascii="宋体" w:hAnsi="宋体" w:cs="宋体"/>
                <w:color w:val="auto"/>
                <w:sz w:val="21"/>
                <w:szCs w:val="21"/>
                <w:highlight w:val="none"/>
              </w:rPr>
              <w:t>；</w:t>
            </w:r>
          </w:p>
          <w:p w14:paraId="6C1D5C20">
            <w:pPr>
              <w:pageBreakBefore w:val="0"/>
              <w:widowControl w:val="0"/>
              <w:kinsoku/>
              <w:wordWrap/>
              <w:overflowPunct/>
              <w:topLinePunct w:val="0"/>
              <w:autoSpaceDE/>
              <w:autoSpaceDN/>
              <w:bidi w:val="0"/>
              <w:spacing w:line="400" w:lineRule="exact"/>
              <w:jc w:val="left"/>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（6）因中标供应商原因在</w:t>
            </w: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highlight w:val="none"/>
              </w:rPr>
              <w:t>标后履约过程中擅自终止合同的</w:t>
            </w:r>
            <w:r>
              <w:rPr>
                <w:rFonts w:hint="default" w:ascii="宋体" w:hAnsi="宋体" w:cs="宋体"/>
                <w:color w:val="auto"/>
                <w:sz w:val="21"/>
                <w:szCs w:val="21"/>
                <w:highlight w:val="none"/>
              </w:rPr>
              <w:t>；</w:t>
            </w:r>
          </w:p>
          <w:p w14:paraId="754FF0E1">
            <w:pPr>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lang w:eastAsia="zh-TW"/>
              </w:rPr>
            </w:pPr>
            <w:r>
              <w:rPr>
                <w:rFonts w:hint="eastAsia" w:ascii="宋体" w:hAnsi="宋体" w:eastAsia="宋体" w:cs="宋体"/>
                <w:color w:val="auto"/>
                <w:sz w:val="21"/>
                <w:szCs w:val="21"/>
                <w:highlight w:val="none"/>
              </w:rPr>
              <w:t xml:space="preserve">  （7）不符合招标文件要求的其他失信行为。</w:t>
            </w:r>
          </w:p>
        </w:tc>
      </w:tr>
      <w:tr w14:paraId="464BA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32093E58">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6</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046B5C4E">
            <w:pPr>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其他</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132B707B">
            <w:pPr>
              <w:spacing w:line="380" w:lineRule="exact"/>
              <w:jc w:val="left"/>
              <w:rPr>
                <w:rFonts w:hint="eastAsia" w:ascii="宋体" w:hAnsi="宋体" w:eastAsia="宋体" w:cs="宋体"/>
                <w:b/>
                <w:bCs/>
                <w:color w:val="auto"/>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
                <w:bCs/>
                <w:color w:val="auto"/>
                <w:szCs w:val="21"/>
                <w:highlight w:val="none"/>
              </w:rPr>
              <w:t>本项目设有采购预算及最高限价，投标报价超过采购预算及最高限价的，其投标为无效标。</w:t>
            </w:r>
          </w:p>
          <w:p w14:paraId="35C52B5A">
            <w:pPr>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 w:val="0"/>
                <w:bCs w:val="0"/>
                <w:color w:val="auto"/>
                <w:szCs w:val="21"/>
                <w:highlight w:val="none"/>
              </w:rPr>
              <w:t>招标文件中要求投标人在制作投标文件时提供的复印件，必须根据评审细则对评审的内容复印完整、清晰可辨，否则在评审时以最不利于投标人原则评审。</w:t>
            </w:r>
          </w:p>
        </w:tc>
      </w:tr>
    </w:tbl>
    <w:p w14:paraId="555DA573">
      <w:pPr>
        <w:spacing w:line="360" w:lineRule="auto"/>
        <w:ind w:right="-313" w:rightChars="-149"/>
        <w:rPr>
          <w:rFonts w:ascii="宋体"/>
          <w:b/>
          <w:color w:val="auto"/>
          <w:szCs w:val="21"/>
          <w:highlight w:val="none"/>
        </w:rPr>
      </w:pPr>
      <w:r>
        <w:rPr>
          <w:rFonts w:hint="eastAsia" w:ascii="宋体" w:hAnsi="宋体" w:cs="宋体"/>
          <w:b/>
          <w:color w:val="auto"/>
          <w:szCs w:val="21"/>
          <w:highlight w:val="none"/>
        </w:rPr>
        <w:t>注：投标人须知前附表内容与本招标文件后述内容不一致的，以投标须知前附表为准。</w:t>
      </w:r>
    </w:p>
    <w:p w14:paraId="2AFD8957">
      <w:pPr>
        <w:pStyle w:val="2"/>
        <w:keepNext/>
        <w:keepLines/>
        <w:pageBreakBefore w:val="0"/>
        <w:widowControl w:val="0"/>
        <w:kinsoku/>
        <w:wordWrap/>
        <w:overflowPunct/>
        <w:topLinePunct w:val="0"/>
        <w:autoSpaceDE/>
        <w:autoSpaceDN/>
        <w:bidi w:val="0"/>
        <w:adjustRightInd/>
        <w:snapToGrid/>
        <w:spacing w:line="240" w:lineRule="exact"/>
        <w:jc w:val="center"/>
        <w:textAlignment w:val="auto"/>
        <w:rPr>
          <w:color w:val="auto"/>
          <w:sz w:val="32"/>
          <w:szCs w:val="32"/>
          <w:highlight w:val="none"/>
        </w:rPr>
      </w:pPr>
      <w:r>
        <w:rPr>
          <w:color w:val="auto"/>
          <w:sz w:val="36"/>
          <w:szCs w:val="36"/>
          <w:highlight w:val="none"/>
        </w:rPr>
        <w:br w:type="page"/>
      </w:r>
      <w:bookmarkStart w:id="5" w:name="_Toc8496"/>
      <w:bookmarkStart w:id="6" w:name="_Toc32581"/>
      <w:bookmarkStart w:id="7" w:name="_Toc2659"/>
      <w:r>
        <w:rPr>
          <w:rFonts w:hint="eastAsia"/>
          <w:color w:val="auto"/>
          <w:sz w:val="32"/>
          <w:szCs w:val="32"/>
          <w:highlight w:val="none"/>
        </w:rPr>
        <w:t>投标须知</w:t>
      </w:r>
      <w:bookmarkEnd w:id="5"/>
      <w:bookmarkEnd w:id="6"/>
      <w:bookmarkEnd w:id="7"/>
    </w:p>
    <w:p w14:paraId="0AB95E06">
      <w:pPr>
        <w:pStyle w:val="3"/>
        <w:pageBreakBefore w:val="0"/>
        <w:widowControl w:val="0"/>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8" w:name="_Toc20416"/>
      <w:bookmarkStart w:id="9" w:name="_Toc362250687"/>
      <w:bookmarkStart w:id="10" w:name="_Toc274303229"/>
      <w:bookmarkStart w:id="11" w:name="_Toc12927"/>
      <w:bookmarkStart w:id="12" w:name="_Toc27843"/>
      <w:r>
        <w:rPr>
          <w:rFonts w:hint="eastAsia" w:ascii="宋体" w:hAnsi="宋体" w:eastAsia="宋体" w:cs="宋体"/>
          <w:color w:val="auto"/>
          <w:sz w:val="21"/>
          <w:szCs w:val="21"/>
          <w:highlight w:val="none"/>
        </w:rPr>
        <w:t>一、说明</w:t>
      </w:r>
      <w:bookmarkEnd w:id="8"/>
      <w:bookmarkEnd w:id="9"/>
      <w:bookmarkEnd w:id="10"/>
      <w:bookmarkEnd w:id="11"/>
      <w:bookmarkEnd w:id="12"/>
    </w:p>
    <w:p w14:paraId="3356B87E">
      <w:pPr>
        <w:pStyle w:val="16"/>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适用范围</w:t>
      </w:r>
    </w:p>
    <w:p w14:paraId="7A2D6081">
      <w:pPr>
        <w:pStyle w:val="16"/>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本招标文件仅适用于本次招标采购所叙述的货物和服务项目。</w:t>
      </w:r>
    </w:p>
    <w:p w14:paraId="12501106">
      <w:pPr>
        <w:pStyle w:val="16"/>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定义</w:t>
      </w:r>
    </w:p>
    <w:p w14:paraId="400FB4EC">
      <w:pPr>
        <w:pStyle w:val="18"/>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2.1采购人：系指</w:t>
      </w:r>
      <w:r>
        <w:rPr>
          <w:rFonts w:hint="eastAsia" w:hAnsi="宋体"/>
          <w:color w:val="auto"/>
          <w:highlight w:val="none"/>
          <w:lang w:eastAsia="zh-CN"/>
        </w:rPr>
        <w:t>浙江中国小商品城集团股份有限公司银都雅悦酒店</w:t>
      </w:r>
      <w:r>
        <w:rPr>
          <w:rFonts w:hint="eastAsia" w:ascii="宋体" w:hAnsi="宋体" w:eastAsia="宋体" w:cs="宋体"/>
          <w:color w:val="auto"/>
          <w:sz w:val="21"/>
          <w:szCs w:val="21"/>
          <w:highlight w:val="none"/>
        </w:rPr>
        <w:t>。</w:t>
      </w:r>
    </w:p>
    <w:p w14:paraId="2702A2FF">
      <w:pPr>
        <w:pStyle w:val="16"/>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2.2招标代理机构：系指</w:t>
      </w:r>
      <w:r>
        <w:rPr>
          <w:rFonts w:hint="eastAsia" w:ascii="宋体" w:hAnsi="宋体" w:cs="宋体"/>
          <w:color w:val="auto"/>
          <w:sz w:val="21"/>
          <w:szCs w:val="21"/>
          <w:highlight w:val="none"/>
          <w:lang w:eastAsia="zh-CN"/>
        </w:rPr>
        <w:t>金华义产拍卖有限公司</w:t>
      </w:r>
      <w:r>
        <w:rPr>
          <w:rFonts w:hint="eastAsia" w:ascii="宋体" w:hAnsi="宋体" w:eastAsia="宋体" w:cs="宋体"/>
          <w:color w:val="auto"/>
          <w:sz w:val="21"/>
          <w:szCs w:val="21"/>
          <w:highlight w:val="none"/>
        </w:rPr>
        <w:t>。</w:t>
      </w:r>
    </w:p>
    <w:p w14:paraId="406426B0">
      <w:pPr>
        <w:pStyle w:val="16"/>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2.3投标人：系指符合招标公告要求的投标供应商。</w:t>
      </w:r>
    </w:p>
    <w:p w14:paraId="6EF4F6AC">
      <w:pPr>
        <w:pStyle w:val="16"/>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2.4服务：系指招标文件规定投标人须承担的劳务及其他类似的服务。</w:t>
      </w:r>
    </w:p>
    <w:p w14:paraId="0706E4D1">
      <w:pPr>
        <w:pStyle w:val="16"/>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2.5货物：系指按招标文件规定投标人须向采购人提供的一切材料、设备、机械、仪器仪表、工具及其他有关技术资料和文字材料。</w:t>
      </w:r>
    </w:p>
    <w:p w14:paraId="752BE8D7">
      <w:pPr>
        <w:pStyle w:val="16"/>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2.6需方：即采购人，在招投标阶段称为采购人，在签订和执行合同阶段称为需方。</w:t>
      </w:r>
    </w:p>
    <w:p w14:paraId="43701DCA">
      <w:pPr>
        <w:pStyle w:val="16"/>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2.7供方：在招投标阶段称为投标人，中标后在签订和执行合同阶段称为供方。</w:t>
      </w:r>
    </w:p>
    <w:p w14:paraId="55492433">
      <w:pPr>
        <w:pStyle w:val="16"/>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2.8“原产地”是指货物开采、生长或生产或提供有关服务的来源地。</w:t>
      </w:r>
    </w:p>
    <w:p w14:paraId="4AD9338E">
      <w:pPr>
        <w:pStyle w:val="16"/>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2.9“★”标记系指必须满足不能负偏离或必须应答的条款。</w:t>
      </w:r>
    </w:p>
    <w:p w14:paraId="3772311B">
      <w:pPr>
        <w:pStyle w:val="16"/>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合格的投标人</w:t>
      </w:r>
    </w:p>
    <w:p w14:paraId="5B2017A0">
      <w:pPr>
        <w:pStyle w:val="16"/>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3.1符合招标公告中要求的条件</w:t>
      </w:r>
      <w:r>
        <w:rPr>
          <w:rFonts w:hint="eastAsia" w:ascii="宋体" w:hAnsi="宋体" w:cs="宋体"/>
          <w:color w:val="auto"/>
          <w:sz w:val="21"/>
          <w:szCs w:val="21"/>
          <w:highlight w:val="none"/>
          <w:lang w:eastAsia="zh-CN"/>
        </w:rPr>
        <w:t>。</w:t>
      </w:r>
    </w:p>
    <w:p w14:paraId="2C89C3C7">
      <w:pPr>
        <w:pStyle w:val="18"/>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4</w:t>
      </w:r>
      <w:r>
        <w:rPr>
          <w:rFonts w:hint="eastAsia" w:hAnsi="宋体" w:cs="宋体"/>
          <w:b/>
          <w:color w:val="auto"/>
          <w:sz w:val="21"/>
          <w:szCs w:val="21"/>
          <w:highlight w:val="none"/>
          <w:lang w:eastAsia="zh-CN"/>
        </w:rPr>
        <w:t>.</w:t>
      </w:r>
      <w:r>
        <w:rPr>
          <w:rFonts w:hint="eastAsia" w:ascii="宋体" w:hAnsi="宋体" w:eastAsia="宋体" w:cs="宋体"/>
          <w:b/>
          <w:color w:val="auto"/>
          <w:sz w:val="21"/>
          <w:szCs w:val="21"/>
          <w:highlight w:val="none"/>
        </w:rPr>
        <w:t>保证</w:t>
      </w:r>
    </w:p>
    <w:p w14:paraId="62AC2ED6">
      <w:pPr>
        <w:pStyle w:val="16"/>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4.1投标单位应保证所提交给招标机构和采购人的资料和数据是真实的。</w:t>
      </w:r>
    </w:p>
    <w:p w14:paraId="0FF008F8">
      <w:pPr>
        <w:pStyle w:val="18"/>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w:t>
      </w:r>
      <w:r>
        <w:rPr>
          <w:rFonts w:hint="eastAsia" w:hAnsi="宋体" w:cs="宋体"/>
          <w:b/>
          <w:color w:val="auto"/>
          <w:sz w:val="21"/>
          <w:szCs w:val="21"/>
          <w:highlight w:val="none"/>
          <w:lang w:eastAsia="zh-CN"/>
        </w:rPr>
        <w:t>.</w:t>
      </w:r>
      <w:r>
        <w:rPr>
          <w:rFonts w:hint="eastAsia" w:ascii="宋体" w:hAnsi="宋体" w:eastAsia="宋体" w:cs="宋体"/>
          <w:b/>
          <w:color w:val="auto"/>
          <w:sz w:val="21"/>
          <w:szCs w:val="21"/>
          <w:highlight w:val="none"/>
        </w:rPr>
        <w:t>招标投标费用</w:t>
      </w:r>
    </w:p>
    <w:p w14:paraId="55DE74A2">
      <w:pPr>
        <w:pStyle w:val="16"/>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5.1不论投标过程中的做法和结果如何，投标人应承担所有与投标有关的全部费用。采购人和采购代理机构在任何情况下均无义务和责任承担上述这些费用。</w:t>
      </w:r>
    </w:p>
    <w:p w14:paraId="68244B46">
      <w:pPr>
        <w:pStyle w:val="18"/>
        <w:pageBreakBefore w:val="0"/>
        <w:widowControl w:val="0"/>
        <w:kinsoku/>
        <w:wordWrap/>
        <w:overflowPunct/>
        <w:topLinePunct w:val="0"/>
        <w:autoSpaceDE/>
        <w:autoSpaceDN/>
        <w:bidi w:val="0"/>
        <w:spacing w:line="360" w:lineRule="auto"/>
        <w:ind w:firstLine="48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w:t>
      </w:r>
      <w:r>
        <w:rPr>
          <w:rFonts w:hint="eastAsia" w:hAnsi="宋体" w:cs="宋体"/>
          <w:b/>
          <w:color w:val="auto"/>
          <w:sz w:val="21"/>
          <w:szCs w:val="21"/>
          <w:highlight w:val="none"/>
          <w:lang w:eastAsia="zh-CN"/>
        </w:rPr>
        <w:t>.</w:t>
      </w:r>
      <w:r>
        <w:rPr>
          <w:rFonts w:hint="eastAsia" w:ascii="宋体" w:hAnsi="宋体" w:eastAsia="宋体" w:cs="宋体"/>
          <w:b/>
          <w:color w:val="auto"/>
          <w:sz w:val="21"/>
          <w:szCs w:val="21"/>
          <w:highlight w:val="none"/>
        </w:rPr>
        <w:t xml:space="preserve">现场勘察 </w:t>
      </w:r>
    </w:p>
    <w:p w14:paraId="79759E3F">
      <w:pPr>
        <w:pStyle w:val="16"/>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6.1投标前，投标人须自行到项目所在地予以踏勘，对项目实施现场及周边环境等进行勘察，以获取编制投标文件和签署合同所需的所有资料，否则，由此所造成的一切后果由投标人自行承担。</w:t>
      </w:r>
    </w:p>
    <w:p w14:paraId="66F5E1D0">
      <w:pPr>
        <w:pStyle w:val="16"/>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6.2投标单位在考察过程中发生的各类事件及所发生的各项费用，均由投标单位自行承担。采购人和代理机构概不负责。</w:t>
      </w:r>
    </w:p>
    <w:p w14:paraId="2766CA9F">
      <w:pPr>
        <w:pStyle w:val="16"/>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6.3采购人向投标单位提供的有关现场的数据和资料，是采购人现有的能被投标人利用的资料，采购人对投标人据此做出的任何推论、理解和结论不负责任。</w:t>
      </w:r>
    </w:p>
    <w:p w14:paraId="005A7985">
      <w:pPr>
        <w:pStyle w:val="16"/>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6.4现场踏勘完毕，将认为投标人已了解现场情况，并充分理解了为之所承担的风险、义务和责任。</w:t>
      </w:r>
    </w:p>
    <w:p w14:paraId="37911604">
      <w:pPr>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联合体投标</w:t>
      </w:r>
    </w:p>
    <w:p w14:paraId="3B042B26">
      <w:pPr>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本项目不允许转包。</w:t>
      </w:r>
    </w:p>
    <w:p w14:paraId="680EB499">
      <w:pPr>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本项目不允许分包。</w:t>
      </w:r>
    </w:p>
    <w:p w14:paraId="06324062">
      <w:pPr>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本项目不接受联合体投标。</w:t>
      </w:r>
    </w:p>
    <w:p w14:paraId="3B70FF22">
      <w:pPr>
        <w:pStyle w:val="3"/>
        <w:pageBreakBefore w:val="0"/>
        <w:widowControl w:val="0"/>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13" w:name="_Toc29212"/>
      <w:bookmarkStart w:id="14" w:name="_Toc12737"/>
      <w:bookmarkStart w:id="15" w:name="_Toc19565"/>
      <w:bookmarkStart w:id="16" w:name="_Toc274303230"/>
      <w:bookmarkStart w:id="17" w:name="_Toc362250688"/>
      <w:r>
        <w:rPr>
          <w:rFonts w:hint="eastAsia" w:ascii="宋体" w:hAnsi="宋体" w:eastAsia="宋体" w:cs="宋体"/>
          <w:color w:val="auto"/>
          <w:sz w:val="21"/>
          <w:szCs w:val="21"/>
          <w:highlight w:val="none"/>
        </w:rPr>
        <w:t>二、招标文件</w:t>
      </w:r>
      <w:bookmarkEnd w:id="13"/>
      <w:bookmarkEnd w:id="14"/>
      <w:bookmarkEnd w:id="15"/>
      <w:bookmarkEnd w:id="16"/>
      <w:bookmarkEnd w:id="17"/>
    </w:p>
    <w:p w14:paraId="442310DA">
      <w:pPr>
        <w:pageBreakBefore w:val="0"/>
        <w:widowControl w:val="0"/>
        <w:kinsoku/>
        <w:wordWrap/>
        <w:overflowPunct/>
        <w:topLinePunct w:val="0"/>
        <w:autoSpaceDE/>
        <w:autoSpaceDN/>
        <w:bidi w:val="0"/>
        <w:adjustRightInd w:val="0"/>
        <w:snapToGrid w:val="0"/>
        <w:spacing w:before="50" w:after="50"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8</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招标文件的组成</w:t>
      </w:r>
    </w:p>
    <w:p w14:paraId="0576CB85">
      <w:pPr>
        <w:pageBreakBefore w:val="0"/>
        <w:widowControl w:val="0"/>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8.1招标文件包括下列内容：</w:t>
      </w:r>
    </w:p>
    <w:p w14:paraId="0140167C">
      <w:pPr>
        <w:pageBreakBefore w:val="0"/>
        <w:widowControl w:val="0"/>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第一章  招标公告</w:t>
      </w:r>
    </w:p>
    <w:p w14:paraId="54B11246">
      <w:pPr>
        <w:pageBreakBefore w:val="0"/>
        <w:widowControl w:val="0"/>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第二章  投标须知和投标须知前附表</w:t>
      </w:r>
    </w:p>
    <w:p w14:paraId="130B587E">
      <w:pPr>
        <w:pageBreakBefore w:val="0"/>
        <w:widowControl w:val="0"/>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第三章  招标项目要求</w:t>
      </w:r>
    </w:p>
    <w:p w14:paraId="708D7CFE">
      <w:pPr>
        <w:pageBreakBefore w:val="0"/>
        <w:widowControl w:val="0"/>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第四章  开标、评标和定标须知</w:t>
      </w:r>
    </w:p>
    <w:p w14:paraId="79F392C4">
      <w:pPr>
        <w:pageBreakBefore w:val="0"/>
        <w:widowControl w:val="0"/>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第五章  投标文件的有效性</w:t>
      </w:r>
    </w:p>
    <w:p w14:paraId="71E73807">
      <w:pPr>
        <w:pageBreakBefore w:val="0"/>
        <w:widowControl w:val="0"/>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第六章  评标办法</w:t>
      </w:r>
    </w:p>
    <w:p w14:paraId="5E0C03B0">
      <w:pPr>
        <w:pageBreakBefore w:val="0"/>
        <w:widowControl w:val="0"/>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第七章  合同主要条款</w:t>
      </w:r>
    </w:p>
    <w:p w14:paraId="58E983F1">
      <w:pPr>
        <w:pageBreakBefore w:val="0"/>
        <w:widowControl w:val="0"/>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第八章  投标文件部分格式</w:t>
      </w:r>
    </w:p>
    <w:p w14:paraId="7F4498BB">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8.2除8.1内容外，采购人以书面形式发出的对招标文件的澄清或修改内容，均为招标文件的组成部分，对采购人和投标人起约束作用。</w:t>
      </w:r>
    </w:p>
    <w:p w14:paraId="522F0C3A">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8.3上述所列8.1及8.2条内容均以书面文件为准，采购人（招标代理机构）的任何工作人员对投</w:t>
      </w:r>
      <w:r>
        <w:rPr>
          <w:rFonts w:hint="eastAsia" w:ascii="宋体" w:hAnsi="宋体" w:eastAsia="宋体" w:cs="宋体"/>
          <w:color w:val="auto"/>
          <w:sz w:val="21"/>
          <w:szCs w:val="21"/>
          <w:highlight w:val="none"/>
        </w:rPr>
        <w:t>标人所作的任何口头解释、介绍、答复，对采购人和投标人无任何约束力。</w:t>
      </w:r>
    </w:p>
    <w:p w14:paraId="3D2D7F0F">
      <w:pPr>
        <w:pStyle w:val="18"/>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8.4投标单位应认真阅读投标须知、合同条件、规定格式、项目要求、报价要求等招标文件所有的内容。如果投标单位的投标文件不能符合招标文件的要求，责任由投标单位自负。实质上不响应招标文件要求的投标文件将被拒绝。</w:t>
      </w:r>
    </w:p>
    <w:p w14:paraId="58B66F52">
      <w:pPr>
        <w:pageBreakBefore w:val="0"/>
        <w:widowControl w:val="0"/>
        <w:kinsoku/>
        <w:wordWrap/>
        <w:overflowPunct/>
        <w:topLinePunct w:val="0"/>
        <w:autoSpaceDE/>
        <w:autoSpaceDN/>
        <w:bidi w:val="0"/>
        <w:adjustRightInd w:val="0"/>
        <w:snapToGrid w:val="0"/>
        <w:spacing w:before="50" w:after="50"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9</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招标文件的澄清</w:t>
      </w:r>
    </w:p>
    <w:p w14:paraId="60938BA7">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9.1投标人若对招标文件有任何疑问，应于前附表规定的时间</w:t>
      </w:r>
      <w:r>
        <w:rPr>
          <w:rFonts w:hint="eastAsia" w:ascii="宋体" w:hAnsi="宋体" w:eastAsia="宋体" w:cs="宋体"/>
          <w:color w:val="auto"/>
          <w:sz w:val="21"/>
          <w:szCs w:val="21"/>
          <w:highlight w:val="none"/>
          <w:lang w:val="en-US" w:eastAsia="zh-CN"/>
        </w:rPr>
        <w:t>及方式</w:t>
      </w:r>
      <w:r>
        <w:rPr>
          <w:rFonts w:hint="eastAsia" w:ascii="宋体" w:hAnsi="宋体" w:eastAsia="宋体" w:cs="宋体"/>
          <w:color w:val="auto"/>
          <w:sz w:val="21"/>
          <w:szCs w:val="21"/>
          <w:highlight w:val="none"/>
        </w:rPr>
        <w:t>向采购人和代理机构提出。</w:t>
      </w:r>
    </w:p>
    <w:p w14:paraId="41AC2AE0">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9.2无论是采购人根据需要主动对招标文件进行必要澄清，或是根据投标人的要求对招标文件做出澄清，采购人都将答疑；答疑内容是招标文件的组成部分。</w:t>
      </w:r>
    </w:p>
    <w:p w14:paraId="1A9751ED">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同时将书面澄清文件向所有投标人发送。投标人在收到该澄清文件后应于 一 日内，以书面或传真形式（签署意见并加盖公章）向招标代理机构回函给予确认。过期未回复的，视为默认接收。</w:t>
      </w:r>
    </w:p>
    <w:p w14:paraId="43102A3F">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9.3投标单位在前附表规定时间未提交疑问的，视作默认对本次招标过程中招标文件无异议，采购人对其提出的问题可以不作解释。</w:t>
      </w:r>
    </w:p>
    <w:p w14:paraId="62D543FC">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9.4招标文件澄清、修改、补充等内容均以书面形式明确的内容为准。当招标文件、招标文件的澄清、修改、补充等在同一内容的表述上不一致时，以最后发出的书面文件为准。</w:t>
      </w:r>
    </w:p>
    <w:p w14:paraId="6B27C7D6">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9.5采购人及招标代理机构工作人员向投标人所作的任何口头答复或电话通知一律无效。</w:t>
      </w:r>
    </w:p>
    <w:p w14:paraId="2283AF99">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9.6投标人应仔细阅读和检查招标文件的全部内容。如发现缺页或附件不全，应及时向采购人提出，以便补齐。如有疑问，应在投标人须知前附表规定的方式及时间前以书面或传真的形式要求采购人对招标文件予以澄清。否则，由此引起的损失由投标人自己承担。</w:t>
      </w:r>
    </w:p>
    <w:p w14:paraId="663A7DB0">
      <w:pPr>
        <w:pStyle w:val="3"/>
        <w:pageBreakBefore w:val="0"/>
        <w:widowControl w:val="0"/>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18" w:name="_Toc19090"/>
      <w:bookmarkStart w:id="19" w:name="_Toc362250689"/>
      <w:bookmarkStart w:id="20" w:name="_Toc31250"/>
      <w:bookmarkStart w:id="21" w:name="_Toc274303231"/>
      <w:bookmarkStart w:id="22" w:name="_Toc16783"/>
      <w:r>
        <w:rPr>
          <w:rFonts w:hint="eastAsia" w:ascii="宋体" w:hAnsi="宋体" w:eastAsia="宋体" w:cs="宋体"/>
          <w:color w:val="auto"/>
          <w:sz w:val="21"/>
          <w:szCs w:val="21"/>
          <w:highlight w:val="none"/>
        </w:rPr>
        <w:t>三、投标文件</w:t>
      </w:r>
      <w:bookmarkEnd w:id="18"/>
      <w:bookmarkEnd w:id="19"/>
      <w:bookmarkEnd w:id="20"/>
      <w:bookmarkEnd w:id="21"/>
      <w:bookmarkEnd w:id="22"/>
    </w:p>
    <w:p w14:paraId="0C737421">
      <w:pPr>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10</w:t>
      </w:r>
      <w:r>
        <w:rPr>
          <w:rFonts w:hint="eastAsia" w:ascii="宋体" w:hAnsi="宋体" w:eastAsia="宋体" w:cs="宋体"/>
          <w:b/>
          <w:color w:val="auto"/>
          <w:sz w:val="21"/>
          <w:szCs w:val="21"/>
          <w:highlight w:val="none"/>
          <w:lang w:eastAsia="zh-CN"/>
        </w:rPr>
        <w:t>.</w:t>
      </w:r>
      <w:r>
        <w:rPr>
          <w:rFonts w:hint="eastAsia" w:ascii="宋体" w:hAnsi="宋体" w:eastAsia="宋体" w:cs="宋体"/>
          <w:b/>
          <w:bCs/>
          <w:color w:val="auto"/>
          <w:sz w:val="21"/>
          <w:szCs w:val="21"/>
          <w:highlight w:val="none"/>
        </w:rPr>
        <w:t>投标文件的语言及度量衡单位</w:t>
      </w:r>
    </w:p>
    <w:p w14:paraId="4D3474AF">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10.1投标文件和与投标有关的所有文件均应使用汉语。</w:t>
      </w:r>
    </w:p>
    <w:p w14:paraId="681B7219">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10.2除工程规范另有规定外，投标文件使用的度量衡单位，均采用中华人民共和国法定计量单位。</w:t>
      </w:r>
    </w:p>
    <w:p w14:paraId="0801A23F">
      <w:pPr>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11</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对投标文件的要求</w:t>
      </w:r>
    </w:p>
    <w:p w14:paraId="091B9EF7">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11.1投标人应仔细阅读招标文件，了解招标文件的要求，在完全了解招标项目的技术要求和商务要求后，编制投标文件。</w:t>
      </w:r>
    </w:p>
    <w:p w14:paraId="458638F6">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11.2编制投标文件时，投标人对招标文件中技术及商务要求须逐条逐项作出实质性回答。</w:t>
      </w:r>
    </w:p>
    <w:p w14:paraId="7D1E7352">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在招标文件对技术要求中，投标人必须充分应答和满足用户的强制性的需求，如“★”等，否则将导致废标。</w:t>
      </w:r>
    </w:p>
    <w:p w14:paraId="48E713DA">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11.4投标人应提供证明其拟提供的货物及其辅助服务的合格性及符合招标文件规定的文件，作为其投标文件的一部分。</w:t>
      </w:r>
    </w:p>
    <w:p w14:paraId="42B75E57">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11.5货物简要说明中对货物和服务原产地的说明，并应有原产地证书证明，进口货物必须有进口产品的商检证明、报关单等资料。</w:t>
      </w:r>
    </w:p>
    <w:p w14:paraId="41A59C93">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11.6投标人在阐述货物和服务与招标文件的要求相一致的资料时应注意采购人和招标代理机构在</w:t>
      </w:r>
      <w:r>
        <w:rPr>
          <w:rFonts w:hint="eastAsia" w:ascii="宋体" w:hAnsi="宋体" w:eastAsia="宋体" w:cs="宋体"/>
          <w:color w:val="auto"/>
          <w:sz w:val="21"/>
          <w:szCs w:val="21"/>
          <w:highlight w:val="none"/>
        </w:rPr>
        <w:t>技术与商务要求中指出的工艺、材料和设备的标准以及参照的牌号或分类号仅起说明作用，并没有任何限制投标人在响应中可以选用替代标准、牌号或分类号，但这些替代要实质上相当于招标文件的要求，并使采购人满意。</w:t>
      </w:r>
    </w:p>
    <w:p w14:paraId="2EADE856">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11.7编制的投标文件对招标文件中有关条款未提出异议的，均被视为接受和同意。</w:t>
      </w:r>
    </w:p>
    <w:p w14:paraId="7686C8C0">
      <w:pPr>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投标文件的组成</w:t>
      </w:r>
    </w:p>
    <w:p w14:paraId="709190FA">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 招标文件“投标文件部分格式”所列的内容、格式及其投标人认为有必要提供的其他文件。</w:t>
      </w:r>
    </w:p>
    <w:p w14:paraId="10BFD164">
      <w:pPr>
        <w:pStyle w:val="16"/>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12.2 投标文件由资格响应文件、商务技术响应文件和报价响应文件组成，以下的“格式”，指的是第八章投标文件</w:t>
      </w:r>
      <w:r>
        <w:rPr>
          <w:rFonts w:hint="eastAsia" w:ascii="宋体" w:hAnsi="宋体" w:cs="宋体"/>
          <w:b/>
          <w:bCs/>
          <w:color w:val="auto"/>
          <w:sz w:val="21"/>
          <w:szCs w:val="21"/>
          <w:highlight w:val="none"/>
          <w:lang w:val="en-US" w:eastAsia="zh-CN"/>
        </w:rPr>
        <w:t>部分</w:t>
      </w:r>
      <w:r>
        <w:rPr>
          <w:rFonts w:hint="eastAsia" w:ascii="宋体" w:hAnsi="宋体" w:eastAsia="宋体" w:cs="宋体"/>
          <w:b/>
          <w:bCs/>
          <w:color w:val="auto"/>
          <w:sz w:val="21"/>
          <w:szCs w:val="21"/>
          <w:highlight w:val="none"/>
        </w:rPr>
        <w:t>格式中的表格；</w:t>
      </w:r>
    </w:p>
    <w:p w14:paraId="6258F2F0">
      <w:pPr>
        <w:pStyle w:val="18"/>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12.2.1 资格响应文件：</w:t>
      </w:r>
      <w:r>
        <w:rPr>
          <w:rFonts w:hint="eastAsia" w:hAnsi="宋体" w:cs="宋体"/>
          <w:color w:val="auto"/>
          <w:sz w:val="21"/>
          <w:szCs w:val="21"/>
          <w:highlight w:val="none"/>
          <w:lang w:eastAsia="zh-CN"/>
        </w:rPr>
        <w:t>投标人</w:t>
      </w:r>
      <w:r>
        <w:rPr>
          <w:rFonts w:hint="eastAsia" w:ascii="宋体" w:hAnsi="宋体" w:eastAsia="宋体" w:cs="宋体"/>
          <w:color w:val="auto"/>
          <w:sz w:val="21"/>
          <w:szCs w:val="21"/>
          <w:highlight w:val="none"/>
        </w:rPr>
        <w:t>资格、资信合格性的有关证明及资料（提供的证明文件需在有效期内，过期的文件无效）：投标人应提交证明其有资格参加投标和中标后有能力履行合同的文件，并作为其投标文件的一部分；投标人提交的合格性的证明文件应使招标方满意，投标人在投标时应是符合条件的投标人。</w:t>
      </w:r>
      <w:r>
        <w:rPr>
          <w:rFonts w:hint="eastAsia" w:ascii="宋体" w:hAnsi="宋体" w:eastAsia="宋体" w:cs="宋体"/>
          <w:b/>
          <w:bCs/>
          <w:color w:val="auto"/>
          <w:sz w:val="21"/>
          <w:szCs w:val="21"/>
          <w:highlight w:val="none"/>
        </w:rPr>
        <w:t>应包括下列内容（并不仅限于以下）：（</w:t>
      </w:r>
      <w:r>
        <w:rPr>
          <w:rFonts w:hint="eastAsia" w:ascii="宋体" w:hAnsi="宋体" w:eastAsia="宋体" w:cs="宋体"/>
          <w:b/>
          <w:bCs/>
          <w:color w:val="auto"/>
          <w:sz w:val="21"/>
          <w:szCs w:val="21"/>
          <w:highlight w:val="none"/>
          <w:u w:val="single"/>
        </w:rPr>
        <w:t>提供的所有证书应在有效期内，过期的文件无效）</w:t>
      </w:r>
    </w:p>
    <w:p w14:paraId="35787D41">
      <w:pPr>
        <w:pStyle w:val="18"/>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（1）有效的营业执照副本等经营资格扫描件或在“国家企业信用信息公示系统”（网址：http://www.gsxt.gov.cn/）上的单位详细信息打印件；</w:t>
      </w:r>
    </w:p>
    <w:p w14:paraId="0DC5C32B">
      <w:pPr>
        <w:pStyle w:val="18"/>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（2）义乌市国企采购项目投标承诺书；</w:t>
      </w:r>
    </w:p>
    <w:p w14:paraId="0C87156C">
      <w:pPr>
        <w:spacing w:line="360" w:lineRule="auto"/>
        <w:ind w:firstLine="422" w:firstLineChars="200"/>
        <w:rPr>
          <w:rFonts w:hint="eastAsia" w:ascii="宋体" w:hAnsi="宋体" w:cs="宋体"/>
          <w:color w:val="auto"/>
          <w:sz w:val="21"/>
          <w:szCs w:val="21"/>
          <w:highlight w:val="none"/>
          <w:lang w:eastAsia="zh-CN"/>
        </w:rPr>
      </w:pP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hAnsi="宋体" w:cs="宋体"/>
          <w:b w:val="0"/>
          <w:bCs/>
          <w:color w:val="auto"/>
          <w:sz w:val="21"/>
          <w:szCs w:val="21"/>
          <w:highlight w:val="none"/>
          <w:lang w:val="en-US" w:eastAsia="zh-CN"/>
        </w:rPr>
        <w:t>法定代表人</w:t>
      </w:r>
      <w:r>
        <w:rPr>
          <w:rFonts w:hint="eastAsia" w:ascii="宋体" w:hAnsi="宋体" w:eastAsia="宋体" w:cs="宋体"/>
          <w:b w:val="0"/>
          <w:bCs/>
          <w:color w:val="auto"/>
          <w:sz w:val="21"/>
          <w:szCs w:val="21"/>
          <w:highlight w:val="none"/>
        </w:rPr>
        <w:t>授权委托书及被授权人身份证</w:t>
      </w:r>
      <w:r>
        <w:rPr>
          <w:rFonts w:hint="eastAsia" w:ascii="宋体" w:hAnsi="宋体" w:eastAsia="宋体" w:cs="宋体"/>
          <w:color w:val="auto"/>
          <w:sz w:val="21"/>
          <w:szCs w:val="21"/>
          <w:highlight w:val="none"/>
          <w:lang w:eastAsia="zh-CN"/>
        </w:rPr>
        <w:t>复印件</w:t>
      </w:r>
      <w:r>
        <w:rPr>
          <w:rFonts w:hint="eastAsia" w:ascii="宋体" w:hAnsi="宋体" w:eastAsia="宋体" w:cs="宋体"/>
          <w:b w:val="0"/>
          <w:bCs/>
          <w:color w:val="auto"/>
          <w:sz w:val="21"/>
          <w:szCs w:val="21"/>
          <w:highlight w:val="none"/>
        </w:rPr>
        <w:t>［适用于非法定代表人参加投标的</w:t>
      </w:r>
      <w:r>
        <w:rPr>
          <w:rFonts w:hint="eastAsia" w:ascii="宋体" w:hAnsi="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说明：法定代表人以营业执照载明的人员为准］；</w:t>
      </w:r>
      <w:r>
        <w:rPr>
          <w:rFonts w:hint="eastAsia" w:ascii="宋体" w:hAnsi="宋体" w:eastAsia="宋体" w:cs="宋体"/>
          <w:color w:val="auto"/>
          <w:sz w:val="21"/>
          <w:szCs w:val="21"/>
          <w:highlight w:val="none"/>
          <w:lang w:eastAsia="zh-CN"/>
        </w:rPr>
        <w:t>或法定代表人身份证复印件［适用于法定代表人参加投标的］</w:t>
      </w:r>
      <w:r>
        <w:rPr>
          <w:rFonts w:hint="eastAsia" w:ascii="宋体" w:hAnsi="宋体" w:cs="宋体"/>
          <w:color w:val="auto"/>
          <w:sz w:val="21"/>
          <w:szCs w:val="21"/>
          <w:highlight w:val="none"/>
          <w:lang w:eastAsia="zh-CN"/>
        </w:rPr>
        <w:t>；</w:t>
      </w:r>
    </w:p>
    <w:p w14:paraId="64BD820C">
      <w:pPr>
        <w:spacing w:line="360" w:lineRule="auto"/>
        <w:ind w:firstLine="422" w:firstLineChars="200"/>
        <w:rPr>
          <w:rFonts w:hint="eastAsia" w:ascii="宋体" w:hAnsi="宋体" w:cs="宋体"/>
          <w:color w:val="auto"/>
          <w:sz w:val="21"/>
          <w:szCs w:val="21"/>
          <w:highlight w:val="none"/>
          <w:lang w:eastAsia="zh-CN"/>
        </w:rPr>
      </w:pP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提</w:t>
      </w:r>
      <w:r>
        <w:rPr>
          <w:rFonts w:hint="eastAsia" w:hAnsi="宋体" w:cs="Times New Roman"/>
          <w:b w:val="0"/>
          <w:bCs/>
          <w:color w:val="auto"/>
          <w:highlight w:val="none"/>
          <w:lang w:val="en-US" w:eastAsia="zh-CN"/>
        </w:rPr>
        <w:t>供自2023年1月1日以来至少为2家及以上规模达100人以上的食堂提供劳务服务的合同扫描件</w:t>
      </w:r>
      <w:r>
        <w:rPr>
          <w:rFonts w:hint="eastAsia" w:ascii="宋体" w:hAnsi="宋体" w:cs="宋体"/>
          <w:color w:val="auto"/>
          <w:sz w:val="21"/>
          <w:szCs w:val="21"/>
          <w:highlight w:val="none"/>
          <w:lang w:eastAsia="zh-CN"/>
        </w:rPr>
        <w:t>。</w:t>
      </w:r>
    </w:p>
    <w:p w14:paraId="60F05A74">
      <w:pPr>
        <w:pStyle w:val="18"/>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12.2.2 商务技术响应文件</w:t>
      </w:r>
      <w:r>
        <w:rPr>
          <w:rFonts w:hint="eastAsia" w:ascii="宋体" w:hAnsi="宋体" w:eastAsia="宋体" w:cs="宋体"/>
          <w:color w:val="auto"/>
          <w:sz w:val="21"/>
          <w:szCs w:val="21"/>
          <w:highlight w:val="none"/>
        </w:rPr>
        <w:t>：投标货物、服务符合性的有关证明及技术资料：投标人须提交参投货物的详细技术文件，其形式可以是文字资料、图纸和数据等，证明其拟供货物和服务符合</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文件规定的技术响应文件，作为投标文件的一部分。</w:t>
      </w:r>
      <w:r>
        <w:rPr>
          <w:rFonts w:hint="eastAsia" w:ascii="宋体" w:hAnsi="宋体" w:eastAsia="宋体" w:cs="宋体"/>
          <w:b/>
          <w:bCs/>
          <w:color w:val="auto"/>
          <w:sz w:val="21"/>
          <w:szCs w:val="21"/>
          <w:highlight w:val="none"/>
        </w:rPr>
        <w:t>应包括下列内容（并不仅限于以下）</w:t>
      </w:r>
    </w:p>
    <w:p w14:paraId="549B00C5">
      <w:pPr>
        <w:pStyle w:val="18"/>
        <w:spacing w:line="360" w:lineRule="auto"/>
        <w:ind w:firstLine="420" w:firstLineChars="200"/>
        <w:rPr>
          <w:rFonts w:hint="eastAsia" w:ascii="宋体" w:hAnsi="宋体" w:eastAsia="宋体" w:cs="宋体"/>
          <w:color w:val="auto"/>
          <w:highlight w:val="none"/>
          <w:lang w:eastAsia="zh-CN" w:bidi="ar-SA"/>
        </w:rPr>
      </w:pPr>
      <w:r>
        <w:rPr>
          <w:rFonts w:hint="eastAsia" w:ascii="宋体" w:hAnsi="宋体" w:eastAsia="宋体" w:cs="宋体"/>
          <w:color w:val="auto"/>
          <w:highlight w:val="none"/>
          <w:lang w:bidi="ar-SA"/>
        </w:rPr>
        <w:t>（1）</w:t>
      </w:r>
      <w:r>
        <w:rPr>
          <w:rFonts w:hint="eastAsia" w:hAnsi="宋体"/>
          <w:color w:val="auto"/>
          <w:highlight w:val="none"/>
        </w:rPr>
        <w:t>服务方案（含菜</w:t>
      </w:r>
      <w:r>
        <w:rPr>
          <w:rFonts w:hint="eastAsia" w:hAnsi="宋体"/>
          <w:color w:val="auto"/>
          <w:highlight w:val="none"/>
          <w:lang w:val="en-US" w:eastAsia="zh-CN"/>
        </w:rPr>
        <w:t>单</w:t>
      </w:r>
      <w:r>
        <w:rPr>
          <w:rFonts w:hint="eastAsia" w:hAnsi="宋体"/>
          <w:color w:val="auto"/>
          <w:highlight w:val="none"/>
        </w:rPr>
        <w:t>设计、菜单更新计划等）</w:t>
      </w:r>
      <w:r>
        <w:rPr>
          <w:rFonts w:hint="eastAsia" w:ascii="宋体" w:cs="宋体"/>
          <w:color w:val="auto"/>
          <w:sz w:val="21"/>
          <w:szCs w:val="21"/>
          <w:highlight w:val="none"/>
          <w:lang w:eastAsia="zh-CN" w:bidi="ar-SA"/>
        </w:rPr>
        <w:t>；</w:t>
      </w:r>
    </w:p>
    <w:p w14:paraId="2388737C">
      <w:pPr>
        <w:numPr>
          <w:ilvl w:val="0"/>
          <w:numId w:val="0"/>
        </w:numPr>
        <w:ind w:firstLine="420" w:firstLineChars="200"/>
        <w:rPr>
          <w:rFonts w:hint="eastAsia"/>
          <w:color w:val="auto"/>
          <w:highlight w:val="none"/>
          <w:lang w:eastAsia="zh-CN"/>
        </w:rPr>
      </w:pPr>
      <w:r>
        <w:rPr>
          <w:rFonts w:hint="eastAsia" w:ascii="宋体" w:hAnsi="宋体" w:eastAsia="宋体" w:cs="宋体"/>
          <w:color w:val="auto"/>
          <w:kern w:val="2"/>
          <w:sz w:val="21"/>
          <w:szCs w:val="21"/>
          <w:highlight w:val="none"/>
          <w:lang w:val="en-US" w:eastAsia="zh-CN" w:bidi="ar-SA"/>
        </w:rPr>
        <w:t>（2）</w:t>
      </w:r>
      <w:r>
        <w:rPr>
          <w:rFonts w:hint="eastAsia" w:hAnsi="宋体"/>
          <w:color w:val="auto"/>
          <w:highlight w:val="none"/>
        </w:rPr>
        <w:t>人员配置方案（拟派遣人员简历、资质证书、健康证、技能证明等）</w:t>
      </w:r>
      <w:r>
        <w:rPr>
          <w:rFonts w:hint="eastAsia" w:ascii="宋体" w:hAnsi="宋体" w:eastAsia="宋体" w:cs="宋体"/>
          <w:color w:val="auto"/>
          <w:highlight w:val="none"/>
          <w:lang w:eastAsia="zh-CN" w:bidi="ar-SA"/>
        </w:rPr>
        <w:t>；</w:t>
      </w:r>
    </w:p>
    <w:p w14:paraId="44EF29D0">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lang w:bidi="ar-SA"/>
        </w:rPr>
        <w:t>（</w:t>
      </w:r>
      <w:r>
        <w:rPr>
          <w:rFonts w:hint="eastAsia" w:hAnsi="宋体" w:cs="宋体"/>
          <w:color w:val="auto"/>
          <w:highlight w:val="none"/>
          <w:lang w:val="en-US" w:eastAsia="zh-CN" w:bidi="ar-SA"/>
        </w:rPr>
        <w:t>3</w:t>
      </w:r>
      <w:r>
        <w:rPr>
          <w:rFonts w:hint="eastAsia" w:ascii="宋体" w:hAnsi="宋体" w:eastAsia="宋体" w:cs="宋体"/>
          <w:color w:val="auto"/>
          <w:highlight w:val="none"/>
          <w:lang w:bidi="ar-SA"/>
        </w:rPr>
        <w:t>）根据评审需要、招标文件要求等，投标人自行考虑需提供的资料</w:t>
      </w:r>
      <w:r>
        <w:rPr>
          <w:rFonts w:hint="eastAsia" w:ascii="宋体" w:hAnsi="宋体" w:eastAsia="宋体" w:cs="宋体"/>
          <w:color w:val="auto"/>
          <w:szCs w:val="21"/>
          <w:highlight w:val="none"/>
        </w:rPr>
        <w:t>。</w:t>
      </w:r>
    </w:p>
    <w:p w14:paraId="1CCD2021">
      <w:pPr>
        <w:pStyle w:val="18"/>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u w:val="single"/>
        </w:rPr>
        <w:t>以上文件均需加盖电子签章</w:t>
      </w:r>
    </w:p>
    <w:p w14:paraId="4DF6AC51">
      <w:pPr>
        <w:pStyle w:val="18"/>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12.2.3报价响应文件：应包括下列内容（并不仅限于以下）</w:t>
      </w:r>
    </w:p>
    <w:p w14:paraId="6C1D9822">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（1）开标一览表；</w:t>
      </w:r>
    </w:p>
    <w:p w14:paraId="51040FEE">
      <w:pPr>
        <w:pStyle w:val="18"/>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u w:val="single"/>
        </w:rPr>
        <w:t>以上文件均需加盖电子签章</w:t>
      </w:r>
    </w:p>
    <w:p w14:paraId="22BA0FC7">
      <w:pPr>
        <w:pStyle w:val="16"/>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13</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投标人资格的有关证明资料</w:t>
      </w:r>
    </w:p>
    <w:p w14:paraId="09AE25D9">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13.1投标人应提交证明其有资格参加投标和中标后有能力履行合同的文件，并作为其投标文件的一部分。</w:t>
      </w:r>
    </w:p>
    <w:p w14:paraId="568E18BE">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 投标人提交的合格性的证明文件应使采购人满意，投标人在投标时应是符合条件的投标人。</w:t>
      </w:r>
    </w:p>
    <w:p w14:paraId="672111F7">
      <w:pPr>
        <w:pStyle w:val="18"/>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14</w:t>
      </w:r>
      <w:r>
        <w:rPr>
          <w:rFonts w:hint="eastAsia"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投标报价</w:t>
      </w:r>
    </w:p>
    <w:p w14:paraId="7447C162">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14.1投标人应根据国家的有关规定和招标文件要求并结合企业的实际情况进行投标报价。具体详见招标文件第三章中的商务要求。</w:t>
      </w:r>
    </w:p>
    <w:p w14:paraId="2BCAF92B">
      <w:pPr>
        <w:pStyle w:val="18"/>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15.</w:t>
      </w:r>
      <w:r>
        <w:rPr>
          <w:rFonts w:hint="eastAsia" w:ascii="宋体" w:hAnsi="宋体" w:eastAsia="宋体" w:cs="宋体"/>
          <w:b/>
          <w:bCs/>
          <w:color w:val="auto"/>
          <w:sz w:val="21"/>
          <w:szCs w:val="21"/>
          <w:highlight w:val="none"/>
        </w:rPr>
        <w:t>投标文件格式</w:t>
      </w:r>
    </w:p>
    <w:p w14:paraId="6DD51744">
      <w:pPr>
        <w:pStyle w:val="18"/>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15.1投标文件须包括本须知第12条中规定的全部内容，投标人不按招标文件的要求提供的投标文件和资料将视为没有对招标文件作实质性响应，其投标将被拒绝，其风险由投标人自行承担。</w:t>
      </w:r>
    </w:p>
    <w:p w14:paraId="6EF256E0">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投标人提交的投标文件应当使用招标文件所提供的投标文件格式，表格格式在不改变格式内容的情况下可自行制作。在所提供表格格式之外，投标人可以增加自行设计的表格及内容，以便更细致全面地说明其能力。</w:t>
      </w:r>
    </w:p>
    <w:p w14:paraId="62EADEAD">
      <w:pPr>
        <w:pStyle w:val="18"/>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16</w:t>
      </w:r>
      <w:r>
        <w:rPr>
          <w:rFonts w:hint="eastAsia"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投标文件编制要求</w:t>
      </w:r>
    </w:p>
    <w:p w14:paraId="00F4EF5B">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16.1投标人应仔细阅读招标文件，了解招标文件的要求，在完全了解招标项目的要求后，编制投标文件。</w:t>
      </w:r>
    </w:p>
    <w:p w14:paraId="1EB9914D">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16.2在招标文件对技术要求中，投标人必须充分应答和满足用户的强制性的需求，如“★”等，否则将导致无效标。</w:t>
      </w:r>
    </w:p>
    <w:p w14:paraId="2C622CC3">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16.3编制的投标文件对招标文件中有关条款未提出异议的，均被视为接受和同意。</w:t>
      </w:r>
    </w:p>
    <w:p w14:paraId="5FBE3AC2">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16.4投标人应根据电子投标操作指南按本招标文件规定的格式和顺序编制电子投标文件并进行关联定位。</w:t>
      </w:r>
    </w:p>
    <w:p w14:paraId="0F45152B">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16.5由于未按招标文件的规定要求编制投标文件，导致评审小组</w:t>
      </w:r>
      <w:r>
        <w:rPr>
          <w:rFonts w:hint="eastAsia" w:hAnsi="宋体" w:cs="宋体"/>
          <w:color w:val="auto"/>
          <w:sz w:val="21"/>
          <w:szCs w:val="21"/>
          <w:highlight w:val="none"/>
          <w:lang w:eastAsia="zh-CN"/>
        </w:rPr>
        <w:t>作出</w:t>
      </w:r>
      <w:r>
        <w:rPr>
          <w:rFonts w:hint="eastAsia" w:ascii="宋体" w:hAnsi="宋体" w:eastAsia="宋体" w:cs="宋体"/>
          <w:color w:val="auto"/>
          <w:sz w:val="21"/>
          <w:szCs w:val="21"/>
          <w:highlight w:val="none"/>
        </w:rPr>
        <w:t>对投标人的误判，责任由投标人自己承担。</w:t>
      </w:r>
    </w:p>
    <w:p w14:paraId="7979949C">
      <w:pPr>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17</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投标有效期</w:t>
      </w:r>
    </w:p>
    <w:p w14:paraId="5B8F21A2">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 投标文件从开标之日起，投标有效期为60天。</w:t>
      </w:r>
    </w:p>
    <w:p w14:paraId="1DCD434B">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 特殊情况下，在原投标有效期截止之前，采购人可要求投标人同意延长有效期，这种要求与答复均应以书面形式提交。</w:t>
      </w:r>
      <w:bookmarkStart w:id="23" w:name="_Toc362250690"/>
      <w:bookmarkStart w:id="24" w:name="_Toc27009"/>
      <w:bookmarkStart w:id="25" w:name="_Toc8254"/>
      <w:bookmarkStart w:id="26" w:name="_Toc274303232"/>
    </w:p>
    <w:p w14:paraId="0DCE01E0">
      <w:pPr>
        <w:pStyle w:val="3"/>
        <w:pageBreakBefore w:val="0"/>
        <w:widowControl w:val="0"/>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27" w:name="_Toc9290"/>
      <w:r>
        <w:rPr>
          <w:rFonts w:hint="eastAsia" w:ascii="宋体" w:hAnsi="宋体" w:eastAsia="宋体" w:cs="宋体"/>
          <w:color w:val="auto"/>
          <w:sz w:val="21"/>
          <w:szCs w:val="21"/>
          <w:highlight w:val="none"/>
        </w:rPr>
        <w:t>四、投标文件的递交</w:t>
      </w:r>
      <w:bookmarkEnd w:id="23"/>
      <w:bookmarkEnd w:id="24"/>
      <w:bookmarkEnd w:id="25"/>
      <w:bookmarkEnd w:id="26"/>
      <w:bookmarkEnd w:id="27"/>
      <w:bookmarkStart w:id="28" w:name="_Toc7770"/>
      <w:bookmarkStart w:id="29" w:name="_Toc6809"/>
    </w:p>
    <w:p w14:paraId="6ED8A19E">
      <w:pPr>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18.电子投标文件上传的地点和截止时间</w:t>
      </w:r>
    </w:p>
    <w:p w14:paraId="3381EED3">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投标人应在投标截止时间（</w:t>
      </w:r>
      <w:r>
        <w:rPr>
          <w:rFonts w:hint="eastAsia" w:ascii="宋体" w:hAnsi="宋体" w:cs="宋体"/>
          <w:color w:val="auto"/>
          <w:sz w:val="21"/>
          <w:szCs w:val="21"/>
          <w:highlight w:val="none"/>
          <w:lang w:eastAsia="zh-CN"/>
        </w:rPr>
        <w:t>2026年2月5日9:00</w:t>
      </w:r>
      <w:r>
        <w:rPr>
          <w:rFonts w:hint="eastAsia" w:ascii="宋体" w:hAnsi="宋体" w:eastAsia="宋体" w:cs="宋体"/>
          <w:color w:val="auto"/>
          <w:sz w:val="21"/>
          <w:szCs w:val="21"/>
          <w:highlight w:val="none"/>
        </w:rPr>
        <w:t>）之前上传投标文件</w:t>
      </w:r>
      <w:r>
        <w:rPr>
          <w:rFonts w:hint="eastAsia" w:ascii="宋体" w:hAnsi="宋体" w:eastAsia="宋体" w:cs="宋体"/>
          <w:color w:val="auto"/>
          <w:sz w:val="21"/>
          <w:szCs w:val="21"/>
          <w:highlight w:val="none"/>
          <w:lang w:eastAsia="zh-CN"/>
        </w:rPr>
        <w:t>。</w:t>
      </w:r>
    </w:p>
    <w:p w14:paraId="1662A9D2">
      <w:pPr>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19.</w:t>
      </w:r>
      <w:r>
        <w:rPr>
          <w:rFonts w:hint="eastAsia" w:ascii="宋体" w:hAnsi="宋体" w:eastAsia="宋体" w:cs="宋体"/>
          <w:b/>
          <w:bCs/>
          <w:color w:val="auto"/>
          <w:sz w:val="21"/>
          <w:szCs w:val="21"/>
          <w:highlight w:val="none"/>
        </w:rPr>
        <w:t>投标文件的补充、修改与撤回</w:t>
      </w:r>
    </w:p>
    <w:p w14:paraId="731CC424">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19.1投标人在“义乌市阳光招标采购平台”上提交投标文件以后，在规定的投标截止时间之前，可以重新补充修改或撤回已上传的投标文件，补充、修改的内容为投标文件的组成部分。</w:t>
      </w:r>
    </w:p>
    <w:p w14:paraId="3888E5A0">
      <w:pPr>
        <w:pStyle w:val="16"/>
        <w:pageBreakBefore w:val="0"/>
        <w:widowControl w:val="0"/>
        <w:kinsoku/>
        <w:wordWrap/>
        <w:overflowPunct/>
        <w:topLinePunct w:val="0"/>
        <w:autoSpaceDE/>
        <w:autoSpaceDN/>
        <w:bidi w:val="0"/>
        <w:spacing w:line="360" w:lineRule="auto"/>
        <w:ind w:firstLine="411" w:firstLineChars="196"/>
        <w:rPr>
          <w:rFonts w:hint="eastAsia" w:ascii="宋体" w:hAnsi="宋体" w:eastAsia="宋体" w:cs="宋体"/>
          <w:color w:val="auto"/>
          <w:spacing w:val="-6"/>
          <w:sz w:val="21"/>
          <w:szCs w:val="21"/>
          <w:highlight w:val="none"/>
        </w:rPr>
      </w:pPr>
      <w:r>
        <w:rPr>
          <w:rFonts w:hint="eastAsia" w:ascii="宋体" w:hAnsi="宋体" w:eastAsia="宋体" w:cs="宋体"/>
          <w:color w:val="auto"/>
          <w:sz w:val="21"/>
          <w:szCs w:val="21"/>
          <w:highlight w:val="none"/>
        </w:rPr>
        <w:t>19.2在投标截止时间之后，</w:t>
      </w:r>
      <w:r>
        <w:rPr>
          <w:rFonts w:hint="eastAsia" w:ascii="宋体" w:hAnsi="宋体" w:eastAsia="宋体" w:cs="宋体"/>
          <w:color w:val="auto"/>
          <w:spacing w:val="-6"/>
          <w:sz w:val="21"/>
          <w:szCs w:val="21"/>
          <w:highlight w:val="none"/>
        </w:rPr>
        <w:t>投标人不得对其投标做任何修改。</w:t>
      </w:r>
    </w:p>
    <w:p w14:paraId="51A6A009">
      <w:pPr>
        <w:pStyle w:val="18"/>
        <w:pageBreakBefore w:val="0"/>
        <w:widowControl w:val="0"/>
        <w:kinsoku/>
        <w:wordWrap/>
        <w:overflowPunct/>
        <w:topLinePunct w:val="0"/>
        <w:autoSpaceDE/>
        <w:autoSpaceDN/>
        <w:bidi w:val="0"/>
        <w:spacing w:line="360" w:lineRule="auto"/>
        <w:ind w:firstLine="396"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19.3从投标截止时间至投标人在投标书格式中确定的投标有效期期满这段时间内，投标人不得撤回其投标，否则将通报市信用管理部门，列入严重失信名单。</w:t>
      </w:r>
    </w:p>
    <w:p w14:paraId="6DFF0C28">
      <w:pPr>
        <w:pStyle w:val="18"/>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20.投标文件解密</w:t>
      </w:r>
    </w:p>
    <w:p w14:paraId="39DA6CA0">
      <w:pPr>
        <w:pStyle w:val="18"/>
        <w:spacing w:line="360" w:lineRule="auto"/>
        <w:ind w:firstLine="480"/>
        <w:rPr>
          <w:rFonts w:hint="eastAsia" w:hAnsi="宋体" w:cs="宋体"/>
          <w:color w:val="auto"/>
          <w:highlight w:val="none"/>
        </w:rPr>
      </w:pPr>
      <w:r>
        <w:rPr>
          <w:rFonts w:hint="eastAsia" w:ascii="Times New Roman" w:hAnsi="宋体" w:eastAsia="宋体" w:cs="Times New Roman"/>
          <w:b w:val="0"/>
          <w:bCs/>
          <w:color w:val="auto"/>
          <w:highlight w:val="none"/>
          <w:lang w:val="zh-CN"/>
        </w:rPr>
        <w:t>本项目采用不见面开标方式</w:t>
      </w:r>
      <w:r>
        <w:rPr>
          <w:rFonts w:hint="eastAsia" w:hAnsi="宋体" w:cs="宋体"/>
          <w:color w:val="auto"/>
          <w:highlight w:val="none"/>
        </w:rPr>
        <w:t>，供应商无需到开标现场，但应准时参加线上开标。开标时间后代理机构公布名单并开启解密。开启解密后的30分钟内，供应商应当登录“义乌市阳光招标采购平台”，用“开标签到解密”功能或者登录“不见面开标大厅”解密投标文件。</w:t>
      </w:r>
    </w:p>
    <w:p w14:paraId="0F0E750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请投标人开标前检查电脑和CA锁是否正常（确保CA锁在有效期内且CA锁介质无破损）。若收到开启解密通知后，无法解密的，可能是以下问题造成，请在收到开启解密通知15分钟内及时联系平台或招标代理进行处理，避免造成超时。</w:t>
      </w:r>
    </w:p>
    <w:p w14:paraId="374E4CD2">
      <w:pPr>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1</w:t>
      </w:r>
      <w:r>
        <w:rPr>
          <w:rFonts w:hint="eastAsia" w:ascii="宋体" w:hAnsi="宋体" w:cs="宋体"/>
          <w:color w:val="auto"/>
          <w:highlight w:val="none"/>
          <w:lang w:eastAsia="zh-CN"/>
        </w:rPr>
        <w:t>）</w:t>
      </w:r>
      <w:r>
        <w:rPr>
          <w:rFonts w:hint="eastAsia" w:ascii="宋体" w:hAnsi="宋体" w:cs="宋体"/>
          <w:color w:val="auto"/>
          <w:highlight w:val="none"/>
        </w:rPr>
        <w:t>该电脑未安装CA驱动，无法读取CA锁——重新下载安装驱动</w:t>
      </w:r>
      <w:r>
        <w:rPr>
          <w:rFonts w:hint="eastAsia" w:ascii="宋体" w:hAnsi="宋体" w:cs="宋体"/>
          <w:color w:val="auto"/>
          <w:highlight w:val="none"/>
          <w:lang w:eastAsia="zh-CN"/>
        </w:rPr>
        <w:t>；</w:t>
      </w:r>
    </w:p>
    <w:p w14:paraId="51D7A44E">
      <w:pPr>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2</w:t>
      </w:r>
      <w:r>
        <w:rPr>
          <w:rFonts w:hint="eastAsia" w:ascii="宋体" w:hAnsi="宋体" w:cs="宋体"/>
          <w:color w:val="auto"/>
          <w:highlight w:val="none"/>
          <w:lang w:eastAsia="zh-CN"/>
        </w:rPr>
        <w:t>）</w:t>
      </w:r>
      <w:r>
        <w:rPr>
          <w:rFonts w:hint="eastAsia" w:ascii="宋体" w:hAnsi="宋体" w:cs="宋体"/>
          <w:color w:val="auto"/>
          <w:highlight w:val="none"/>
        </w:rPr>
        <w:t>电脑长时间未关机应用程序未响应，导致无法读取CA锁——重启电脑或重新安装驱动</w:t>
      </w:r>
      <w:r>
        <w:rPr>
          <w:rFonts w:hint="eastAsia" w:ascii="宋体" w:hAnsi="宋体" w:cs="宋体"/>
          <w:color w:val="auto"/>
          <w:highlight w:val="none"/>
          <w:lang w:eastAsia="zh-CN"/>
        </w:rPr>
        <w:t>；</w:t>
      </w:r>
    </w:p>
    <w:p w14:paraId="572D27FD">
      <w:pPr>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3</w:t>
      </w:r>
      <w:r>
        <w:rPr>
          <w:rFonts w:hint="eastAsia" w:ascii="宋体" w:hAnsi="宋体" w:cs="宋体"/>
          <w:color w:val="auto"/>
          <w:highlight w:val="none"/>
          <w:lang w:eastAsia="zh-CN"/>
        </w:rPr>
        <w:t>）</w:t>
      </w:r>
      <w:r>
        <w:rPr>
          <w:rFonts w:hint="eastAsia" w:ascii="宋体" w:hAnsi="宋体" w:cs="宋体"/>
          <w:color w:val="auto"/>
          <w:highlight w:val="none"/>
        </w:rPr>
        <w:t>浏览器版本过低导致无法识别——更换</w:t>
      </w:r>
      <w:r>
        <w:rPr>
          <w:rFonts w:hint="eastAsia" w:ascii="宋体" w:hAnsi="宋体" w:cs="宋体"/>
          <w:color w:val="auto"/>
          <w:highlight w:val="none"/>
          <w:lang w:eastAsia="zh-CN"/>
        </w:rPr>
        <w:t>Edge</w:t>
      </w:r>
      <w:r>
        <w:rPr>
          <w:rFonts w:hint="eastAsia" w:ascii="宋体" w:hAnsi="宋体" w:cs="宋体"/>
          <w:color w:val="auto"/>
          <w:highlight w:val="none"/>
        </w:rPr>
        <w:t>、谷歌浏览器</w:t>
      </w:r>
      <w:r>
        <w:rPr>
          <w:rFonts w:hint="eastAsia" w:ascii="宋体" w:hAnsi="宋体" w:cs="宋体"/>
          <w:color w:val="auto"/>
          <w:highlight w:val="none"/>
          <w:lang w:eastAsia="zh-CN"/>
        </w:rPr>
        <w:t>；</w:t>
      </w:r>
    </w:p>
    <w:p w14:paraId="0FE4DDA0">
      <w:pPr>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4</w:t>
      </w:r>
      <w:r>
        <w:rPr>
          <w:rFonts w:hint="eastAsia" w:ascii="宋体" w:hAnsi="宋体" w:cs="宋体"/>
          <w:color w:val="auto"/>
          <w:highlight w:val="none"/>
          <w:lang w:eastAsia="zh-CN"/>
        </w:rPr>
        <w:t>）</w:t>
      </w:r>
      <w:r>
        <w:rPr>
          <w:rFonts w:hint="eastAsia" w:ascii="宋体" w:hAnsi="宋体" w:cs="宋体"/>
          <w:color w:val="auto"/>
          <w:highlight w:val="none"/>
        </w:rPr>
        <w:t>密码多次输入错误导致无法解密——打开CA工具进行检测密码是否正确</w:t>
      </w:r>
      <w:r>
        <w:rPr>
          <w:rFonts w:hint="eastAsia" w:ascii="宋体" w:hAnsi="宋体" w:cs="宋体"/>
          <w:color w:val="auto"/>
          <w:highlight w:val="none"/>
          <w:lang w:eastAsia="zh-CN"/>
        </w:rPr>
        <w:t>；</w:t>
      </w:r>
    </w:p>
    <w:p w14:paraId="3C74A2F6">
      <w:pPr>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5</w:t>
      </w:r>
      <w:r>
        <w:rPr>
          <w:rFonts w:hint="eastAsia" w:ascii="宋体" w:hAnsi="宋体" w:cs="宋体"/>
          <w:color w:val="auto"/>
          <w:highlight w:val="none"/>
          <w:lang w:eastAsia="zh-CN"/>
        </w:rPr>
        <w:t>）</w:t>
      </w:r>
      <w:r>
        <w:rPr>
          <w:rFonts w:hint="eastAsia" w:ascii="宋体" w:hAnsi="宋体" w:cs="宋体"/>
          <w:color w:val="auto"/>
          <w:highlight w:val="none"/>
        </w:rPr>
        <w:t>因杀毒软件检测导致无法识别CA锁——关闭杀毒软件</w:t>
      </w:r>
      <w:r>
        <w:rPr>
          <w:rFonts w:hint="eastAsia" w:ascii="宋体" w:hAnsi="宋体" w:cs="宋体"/>
          <w:color w:val="auto"/>
          <w:highlight w:val="none"/>
          <w:lang w:eastAsia="zh-CN"/>
        </w:rPr>
        <w:t>；</w:t>
      </w:r>
    </w:p>
    <w:p w14:paraId="407F801B">
      <w:pPr>
        <w:keepNext/>
        <w:keepLines/>
        <w:pageBreakBefore w:val="0"/>
        <w:widowControl w:val="0"/>
        <w:kinsoku/>
        <w:wordWrap/>
        <w:overflowPunct/>
        <w:topLinePunct w:val="0"/>
        <w:autoSpaceDE/>
        <w:autoSpaceDN/>
        <w:bidi w:val="0"/>
        <w:adjustRightInd/>
        <w:snapToGrid/>
        <w:spacing w:before="0" w:after="0" w:line="360" w:lineRule="auto"/>
        <w:ind w:firstLine="420" w:firstLineChars="200"/>
        <w:textAlignment w:val="auto"/>
        <w:outlineLvl w:val="9"/>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（6）因系统安装多版本驱动导致无法识别CA锁——卸载其他驱动或更换其他电脑安装驱动。</w:t>
      </w:r>
    </w:p>
    <w:p w14:paraId="7F5ACF69">
      <w:pPr>
        <w:pStyle w:val="3"/>
        <w:pageBreakBefore w:val="0"/>
        <w:widowControl w:val="0"/>
        <w:kinsoku/>
        <w:wordWrap/>
        <w:overflowPunct/>
        <w:topLinePunct w:val="0"/>
        <w:autoSpaceDE/>
        <w:autoSpaceDN/>
        <w:bidi w:val="0"/>
        <w:spacing w:before="120" w:after="120" w:line="360" w:lineRule="auto"/>
        <w:rPr>
          <w:rFonts w:hint="default" w:ascii="宋体" w:hAnsi="宋体" w:eastAsia="宋体" w:cs="宋体"/>
          <w:color w:val="auto"/>
          <w:sz w:val="21"/>
          <w:szCs w:val="21"/>
          <w:highlight w:val="none"/>
          <w:lang w:val="en-US" w:eastAsia="zh-CN"/>
        </w:rPr>
      </w:pPr>
      <w:bookmarkStart w:id="30" w:name="_Toc13017"/>
      <w:r>
        <w:rPr>
          <w:rFonts w:hint="eastAsia" w:ascii="宋体" w:hAnsi="宋体" w:eastAsia="宋体" w:cs="宋体"/>
          <w:color w:val="auto"/>
          <w:sz w:val="21"/>
          <w:szCs w:val="21"/>
          <w:highlight w:val="none"/>
        </w:rPr>
        <w:t>五、</w:t>
      </w:r>
      <w:bookmarkEnd w:id="28"/>
      <w:bookmarkEnd w:id="29"/>
      <w:r>
        <w:rPr>
          <w:rFonts w:hint="eastAsia" w:ascii="宋体" w:hAnsi="宋体" w:eastAsia="宋体" w:cs="宋体"/>
          <w:color w:val="auto"/>
          <w:sz w:val="21"/>
          <w:szCs w:val="21"/>
          <w:highlight w:val="none"/>
          <w:lang w:val="en-US" w:eastAsia="zh-CN"/>
        </w:rPr>
        <w:t>费用缴纳</w:t>
      </w:r>
      <w:bookmarkEnd w:id="30"/>
    </w:p>
    <w:p w14:paraId="641D7B76">
      <w:pPr>
        <w:spacing w:line="360" w:lineRule="auto"/>
        <w:ind w:firstLine="435"/>
        <w:rPr>
          <w:rFonts w:hint="eastAsia" w:ascii="宋体" w:hAnsi="宋体" w:cs="宋体"/>
          <w:color w:val="auto"/>
          <w:spacing w:val="-6"/>
          <w:highlight w:val="none"/>
          <w:lang w:val="en-US" w:eastAsia="zh-CN"/>
        </w:rPr>
      </w:pPr>
      <w:r>
        <w:rPr>
          <w:rFonts w:hint="eastAsia" w:ascii="宋体" w:hAnsi="宋体" w:cs="宋体"/>
          <w:color w:val="auto"/>
          <w:spacing w:val="-6"/>
          <w:highlight w:val="none"/>
          <w:lang w:val="en-US" w:eastAsia="zh-CN"/>
        </w:rPr>
        <w:t>1.</w:t>
      </w:r>
      <w:r>
        <w:rPr>
          <w:rFonts w:hint="eastAsia" w:ascii="宋体" w:hAnsi="宋体" w:cs="宋体"/>
          <w:color w:val="auto"/>
          <w:spacing w:val="-6"/>
          <w:szCs w:val="21"/>
          <w:highlight w:val="none"/>
        </w:rPr>
        <w:t>招标服务费于中标通知书发送前按照</w:t>
      </w:r>
      <w:r>
        <w:rPr>
          <w:rFonts w:hint="eastAsia" w:ascii="宋体" w:hAnsi="宋体" w:cs="宋体"/>
          <w:b/>
          <w:bCs/>
          <w:color w:val="auto"/>
          <w:spacing w:val="-6"/>
          <w:szCs w:val="21"/>
          <w:highlight w:val="none"/>
          <w:lang w:val="en-US" w:eastAsia="zh-CN"/>
        </w:rPr>
        <w:t>中标</w:t>
      </w:r>
      <w:r>
        <w:rPr>
          <w:rFonts w:hint="eastAsia" w:ascii="宋体" w:hAnsi="宋体" w:cs="宋体"/>
          <w:color w:val="auto"/>
          <w:spacing w:val="-6"/>
          <w:szCs w:val="21"/>
          <w:highlight w:val="none"/>
        </w:rPr>
        <w:t>金额向</w:t>
      </w:r>
      <w:r>
        <w:rPr>
          <w:rFonts w:hint="eastAsia" w:ascii="宋体" w:hAnsi="宋体" w:cs="宋体"/>
          <w:color w:val="auto"/>
          <w:spacing w:val="-6"/>
          <w:szCs w:val="21"/>
          <w:highlight w:val="none"/>
          <w:lang w:eastAsia="zh-CN"/>
        </w:rPr>
        <w:t>中标人</w:t>
      </w:r>
      <w:r>
        <w:rPr>
          <w:rFonts w:hint="eastAsia" w:ascii="宋体" w:hAnsi="宋体" w:cs="宋体"/>
          <w:color w:val="auto"/>
          <w:spacing w:val="-6"/>
          <w:szCs w:val="21"/>
          <w:highlight w:val="none"/>
        </w:rPr>
        <w:t>收取。单宗招标服务费不足3000元按3000元收取。</w:t>
      </w:r>
    </w:p>
    <w:tbl>
      <w:tblPr>
        <w:tblStyle w:val="38"/>
        <w:tblW w:w="7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2"/>
        <w:gridCol w:w="1384"/>
        <w:gridCol w:w="4048"/>
      </w:tblGrid>
      <w:tr w14:paraId="29C1C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2082" w:type="dxa"/>
            <w:noWrap w:val="0"/>
            <w:vAlign w:val="top"/>
          </w:tcPr>
          <w:p w14:paraId="7B7CFF80">
            <w:pPr>
              <w:spacing w:line="340" w:lineRule="exact"/>
              <w:rPr>
                <w:rFonts w:hint="eastAsia" w:ascii="宋体"/>
                <w:color w:val="auto"/>
                <w:highlight w:val="none"/>
              </w:rPr>
            </w:pPr>
            <w:r>
              <w:rPr>
                <w:rFonts w:hint="eastAsia" w:ascii="宋体" w:cs="宋体"/>
                <w:color w:val="auto"/>
                <w:highlight w:val="none"/>
                <w:lang w:bidi="ar-SA"/>
              </w:rPr>
              <w:t>中标金额（万元）</w:t>
            </w:r>
          </w:p>
        </w:tc>
        <w:tc>
          <w:tcPr>
            <w:tcW w:w="1384" w:type="dxa"/>
            <w:noWrap w:val="0"/>
            <w:vAlign w:val="top"/>
          </w:tcPr>
          <w:p w14:paraId="0BE7AE08">
            <w:pPr>
              <w:spacing w:line="340" w:lineRule="exact"/>
              <w:rPr>
                <w:rFonts w:hint="eastAsia" w:ascii="宋体"/>
                <w:color w:val="auto"/>
                <w:highlight w:val="none"/>
              </w:rPr>
            </w:pPr>
            <w:r>
              <w:rPr>
                <w:rFonts w:hint="eastAsia" w:ascii="宋体" w:cs="宋体"/>
                <w:color w:val="auto"/>
                <w:highlight w:val="none"/>
                <w:lang w:bidi="ar-SA"/>
              </w:rPr>
              <w:t>收费标准</w:t>
            </w:r>
          </w:p>
        </w:tc>
        <w:tc>
          <w:tcPr>
            <w:tcW w:w="4048" w:type="dxa"/>
            <w:noWrap w:val="0"/>
            <w:vAlign w:val="top"/>
          </w:tcPr>
          <w:p w14:paraId="5230A2DE">
            <w:pPr>
              <w:spacing w:line="340" w:lineRule="exact"/>
              <w:rPr>
                <w:rFonts w:hint="eastAsia" w:ascii="宋体"/>
                <w:color w:val="auto"/>
                <w:highlight w:val="none"/>
              </w:rPr>
            </w:pPr>
            <w:r>
              <w:rPr>
                <w:rFonts w:hint="eastAsia" w:ascii="宋体" w:cs="宋体"/>
                <w:color w:val="auto"/>
                <w:highlight w:val="none"/>
                <w:lang w:bidi="ar-SA"/>
              </w:rPr>
              <w:t>备注</w:t>
            </w:r>
          </w:p>
        </w:tc>
      </w:tr>
      <w:tr w14:paraId="1DBFF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2082" w:type="dxa"/>
            <w:noWrap w:val="0"/>
            <w:vAlign w:val="top"/>
          </w:tcPr>
          <w:p w14:paraId="7B980825">
            <w:pPr>
              <w:spacing w:line="380" w:lineRule="exact"/>
              <w:rPr>
                <w:rFonts w:hint="eastAsia" w:ascii="宋体"/>
                <w:bCs/>
                <w:color w:val="auto"/>
                <w:kern w:val="2"/>
                <w:sz w:val="21"/>
                <w:szCs w:val="21"/>
                <w:highlight w:val="none"/>
                <w:lang w:val="en-US" w:eastAsia="zh-CN" w:bidi="ar-SA"/>
              </w:rPr>
            </w:pPr>
            <w:r>
              <w:rPr>
                <w:rFonts w:hint="eastAsia" w:ascii="宋体"/>
                <w:bCs/>
                <w:color w:val="auto"/>
                <w:szCs w:val="21"/>
                <w:highlight w:val="none"/>
              </w:rPr>
              <w:t>100以下</w:t>
            </w:r>
          </w:p>
        </w:tc>
        <w:tc>
          <w:tcPr>
            <w:tcW w:w="1384" w:type="dxa"/>
            <w:noWrap w:val="0"/>
            <w:vAlign w:val="top"/>
          </w:tcPr>
          <w:p w14:paraId="3DA062D3">
            <w:pPr>
              <w:spacing w:line="380" w:lineRule="exact"/>
              <w:rPr>
                <w:rFonts w:hint="eastAsia" w:ascii="宋体"/>
                <w:bCs/>
                <w:color w:val="auto"/>
                <w:kern w:val="2"/>
                <w:sz w:val="21"/>
                <w:szCs w:val="21"/>
                <w:highlight w:val="none"/>
                <w:lang w:val="en-US" w:eastAsia="zh-CN" w:bidi="ar-SA"/>
              </w:rPr>
            </w:pPr>
            <w:r>
              <w:rPr>
                <w:rFonts w:hint="eastAsia" w:ascii="宋体"/>
                <w:bCs/>
                <w:color w:val="auto"/>
                <w:szCs w:val="21"/>
                <w:highlight w:val="none"/>
              </w:rPr>
              <w:t>1.5%</w:t>
            </w:r>
          </w:p>
        </w:tc>
        <w:tc>
          <w:tcPr>
            <w:tcW w:w="4048" w:type="dxa"/>
            <w:vMerge w:val="restart"/>
            <w:noWrap w:val="0"/>
            <w:vAlign w:val="center"/>
          </w:tcPr>
          <w:p w14:paraId="4F2707DC">
            <w:pPr>
              <w:spacing w:line="340" w:lineRule="exact"/>
              <w:rPr>
                <w:rFonts w:hint="eastAsia" w:ascii="宋体"/>
                <w:color w:val="auto"/>
                <w:highlight w:val="none"/>
              </w:rPr>
            </w:pPr>
            <w:r>
              <w:rPr>
                <w:rFonts w:hint="eastAsia" w:ascii="宋体" w:cs="宋体"/>
                <w:color w:val="auto"/>
                <w:highlight w:val="none"/>
                <w:lang w:bidi="ar-SA"/>
              </w:rPr>
              <w:t>招标服务费采用差额定率累进法计算，向</w:t>
            </w:r>
            <w:r>
              <w:rPr>
                <w:rFonts w:hint="eastAsia" w:ascii="宋体" w:cs="宋体"/>
                <w:color w:val="auto"/>
                <w:highlight w:val="none"/>
                <w:lang w:eastAsia="zh-CN" w:bidi="ar-SA"/>
              </w:rPr>
              <w:t>采购人</w:t>
            </w:r>
            <w:r>
              <w:rPr>
                <w:rFonts w:hint="eastAsia" w:ascii="宋体" w:cs="宋体"/>
                <w:color w:val="auto"/>
                <w:highlight w:val="none"/>
                <w:lang w:bidi="ar-SA"/>
              </w:rPr>
              <w:t>或</w:t>
            </w:r>
            <w:r>
              <w:rPr>
                <w:rFonts w:hint="eastAsia" w:ascii="宋体" w:cs="宋体"/>
                <w:color w:val="auto"/>
                <w:highlight w:val="none"/>
                <w:lang w:eastAsia="zh-CN" w:bidi="ar-SA"/>
              </w:rPr>
              <w:t>中标人</w:t>
            </w:r>
            <w:r>
              <w:rPr>
                <w:rFonts w:hint="eastAsia" w:ascii="宋体" w:cs="宋体"/>
                <w:color w:val="auto"/>
                <w:highlight w:val="none"/>
                <w:lang w:bidi="ar-SA"/>
              </w:rPr>
              <w:t>单向收取。</w:t>
            </w:r>
          </w:p>
          <w:p w14:paraId="37DEFDED">
            <w:pPr>
              <w:spacing w:line="340" w:lineRule="exact"/>
              <w:rPr>
                <w:rFonts w:hint="eastAsia" w:ascii="宋体"/>
                <w:color w:val="auto"/>
                <w:highlight w:val="none"/>
              </w:rPr>
            </w:pPr>
            <w:r>
              <w:rPr>
                <w:rFonts w:hint="eastAsia" w:ascii="宋体"/>
                <w:color w:val="auto"/>
                <w:highlight w:val="none"/>
              </w:rPr>
              <w:t>例：中标金额为1000万。服务费=100万×1.5%+400万×0.8%+500万×0.45%=6.95万</w:t>
            </w:r>
          </w:p>
        </w:tc>
      </w:tr>
      <w:tr w14:paraId="1F72E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082" w:type="dxa"/>
            <w:noWrap w:val="0"/>
            <w:vAlign w:val="top"/>
          </w:tcPr>
          <w:p w14:paraId="707A34FE">
            <w:pPr>
              <w:spacing w:line="380" w:lineRule="exact"/>
              <w:rPr>
                <w:rFonts w:hint="eastAsia" w:ascii="宋体"/>
                <w:bCs/>
                <w:color w:val="auto"/>
                <w:kern w:val="2"/>
                <w:sz w:val="21"/>
                <w:szCs w:val="21"/>
                <w:highlight w:val="none"/>
                <w:lang w:val="en-US" w:eastAsia="zh-CN" w:bidi="ar-SA"/>
              </w:rPr>
            </w:pPr>
            <w:r>
              <w:rPr>
                <w:rFonts w:hint="eastAsia" w:ascii="宋体"/>
                <w:bCs/>
                <w:color w:val="auto"/>
                <w:szCs w:val="21"/>
                <w:highlight w:val="none"/>
              </w:rPr>
              <w:t>100-500</w:t>
            </w:r>
          </w:p>
        </w:tc>
        <w:tc>
          <w:tcPr>
            <w:tcW w:w="1384" w:type="dxa"/>
            <w:noWrap w:val="0"/>
            <w:vAlign w:val="top"/>
          </w:tcPr>
          <w:p w14:paraId="66847AF5">
            <w:pPr>
              <w:spacing w:line="380" w:lineRule="exact"/>
              <w:rPr>
                <w:rFonts w:hint="eastAsia" w:ascii="宋体"/>
                <w:bCs/>
                <w:color w:val="auto"/>
                <w:kern w:val="2"/>
                <w:sz w:val="21"/>
                <w:szCs w:val="21"/>
                <w:highlight w:val="none"/>
                <w:lang w:val="en-US" w:eastAsia="zh-CN" w:bidi="ar-SA"/>
              </w:rPr>
            </w:pPr>
            <w:r>
              <w:rPr>
                <w:rFonts w:hint="eastAsia" w:ascii="宋体"/>
                <w:bCs/>
                <w:color w:val="auto"/>
                <w:szCs w:val="21"/>
                <w:highlight w:val="none"/>
              </w:rPr>
              <w:t>0.8%</w:t>
            </w:r>
          </w:p>
        </w:tc>
        <w:tc>
          <w:tcPr>
            <w:tcW w:w="4048" w:type="dxa"/>
            <w:vMerge w:val="continue"/>
            <w:noWrap w:val="0"/>
            <w:vAlign w:val="top"/>
          </w:tcPr>
          <w:p w14:paraId="256CD55B">
            <w:pPr>
              <w:rPr>
                <w:color w:val="auto"/>
                <w:highlight w:val="none"/>
              </w:rPr>
            </w:pPr>
          </w:p>
        </w:tc>
      </w:tr>
      <w:tr w14:paraId="74F9F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082" w:type="dxa"/>
            <w:noWrap w:val="0"/>
            <w:vAlign w:val="top"/>
          </w:tcPr>
          <w:p w14:paraId="1FE514D6">
            <w:pPr>
              <w:spacing w:line="380" w:lineRule="exact"/>
              <w:rPr>
                <w:rFonts w:hint="eastAsia" w:ascii="宋体"/>
                <w:bCs/>
                <w:color w:val="auto"/>
                <w:kern w:val="2"/>
                <w:sz w:val="21"/>
                <w:szCs w:val="21"/>
                <w:highlight w:val="none"/>
                <w:lang w:val="en-US" w:eastAsia="zh-CN" w:bidi="ar-SA"/>
              </w:rPr>
            </w:pPr>
            <w:r>
              <w:rPr>
                <w:rFonts w:hint="eastAsia" w:ascii="宋体"/>
                <w:bCs/>
                <w:color w:val="auto"/>
                <w:szCs w:val="21"/>
                <w:highlight w:val="none"/>
              </w:rPr>
              <w:t>500-1000</w:t>
            </w:r>
          </w:p>
        </w:tc>
        <w:tc>
          <w:tcPr>
            <w:tcW w:w="1384" w:type="dxa"/>
            <w:noWrap w:val="0"/>
            <w:vAlign w:val="top"/>
          </w:tcPr>
          <w:p w14:paraId="5F82A522">
            <w:pPr>
              <w:spacing w:line="380" w:lineRule="exact"/>
              <w:rPr>
                <w:rFonts w:hint="eastAsia" w:ascii="宋体"/>
                <w:bCs/>
                <w:color w:val="auto"/>
                <w:kern w:val="2"/>
                <w:sz w:val="21"/>
                <w:szCs w:val="21"/>
                <w:highlight w:val="none"/>
                <w:lang w:val="en-US" w:eastAsia="zh-CN" w:bidi="ar-SA"/>
              </w:rPr>
            </w:pPr>
            <w:r>
              <w:rPr>
                <w:rFonts w:hint="eastAsia" w:ascii="宋体"/>
                <w:bCs/>
                <w:color w:val="auto"/>
                <w:szCs w:val="21"/>
                <w:highlight w:val="none"/>
              </w:rPr>
              <w:t>0.45%</w:t>
            </w:r>
          </w:p>
        </w:tc>
        <w:tc>
          <w:tcPr>
            <w:tcW w:w="4048" w:type="dxa"/>
            <w:vMerge w:val="continue"/>
            <w:noWrap w:val="0"/>
            <w:vAlign w:val="top"/>
          </w:tcPr>
          <w:p w14:paraId="079F1451">
            <w:pPr>
              <w:rPr>
                <w:color w:val="auto"/>
                <w:highlight w:val="none"/>
              </w:rPr>
            </w:pPr>
          </w:p>
        </w:tc>
      </w:tr>
      <w:tr w14:paraId="05C7E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082" w:type="dxa"/>
            <w:noWrap w:val="0"/>
            <w:vAlign w:val="top"/>
          </w:tcPr>
          <w:p w14:paraId="649A450B">
            <w:pPr>
              <w:spacing w:line="380" w:lineRule="exact"/>
              <w:rPr>
                <w:rFonts w:hint="eastAsia" w:ascii="宋体"/>
                <w:bCs/>
                <w:color w:val="auto"/>
                <w:kern w:val="2"/>
                <w:sz w:val="21"/>
                <w:szCs w:val="21"/>
                <w:highlight w:val="none"/>
                <w:lang w:val="en-US" w:eastAsia="zh-CN" w:bidi="ar-SA"/>
              </w:rPr>
            </w:pPr>
            <w:r>
              <w:rPr>
                <w:rFonts w:hint="eastAsia" w:ascii="宋体"/>
                <w:bCs/>
                <w:color w:val="auto"/>
                <w:szCs w:val="21"/>
                <w:highlight w:val="none"/>
              </w:rPr>
              <w:t>1000-5000</w:t>
            </w:r>
          </w:p>
        </w:tc>
        <w:tc>
          <w:tcPr>
            <w:tcW w:w="1384" w:type="dxa"/>
            <w:noWrap w:val="0"/>
            <w:vAlign w:val="top"/>
          </w:tcPr>
          <w:p w14:paraId="5762A8E4">
            <w:pPr>
              <w:spacing w:line="380" w:lineRule="exact"/>
              <w:rPr>
                <w:rFonts w:hint="eastAsia" w:ascii="宋体"/>
                <w:bCs/>
                <w:color w:val="auto"/>
                <w:kern w:val="2"/>
                <w:sz w:val="21"/>
                <w:szCs w:val="21"/>
                <w:highlight w:val="none"/>
                <w:lang w:val="en-US" w:eastAsia="zh-CN" w:bidi="ar-SA"/>
              </w:rPr>
            </w:pPr>
            <w:r>
              <w:rPr>
                <w:rFonts w:hint="eastAsia" w:ascii="宋体"/>
                <w:bCs/>
                <w:color w:val="auto"/>
                <w:szCs w:val="21"/>
                <w:highlight w:val="none"/>
              </w:rPr>
              <w:t>0.25%</w:t>
            </w:r>
          </w:p>
        </w:tc>
        <w:tc>
          <w:tcPr>
            <w:tcW w:w="4048" w:type="dxa"/>
            <w:vMerge w:val="continue"/>
            <w:noWrap w:val="0"/>
            <w:vAlign w:val="top"/>
          </w:tcPr>
          <w:p w14:paraId="7734D5B7">
            <w:pPr>
              <w:rPr>
                <w:color w:val="auto"/>
                <w:highlight w:val="none"/>
              </w:rPr>
            </w:pPr>
          </w:p>
        </w:tc>
      </w:tr>
      <w:tr w14:paraId="7AFD2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082" w:type="dxa"/>
            <w:noWrap w:val="0"/>
            <w:vAlign w:val="top"/>
          </w:tcPr>
          <w:p w14:paraId="6D74B685">
            <w:pPr>
              <w:spacing w:line="380" w:lineRule="exact"/>
              <w:rPr>
                <w:rFonts w:hint="eastAsia" w:ascii="宋体"/>
                <w:bCs/>
                <w:color w:val="auto"/>
                <w:kern w:val="2"/>
                <w:sz w:val="21"/>
                <w:szCs w:val="21"/>
                <w:highlight w:val="none"/>
                <w:lang w:val="en-US" w:eastAsia="zh-CN" w:bidi="ar-SA"/>
              </w:rPr>
            </w:pPr>
            <w:r>
              <w:rPr>
                <w:rFonts w:hint="eastAsia" w:ascii="宋体"/>
                <w:bCs/>
                <w:color w:val="auto"/>
                <w:szCs w:val="21"/>
                <w:highlight w:val="none"/>
              </w:rPr>
              <w:t>5000-10000</w:t>
            </w:r>
          </w:p>
        </w:tc>
        <w:tc>
          <w:tcPr>
            <w:tcW w:w="1384" w:type="dxa"/>
            <w:noWrap w:val="0"/>
            <w:vAlign w:val="top"/>
          </w:tcPr>
          <w:p w14:paraId="3BC9D598">
            <w:pPr>
              <w:spacing w:line="380" w:lineRule="exact"/>
              <w:rPr>
                <w:rFonts w:hint="eastAsia" w:ascii="宋体"/>
                <w:bCs/>
                <w:color w:val="auto"/>
                <w:kern w:val="2"/>
                <w:sz w:val="21"/>
                <w:szCs w:val="21"/>
                <w:highlight w:val="none"/>
                <w:lang w:val="en-US" w:eastAsia="zh-CN" w:bidi="ar-SA"/>
              </w:rPr>
            </w:pPr>
            <w:r>
              <w:rPr>
                <w:rFonts w:hint="eastAsia" w:ascii="宋体"/>
                <w:bCs/>
                <w:color w:val="auto"/>
                <w:szCs w:val="21"/>
                <w:highlight w:val="none"/>
              </w:rPr>
              <w:t>0.1%</w:t>
            </w:r>
          </w:p>
        </w:tc>
        <w:tc>
          <w:tcPr>
            <w:tcW w:w="4048" w:type="dxa"/>
            <w:vMerge w:val="continue"/>
            <w:noWrap w:val="0"/>
            <w:vAlign w:val="top"/>
          </w:tcPr>
          <w:p w14:paraId="43C72792">
            <w:pPr>
              <w:rPr>
                <w:color w:val="auto"/>
                <w:highlight w:val="none"/>
              </w:rPr>
            </w:pPr>
          </w:p>
        </w:tc>
      </w:tr>
      <w:tr w14:paraId="49879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2082" w:type="dxa"/>
            <w:noWrap w:val="0"/>
            <w:vAlign w:val="center"/>
          </w:tcPr>
          <w:p w14:paraId="59CB517E">
            <w:pPr>
              <w:spacing w:line="340" w:lineRule="exact"/>
              <w:rPr>
                <w:rFonts w:hint="eastAsia" w:ascii="宋体"/>
                <w:color w:val="auto"/>
                <w:highlight w:val="none"/>
              </w:rPr>
            </w:pPr>
            <w:r>
              <w:rPr>
                <w:rFonts w:hint="eastAsia" w:ascii="宋体" w:cs="宋体"/>
                <w:color w:val="auto"/>
                <w:highlight w:val="none"/>
                <w:lang w:bidi="ar-SA"/>
              </w:rPr>
              <w:t>10000以上</w:t>
            </w:r>
          </w:p>
        </w:tc>
        <w:tc>
          <w:tcPr>
            <w:tcW w:w="1384" w:type="dxa"/>
            <w:noWrap w:val="0"/>
            <w:vAlign w:val="center"/>
          </w:tcPr>
          <w:p w14:paraId="65CAF611">
            <w:pPr>
              <w:spacing w:line="340" w:lineRule="exact"/>
              <w:rPr>
                <w:rFonts w:hint="eastAsia" w:ascii="宋体"/>
                <w:color w:val="auto"/>
                <w:highlight w:val="none"/>
              </w:rPr>
            </w:pPr>
            <w:r>
              <w:rPr>
                <w:rFonts w:hint="eastAsia" w:ascii="宋体" w:cs="宋体"/>
                <w:color w:val="auto"/>
                <w:highlight w:val="none"/>
                <w:lang w:bidi="ar-SA"/>
              </w:rPr>
              <w:t>0.05%</w:t>
            </w:r>
          </w:p>
        </w:tc>
        <w:tc>
          <w:tcPr>
            <w:tcW w:w="4048" w:type="dxa"/>
            <w:vMerge w:val="continue"/>
            <w:noWrap w:val="0"/>
            <w:vAlign w:val="top"/>
          </w:tcPr>
          <w:p w14:paraId="1F3C0D12">
            <w:pPr>
              <w:rPr>
                <w:color w:val="auto"/>
                <w:highlight w:val="none"/>
              </w:rPr>
            </w:pPr>
          </w:p>
        </w:tc>
      </w:tr>
    </w:tbl>
    <w:p w14:paraId="643C3AC4">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服务费汇至：</w:t>
      </w:r>
    </w:p>
    <w:p w14:paraId="5FEE3F31">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银行账号名称：</w:t>
      </w:r>
      <w:r>
        <w:rPr>
          <w:rFonts w:hint="eastAsia" w:ascii="宋体" w:hAnsi="宋体" w:cs="宋体"/>
          <w:b/>
          <w:bCs/>
          <w:color w:val="auto"/>
          <w:sz w:val="21"/>
          <w:szCs w:val="21"/>
          <w:highlight w:val="none"/>
          <w:lang w:eastAsia="zh-CN"/>
        </w:rPr>
        <w:t>金华义产拍卖有限公司</w:t>
      </w:r>
    </w:p>
    <w:p w14:paraId="3D05444D">
      <w:pPr>
        <w:pageBreakBefore w:val="0"/>
        <w:widowControl w:val="0"/>
        <w:kinsoku/>
        <w:wordWrap/>
        <w:overflowPunct/>
        <w:topLinePunct w:val="0"/>
        <w:autoSpaceDE/>
        <w:autoSpaceDN/>
        <w:bidi w:val="0"/>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开户银行：工商银行义乌分行 </w:t>
      </w:r>
    </w:p>
    <w:p w14:paraId="43DC51A2">
      <w:pPr>
        <w:pageBreakBefore w:val="0"/>
        <w:widowControl w:val="0"/>
        <w:kinsoku/>
        <w:wordWrap/>
        <w:overflowPunct/>
        <w:topLinePunct w:val="0"/>
        <w:autoSpaceDE/>
        <w:autoSpaceDN/>
        <w:bidi w:val="0"/>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银行账号：1208020009092868552</w:t>
      </w:r>
    </w:p>
    <w:p w14:paraId="7D94C8EA">
      <w:pPr>
        <w:spacing w:line="480" w:lineRule="exact"/>
        <w:ind w:firstLine="396"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2.项目中标后，中标人需向义乌市阳光招标采购平台缴纳交易服务费，收费标准如下：</w:t>
      </w:r>
    </w:p>
    <w:tbl>
      <w:tblPr>
        <w:tblStyle w:val="38"/>
        <w:tblW w:w="6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7"/>
        <w:gridCol w:w="3573"/>
      </w:tblGrid>
      <w:tr w14:paraId="67F1D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3337" w:type="dxa"/>
            <w:noWrap w:val="0"/>
            <w:vAlign w:val="center"/>
          </w:tcPr>
          <w:p w14:paraId="7F90435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中标金额（万元）</w:t>
            </w:r>
          </w:p>
        </w:tc>
        <w:tc>
          <w:tcPr>
            <w:tcW w:w="3573" w:type="dxa"/>
            <w:noWrap w:val="0"/>
            <w:vAlign w:val="center"/>
          </w:tcPr>
          <w:p w14:paraId="29D54EFC">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收费标准</w:t>
            </w:r>
          </w:p>
        </w:tc>
      </w:tr>
      <w:tr w14:paraId="730D3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3337" w:type="dxa"/>
            <w:noWrap w:val="0"/>
            <w:vAlign w:val="center"/>
          </w:tcPr>
          <w:p w14:paraId="63F623F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100万（含）以下</w:t>
            </w:r>
          </w:p>
        </w:tc>
        <w:tc>
          <w:tcPr>
            <w:tcW w:w="3573" w:type="dxa"/>
            <w:noWrap w:val="0"/>
            <w:vAlign w:val="center"/>
          </w:tcPr>
          <w:p w14:paraId="109DFF2C">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00元</w:t>
            </w:r>
          </w:p>
        </w:tc>
      </w:tr>
      <w:tr w14:paraId="5820C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3337" w:type="dxa"/>
            <w:noWrap w:val="0"/>
            <w:vAlign w:val="center"/>
          </w:tcPr>
          <w:p w14:paraId="7959524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100万-200万（含）</w:t>
            </w:r>
          </w:p>
        </w:tc>
        <w:tc>
          <w:tcPr>
            <w:tcW w:w="3573" w:type="dxa"/>
            <w:noWrap w:val="0"/>
            <w:vAlign w:val="center"/>
          </w:tcPr>
          <w:p w14:paraId="6306145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1500元</w:t>
            </w:r>
          </w:p>
        </w:tc>
      </w:tr>
      <w:tr w14:paraId="3A40D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3337" w:type="dxa"/>
            <w:noWrap w:val="0"/>
            <w:vAlign w:val="center"/>
          </w:tcPr>
          <w:p w14:paraId="1BCCEFF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200万-500万（含）</w:t>
            </w:r>
          </w:p>
        </w:tc>
        <w:tc>
          <w:tcPr>
            <w:tcW w:w="3573" w:type="dxa"/>
            <w:noWrap w:val="0"/>
            <w:vAlign w:val="center"/>
          </w:tcPr>
          <w:p w14:paraId="5ACD770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3000元</w:t>
            </w:r>
          </w:p>
        </w:tc>
      </w:tr>
      <w:tr w14:paraId="24A23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3337" w:type="dxa"/>
            <w:noWrap w:val="0"/>
            <w:vAlign w:val="center"/>
          </w:tcPr>
          <w:p w14:paraId="45E2253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500万-1000万（含）</w:t>
            </w:r>
          </w:p>
        </w:tc>
        <w:tc>
          <w:tcPr>
            <w:tcW w:w="3573" w:type="dxa"/>
            <w:noWrap w:val="0"/>
            <w:vAlign w:val="center"/>
          </w:tcPr>
          <w:p w14:paraId="6856C98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8000元</w:t>
            </w:r>
          </w:p>
        </w:tc>
      </w:tr>
      <w:tr w14:paraId="17A9A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3337" w:type="dxa"/>
            <w:noWrap w:val="0"/>
            <w:vAlign w:val="center"/>
          </w:tcPr>
          <w:p w14:paraId="305C547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1000万-2000万（含）</w:t>
            </w:r>
          </w:p>
        </w:tc>
        <w:tc>
          <w:tcPr>
            <w:tcW w:w="3573" w:type="dxa"/>
            <w:noWrap w:val="0"/>
            <w:vAlign w:val="center"/>
          </w:tcPr>
          <w:p w14:paraId="4DA36BE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16000元</w:t>
            </w:r>
          </w:p>
        </w:tc>
      </w:tr>
      <w:tr w14:paraId="3EBF8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3337" w:type="dxa"/>
            <w:noWrap w:val="0"/>
            <w:vAlign w:val="center"/>
          </w:tcPr>
          <w:p w14:paraId="18DD43D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2000万-5000万（含）</w:t>
            </w:r>
          </w:p>
        </w:tc>
        <w:tc>
          <w:tcPr>
            <w:tcW w:w="3573" w:type="dxa"/>
            <w:noWrap w:val="0"/>
            <w:vAlign w:val="center"/>
          </w:tcPr>
          <w:p w14:paraId="7C20444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25000元</w:t>
            </w:r>
          </w:p>
        </w:tc>
      </w:tr>
      <w:tr w14:paraId="36BF4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3337" w:type="dxa"/>
            <w:noWrap w:val="0"/>
            <w:vAlign w:val="center"/>
          </w:tcPr>
          <w:p w14:paraId="2CE3845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5000万-1亿（含）</w:t>
            </w:r>
          </w:p>
        </w:tc>
        <w:tc>
          <w:tcPr>
            <w:tcW w:w="3573" w:type="dxa"/>
            <w:noWrap w:val="0"/>
            <w:vAlign w:val="center"/>
          </w:tcPr>
          <w:p w14:paraId="26CD42C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35000元</w:t>
            </w:r>
          </w:p>
        </w:tc>
      </w:tr>
      <w:tr w14:paraId="7F226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3337" w:type="dxa"/>
            <w:noWrap w:val="0"/>
            <w:vAlign w:val="center"/>
          </w:tcPr>
          <w:p w14:paraId="3D709FDD">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1亿以上</w:t>
            </w:r>
          </w:p>
        </w:tc>
        <w:tc>
          <w:tcPr>
            <w:tcW w:w="3573" w:type="dxa"/>
            <w:noWrap w:val="0"/>
            <w:vAlign w:val="center"/>
          </w:tcPr>
          <w:p w14:paraId="1B9E711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50000元</w:t>
            </w:r>
          </w:p>
        </w:tc>
      </w:tr>
    </w:tbl>
    <w:p w14:paraId="49D224B0">
      <w:pPr>
        <w:spacing w:line="480" w:lineRule="exact"/>
        <w:ind w:firstLine="396" w:firstLineChars="200"/>
        <w:rPr>
          <w:rFonts w:hint="eastAsia" w:ascii="宋体" w:hAnsi="宋体" w:eastAsia="宋体" w:cs="宋体"/>
          <w:b/>
          <w:bCs/>
          <w:color w:val="auto"/>
          <w:sz w:val="21"/>
          <w:szCs w:val="21"/>
          <w:highlight w:val="none"/>
          <w:lang w:eastAsia="zh-CN"/>
        </w:rPr>
      </w:pPr>
      <w:r>
        <w:rPr>
          <w:rFonts w:hint="eastAsia" w:ascii="宋体" w:hAnsi="宋体" w:cs="宋体"/>
          <w:color w:val="auto"/>
          <w:spacing w:val="-6"/>
          <w:szCs w:val="21"/>
          <w:highlight w:val="none"/>
        </w:rPr>
        <w:t>注：1）不涉及具体金额的采购项目，</w:t>
      </w:r>
      <w:r>
        <w:rPr>
          <w:rFonts w:hint="eastAsia" w:ascii="宋体" w:hAnsi="宋体" w:cs="宋体"/>
          <w:color w:val="auto"/>
          <w:spacing w:val="-6"/>
          <w:szCs w:val="21"/>
          <w:highlight w:val="none"/>
          <w:lang w:eastAsia="zh-CN"/>
        </w:rPr>
        <w:t>中标人</w:t>
      </w:r>
      <w:r>
        <w:rPr>
          <w:rFonts w:hint="eastAsia" w:ascii="宋体" w:hAnsi="宋体" w:cs="宋体"/>
          <w:color w:val="auto"/>
          <w:spacing w:val="-6"/>
          <w:szCs w:val="21"/>
          <w:highlight w:val="none"/>
        </w:rPr>
        <w:t>收取交易服务费1000元/次；2）以上收费不包含作为投标单位</w:t>
      </w:r>
      <w:r>
        <w:rPr>
          <w:rFonts w:hint="eastAsia" w:ascii="宋体" w:hAnsi="宋体" w:cs="宋体"/>
          <w:color w:val="auto"/>
          <w:spacing w:val="-6"/>
          <w:szCs w:val="21"/>
          <w:highlight w:val="none"/>
          <w:lang w:val="en-US" w:eastAsia="zh-CN"/>
        </w:rPr>
        <w:t>缴</w:t>
      </w:r>
      <w:r>
        <w:rPr>
          <w:rFonts w:hint="eastAsia" w:ascii="宋体" w:hAnsi="宋体" w:cs="宋体"/>
          <w:color w:val="auto"/>
          <w:spacing w:val="-6"/>
          <w:szCs w:val="21"/>
          <w:highlight w:val="none"/>
        </w:rPr>
        <w:t>纳的150元技术服务费；3）具体操作流程详见“义乌市阳光招标采购平台</w:t>
      </w:r>
      <w:r>
        <w:rPr>
          <w:rFonts w:hint="eastAsia" w:ascii="宋体" w:hAnsi="宋体" w:cs="宋体"/>
          <w:color w:val="auto"/>
          <w:spacing w:val="-6"/>
          <w:szCs w:val="21"/>
          <w:highlight w:val="none"/>
          <w:lang w:eastAsia="zh-CN"/>
        </w:rPr>
        <w:t>－</w:t>
      </w:r>
      <w:r>
        <w:rPr>
          <w:rFonts w:hint="eastAsia" w:ascii="宋体" w:hAnsi="宋体" w:cs="宋体"/>
          <w:color w:val="auto"/>
          <w:spacing w:val="-6"/>
          <w:szCs w:val="21"/>
          <w:highlight w:val="none"/>
        </w:rPr>
        <w:t>下载中心</w:t>
      </w:r>
      <w:r>
        <w:rPr>
          <w:rFonts w:hint="eastAsia" w:ascii="宋体" w:hAnsi="宋体" w:cs="宋体"/>
          <w:color w:val="auto"/>
          <w:spacing w:val="-6"/>
          <w:szCs w:val="21"/>
          <w:highlight w:val="none"/>
          <w:lang w:eastAsia="zh-CN"/>
        </w:rPr>
        <w:t>－</w:t>
      </w:r>
      <w:r>
        <w:rPr>
          <w:rFonts w:hint="eastAsia" w:ascii="宋体" w:hAnsi="宋体" w:cs="宋体"/>
          <w:color w:val="auto"/>
          <w:spacing w:val="-6"/>
          <w:szCs w:val="21"/>
          <w:highlight w:val="none"/>
        </w:rPr>
        <w:t>义乌市阳光招标采购平台投标人操作手册”</w:t>
      </w:r>
      <w:r>
        <w:rPr>
          <w:rFonts w:hint="eastAsia" w:ascii="宋体" w:hAnsi="宋体" w:cs="宋体"/>
          <w:color w:val="auto"/>
          <w:spacing w:val="-6"/>
          <w:szCs w:val="21"/>
          <w:highlight w:val="none"/>
          <w:lang w:eastAsia="zh-CN"/>
        </w:rPr>
        <w:t>。</w:t>
      </w:r>
    </w:p>
    <w:p w14:paraId="383D04B3">
      <w:pPr>
        <w:pStyle w:val="3"/>
        <w:pageBreakBefore w:val="0"/>
        <w:widowControl w:val="0"/>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31" w:name="_Toc11126"/>
      <w:r>
        <w:rPr>
          <w:rFonts w:hint="eastAsia" w:ascii="宋体" w:hAnsi="宋体" w:eastAsia="宋体" w:cs="宋体"/>
          <w:color w:val="auto"/>
          <w:sz w:val="21"/>
          <w:szCs w:val="21"/>
          <w:highlight w:val="none"/>
        </w:rPr>
        <w:t>六、</w:t>
      </w:r>
      <w:r>
        <w:rPr>
          <w:rFonts w:hint="eastAsia" w:ascii="宋体" w:hAnsi="宋体" w:eastAsia="宋体" w:cs="宋体"/>
          <w:color w:val="auto"/>
          <w:sz w:val="21"/>
          <w:szCs w:val="21"/>
          <w:highlight w:val="none"/>
          <w:lang w:eastAsia="zh-CN"/>
        </w:rPr>
        <w:t>其他</w:t>
      </w:r>
      <w:bookmarkEnd w:id="31"/>
    </w:p>
    <w:p w14:paraId="3A4DC834">
      <w:pPr>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sectPr>
          <w:footerReference r:id="rId6" w:type="first"/>
          <w:headerReference r:id="rId4" w:type="default"/>
          <w:footerReference r:id="rId5" w:type="default"/>
          <w:pgSz w:w="11906" w:h="16838"/>
          <w:pgMar w:top="1246" w:right="1134" w:bottom="1440" w:left="1418" w:header="851" w:footer="992" w:gutter="0"/>
          <w:pgBorders>
            <w:top w:val="none" w:sz="0" w:space="0"/>
            <w:left w:val="none" w:sz="0" w:space="0"/>
            <w:bottom w:val="none" w:sz="0" w:space="0"/>
            <w:right w:val="none" w:sz="0" w:space="0"/>
          </w:pgBorders>
          <w:cols w:space="720" w:num="1"/>
          <w:titlePg/>
          <w:docGrid w:type="lines" w:linePitch="312" w:charSpace="0"/>
        </w:sectPr>
      </w:pPr>
      <w:r>
        <w:rPr>
          <w:rFonts w:hint="eastAsia" w:ascii="宋体" w:hAnsi="宋体" w:eastAsia="宋体" w:cs="宋体"/>
          <w:b/>
          <w:bCs/>
          <w:color w:val="auto"/>
          <w:sz w:val="21"/>
          <w:szCs w:val="21"/>
          <w:highlight w:val="none"/>
        </w:rPr>
        <w:t>本招标文件解释权归采购人。</w:t>
      </w:r>
    </w:p>
    <w:p w14:paraId="081F57E3">
      <w:pPr>
        <w:pStyle w:val="2"/>
        <w:keepNext/>
        <w:keepLines/>
        <w:pageBreakBefore w:val="0"/>
        <w:widowControl w:val="0"/>
        <w:numPr>
          <w:ilvl w:val="0"/>
          <w:numId w:val="0"/>
        </w:numPr>
        <w:kinsoku/>
        <w:wordWrap/>
        <w:overflowPunct/>
        <w:topLinePunct w:val="0"/>
        <w:autoSpaceDE/>
        <w:autoSpaceDN/>
        <w:bidi w:val="0"/>
        <w:adjustRightInd/>
        <w:snapToGrid/>
        <w:spacing w:before="340" w:after="330" w:line="240" w:lineRule="exact"/>
        <w:ind w:left="0" w:leftChars="0" w:right="0" w:rightChars="0"/>
        <w:jc w:val="center"/>
        <w:textAlignment w:val="auto"/>
        <w:rPr>
          <w:rFonts w:hint="eastAsia" w:ascii="Times New Roman" w:hAnsi="Times New Roman" w:eastAsia="宋体" w:cs="Times New Roman"/>
          <w:color w:val="auto"/>
          <w:sz w:val="36"/>
          <w:highlight w:val="none"/>
          <w:lang w:val="en-US" w:eastAsia="zh-CN"/>
        </w:rPr>
      </w:pPr>
      <w:bookmarkStart w:id="32" w:name="_Toc11888"/>
      <w:r>
        <w:rPr>
          <w:rFonts w:hint="eastAsia" w:ascii="Times New Roman" w:hAnsi="Times New Roman" w:eastAsia="宋体" w:cs="Times New Roman"/>
          <w:color w:val="auto"/>
          <w:sz w:val="36"/>
          <w:highlight w:val="none"/>
          <w:lang w:val="en-US" w:eastAsia="zh-CN"/>
        </w:rPr>
        <w:t>第三章  招标项目要求</w:t>
      </w:r>
      <w:bookmarkEnd w:id="32"/>
    </w:p>
    <w:p w14:paraId="72734992">
      <w:pPr>
        <w:keepNext w:val="0"/>
        <w:keepLines w:val="0"/>
        <w:widowControl w:val="0"/>
        <w:suppressLineNumbers w:val="0"/>
        <w:shd w:val="clear" w:color="auto" w:fill="auto"/>
        <w:spacing w:before="0" w:beforeAutospacing="0" w:after="0" w:afterAutospacing="0" w:line="360" w:lineRule="auto"/>
        <w:ind w:right="0"/>
        <w:jc w:val="both"/>
        <w:outlineLvl w:val="1"/>
        <w:rPr>
          <w:rFonts w:hint="eastAsia" w:hAnsi="宋体" w:cs="宋体"/>
          <w:b/>
          <w:bCs w:val="0"/>
          <w:color w:val="auto"/>
          <w:highlight w:val="none"/>
        </w:rPr>
      </w:pPr>
      <w:bookmarkStart w:id="33" w:name="_Toc17242"/>
      <w:bookmarkStart w:id="34" w:name="_Toc4610"/>
      <w:bookmarkStart w:id="35" w:name="_Toc7717"/>
      <w:r>
        <w:rPr>
          <w:rFonts w:hint="eastAsia" w:hAnsi="宋体" w:cs="宋体"/>
          <w:b/>
          <w:bCs w:val="0"/>
          <w:color w:val="auto"/>
          <w:highlight w:val="none"/>
        </w:rPr>
        <w:t>一、</w:t>
      </w:r>
      <w:bookmarkEnd w:id="33"/>
      <w:r>
        <w:rPr>
          <w:rFonts w:hint="eastAsia" w:hAnsi="宋体" w:cs="宋体"/>
          <w:b/>
          <w:bCs w:val="0"/>
          <w:color w:val="auto"/>
          <w:highlight w:val="none"/>
        </w:rPr>
        <w:t>服务内容</w:t>
      </w:r>
      <w:bookmarkEnd w:id="34"/>
    </w:p>
    <w:p w14:paraId="737181A6">
      <w:pPr>
        <w:keepNext w:val="0"/>
        <w:keepLines w:val="0"/>
        <w:widowControl w:val="0"/>
        <w:suppressLineNumbers w:val="0"/>
        <w:shd w:val="clear" w:color="auto" w:fill="auto"/>
        <w:spacing w:before="0" w:beforeAutospacing="0" w:after="0" w:afterAutospacing="0" w:line="360" w:lineRule="auto"/>
        <w:ind w:left="0" w:right="0" w:firstLine="420" w:firstLineChars="200"/>
        <w:jc w:val="both"/>
        <w:rPr>
          <w:rFonts w:hint="eastAsia" w:hAnsi="宋体" w:cs="宋体"/>
          <w:bCs/>
          <w:color w:val="auto"/>
          <w:highlight w:val="none"/>
        </w:rPr>
      </w:pPr>
      <w:r>
        <w:rPr>
          <w:rFonts w:hint="eastAsia" w:hAnsi="宋体" w:cs="宋体"/>
          <w:bCs/>
          <w:color w:val="auto"/>
          <w:highlight w:val="none"/>
          <w:lang w:val="en-US" w:eastAsia="zh-CN"/>
        </w:rPr>
        <w:t>1.中标人须</w:t>
      </w:r>
      <w:r>
        <w:rPr>
          <w:rFonts w:hint="eastAsia" w:hAnsi="宋体" w:cs="宋体"/>
          <w:bCs/>
          <w:color w:val="auto"/>
          <w:highlight w:val="none"/>
        </w:rPr>
        <w:t>每天保证供应早餐、中餐</w:t>
      </w:r>
      <w:r>
        <w:rPr>
          <w:rFonts w:hint="eastAsia" w:hAnsi="宋体" w:cs="宋体"/>
          <w:bCs/>
          <w:color w:val="auto"/>
          <w:highlight w:val="none"/>
          <w:lang w:eastAsia="zh-CN"/>
        </w:rPr>
        <w:t>、</w:t>
      </w:r>
      <w:r>
        <w:rPr>
          <w:rFonts w:hint="eastAsia" w:hAnsi="宋体" w:cs="宋体"/>
          <w:bCs/>
          <w:color w:val="auto"/>
          <w:highlight w:val="none"/>
          <w:lang w:val="en-US" w:eastAsia="zh-CN"/>
        </w:rPr>
        <w:t>晚餐三</w:t>
      </w:r>
      <w:r>
        <w:rPr>
          <w:rFonts w:hint="eastAsia" w:hAnsi="宋体" w:cs="宋体"/>
          <w:bCs/>
          <w:color w:val="auto"/>
          <w:highlight w:val="none"/>
        </w:rPr>
        <w:t>餐，早餐品类不得少于8种，以包子、馒头、稀饭、面条为主，需不定期更换品类；中</w:t>
      </w:r>
      <w:r>
        <w:rPr>
          <w:rFonts w:hint="eastAsia" w:hAnsi="宋体" w:cs="宋体"/>
          <w:bCs/>
          <w:color w:val="auto"/>
          <w:highlight w:val="none"/>
          <w:lang w:val="en-US" w:eastAsia="zh-CN"/>
        </w:rPr>
        <w:t>/晚</w:t>
      </w:r>
      <w:r>
        <w:rPr>
          <w:rFonts w:hint="eastAsia" w:hAnsi="宋体" w:cs="宋体"/>
          <w:bCs/>
          <w:color w:val="auto"/>
          <w:highlight w:val="none"/>
        </w:rPr>
        <w:t>餐保证四荤</w:t>
      </w:r>
      <w:r>
        <w:rPr>
          <w:rFonts w:hint="eastAsia" w:hAnsi="宋体" w:cs="宋体"/>
          <w:bCs/>
          <w:color w:val="auto"/>
          <w:highlight w:val="none"/>
          <w:lang w:val="en-US" w:eastAsia="zh-CN"/>
        </w:rPr>
        <w:t>四</w:t>
      </w:r>
      <w:r>
        <w:rPr>
          <w:rFonts w:hint="eastAsia" w:hAnsi="宋体" w:cs="宋体"/>
          <w:bCs/>
          <w:color w:val="auto"/>
          <w:highlight w:val="none"/>
        </w:rPr>
        <w:t>素。</w:t>
      </w:r>
    </w:p>
    <w:p w14:paraId="0428F279">
      <w:pPr>
        <w:keepNext w:val="0"/>
        <w:keepLines w:val="0"/>
        <w:widowControl w:val="0"/>
        <w:suppressLineNumbers w:val="0"/>
        <w:shd w:val="clear" w:color="auto" w:fill="auto"/>
        <w:spacing w:before="0" w:beforeAutospacing="0" w:after="0" w:afterAutospacing="0" w:line="360" w:lineRule="auto"/>
        <w:ind w:left="0" w:right="0" w:firstLine="420" w:firstLineChars="200"/>
        <w:jc w:val="both"/>
        <w:rPr>
          <w:rFonts w:hint="eastAsia" w:hAnsi="宋体" w:cs="宋体"/>
          <w:bCs/>
          <w:color w:val="auto"/>
          <w:highlight w:val="none"/>
        </w:rPr>
      </w:pPr>
      <w:r>
        <w:rPr>
          <w:rFonts w:hint="eastAsia" w:hAnsi="宋体" w:cs="宋体"/>
          <w:bCs/>
          <w:color w:val="auto"/>
          <w:highlight w:val="none"/>
          <w:lang w:val="en-US" w:eastAsia="zh-CN"/>
        </w:rPr>
        <w:t>2.</w:t>
      </w:r>
      <w:r>
        <w:rPr>
          <w:rFonts w:hint="eastAsia" w:hAnsi="宋体" w:cs="宋体"/>
          <w:bCs/>
          <w:color w:val="auto"/>
          <w:highlight w:val="none"/>
        </w:rPr>
        <w:t>卫生管理与环境保护：</w:t>
      </w:r>
      <w:r>
        <w:rPr>
          <w:rFonts w:hint="eastAsia" w:hAnsi="宋体" w:cs="宋体"/>
          <w:bCs/>
          <w:color w:val="auto"/>
          <w:highlight w:val="none"/>
          <w:lang w:val="en-US" w:eastAsia="zh-CN"/>
        </w:rPr>
        <w:t>要</w:t>
      </w:r>
      <w:r>
        <w:rPr>
          <w:rFonts w:hint="eastAsia" w:hAnsi="宋体" w:cs="宋体"/>
          <w:bCs/>
          <w:color w:val="auto"/>
          <w:highlight w:val="none"/>
        </w:rPr>
        <w:t>切实做好食堂内部的环境卫生工作，确保食堂内外保持整洁卫生。垃圾污物应放置于指定地点，不得随意丢弃。</w:t>
      </w:r>
      <w:r>
        <w:rPr>
          <w:rFonts w:hint="eastAsia" w:hAnsi="宋体" w:cs="宋体"/>
          <w:bCs/>
          <w:color w:val="auto"/>
          <w:highlight w:val="none"/>
          <w:lang w:val="en-US" w:eastAsia="zh-CN"/>
        </w:rPr>
        <w:t>中标人</w:t>
      </w:r>
      <w:r>
        <w:rPr>
          <w:rFonts w:hint="eastAsia" w:hAnsi="宋体" w:cs="宋体"/>
          <w:bCs/>
          <w:color w:val="auto"/>
          <w:highlight w:val="none"/>
        </w:rPr>
        <w:t xml:space="preserve">应依据相关规定，自觉接受卫生管理部门对食堂工作的检查与监督。厨房用品须严格遵循一洗、二过、三消毒的操作规范。 </w:t>
      </w:r>
    </w:p>
    <w:p w14:paraId="3F6BE16E">
      <w:pPr>
        <w:keepNext w:val="0"/>
        <w:keepLines w:val="0"/>
        <w:widowControl w:val="0"/>
        <w:suppressLineNumbers w:val="0"/>
        <w:shd w:val="clear" w:color="auto" w:fill="auto"/>
        <w:spacing w:before="0" w:beforeAutospacing="0" w:after="0" w:afterAutospacing="0" w:line="360" w:lineRule="auto"/>
        <w:ind w:left="0" w:right="0" w:firstLine="420" w:firstLineChars="200"/>
        <w:jc w:val="both"/>
        <w:rPr>
          <w:rFonts w:hint="eastAsia" w:hAnsi="宋体" w:cs="宋体"/>
          <w:bCs/>
          <w:color w:val="auto"/>
          <w:highlight w:val="none"/>
        </w:rPr>
      </w:pPr>
      <w:r>
        <w:rPr>
          <w:rFonts w:hint="eastAsia" w:hAnsi="宋体" w:cs="宋体"/>
          <w:bCs/>
          <w:color w:val="auto"/>
          <w:highlight w:val="none"/>
          <w:lang w:val="en-US" w:eastAsia="zh-CN"/>
        </w:rPr>
        <w:t>3.</w:t>
      </w:r>
      <w:r>
        <w:rPr>
          <w:rFonts w:hint="eastAsia" w:hAnsi="宋体" w:cs="宋体"/>
          <w:bCs/>
          <w:color w:val="auto"/>
          <w:highlight w:val="none"/>
        </w:rPr>
        <w:t>服务时间：服务时间根据</w:t>
      </w:r>
      <w:r>
        <w:rPr>
          <w:rFonts w:hint="eastAsia" w:hAnsi="宋体" w:cs="宋体"/>
          <w:bCs/>
          <w:color w:val="auto"/>
          <w:highlight w:val="none"/>
          <w:lang w:val="en-US" w:eastAsia="zh-CN"/>
        </w:rPr>
        <w:t>采购人</w:t>
      </w:r>
      <w:r>
        <w:rPr>
          <w:rFonts w:hint="eastAsia" w:hAnsi="宋体" w:cs="宋体"/>
          <w:bCs/>
          <w:color w:val="auto"/>
          <w:highlight w:val="none"/>
        </w:rPr>
        <w:t>要求确定，其中节假日需按服务要求安排值班。</w:t>
      </w:r>
    </w:p>
    <w:p w14:paraId="6DB77E6A">
      <w:pPr>
        <w:keepNext w:val="0"/>
        <w:keepLines w:val="0"/>
        <w:widowControl w:val="0"/>
        <w:suppressLineNumbers w:val="0"/>
        <w:shd w:val="clear" w:color="auto" w:fill="auto"/>
        <w:spacing w:before="0" w:beforeAutospacing="0" w:after="0" w:afterAutospacing="0" w:line="360" w:lineRule="auto"/>
        <w:ind w:left="0" w:right="0" w:firstLine="420" w:firstLineChars="200"/>
        <w:jc w:val="both"/>
        <w:rPr>
          <w:rFonts w:hint="eastAsia" w:hAnsi="宋体" w:cs="宋体"/>
          <w:bCs/>
          <w:color w:val="auto"/>
          <w:highlight w:val="none"/>
        </w:rPr>
      </w:pPr>
      <w:r>
        <w:rPr>
          <w:rFonts w:hint="eastAsia" w:hAnsi="宋体" w:cs="宋体"/>
          <w:bCs/>
          <w:color w:val="auto"/>
          <w:highlight w:val="none"/>
          <w:lang w:val="en-US" w:eastAsia="zh-CN"/>
        </w:rPr>
        <w:t>4.</w:t>
      </w:r>
      <w:r>
        <w:rPr>
          <w:rFonts w:hint="eastAsia" w:hAnsi="宋体" w:cs="宋体"/>
          <w:bCs/>
          <w:color w:val="auto"/>
          <w:highlight w:val="none"/>
        </w:rPr>
        <w:t>服务标准：</w:t>
      </w:r>
      <w:r>
        <w:rPr>
          <w:rFonts w:hint="eastAsia" w:hAnsi="宋体" w:cs="宋体"/>
          <w:bCs/>
          <w:color w:val="auto"/>
          <w:highlight w:val="none"/>
          <w:lang w:val="en-US" w:eastAsia="zh-CN"/>
        </w:rPr>
        <w:t>中标人</w:t>
      </w:r>
      <w:r>
        <w:rPr>
          <w:rFonts w:hint="eastAsia" w:hAnsi="宋体" w:cs="宋体"/>
          <w:bCs/>
          <w:color w:val="auto"/>
          <w:highlight w:val="none"/>
        </w:rPr>
        <w:t>应根据</w:t>
      </w:r>
      <w:r>
        <w:rPr>
          <w:rFonts w:hint="eastAsia" w:hAnsi="宋体" w:cs="宋体"/>
          <w:bCs/>
          <w:color w:val="auto"/>
          <w:highlight w:val="none"/>
          <w:lang w:val="en-US" w:eastAsia="zh-CN"/>
        </w:rPr>
        <w:t>采购人</w:t>
      </w:r>
      <w:r>
        <w:rPr>
          <w:rFonts w:hint="eastAsia" w:hAnsi="宋体" w:cs="宋体"/>
          <w:bCs/>
          <w:color w:val="auto"/>
          <w:highlight w:val="none"/>
        </w:rPr>
        <w:t>实际情况制定相应的服务标准（并由</w:t>
      </w:r>
      <w:r>
        <w:rPr>
          <w:rFonts w:hint="eastAsia" w:hAnsi="宋体" w:cs="宋体"/>
          <w:bCs/>
          <w:color w:val="auto"/>
          <w:highlight w:val="none"/>
          <w:lang w:val="en-US" w:eastAsia="zh-CN"/>
        </w:rPr>
        <w:t>采购人</w:t>
      </w:r>
      <w:r>
        <w:rPr>
          <w:rFonts w:hint="eastAsia" w:hAnsi="宋体" w:cs="宋体"/>
          <w:bCs/>
          <w:color w:val="auto"/>
          <w:highlight w:val="none"/>
        </w:rPr>
        <w:t>审核同意），</w:t>
      </w:r>
      <w:r>
        <w:rPr>
          <w:rFonts w:hint="eastAsia" w:hAnsi="宋体" w:cs="宋体"/>
          <w:bCs/>
          <w:color w:val="auto"/>
          <w:highlight w:val="none"/>
          <w:lang w:val="en-US" w:eastAsia="zh-CN"/>
        </w:rPr>
        <w:t>采购人</w:t>
      </w:r>
      <w:r>
        <w:rPr>
          <w:rFonts w:hint="eastAsia" w:hAnsi="宋体" w:cs="宋体"/>
          <w:bCs/>
          <w:color w:val="auto"/>
          <w:highlight w:val="none"/>
        </w:rPr>
        <w:t>按照《食堂管理办法》按季度予以考核，考核细则详见员工食堂检查表及相应考核制度。</w:t>
      </w:r>
    </w:p>
    <w:p w14:paraId="21528B65">
      <w:pPr>
        <w:keepNext w:val="0"/>
        <w:keepLines w:val="0"/>
        <w:widowControl w:val="0"/>
        <w:suppressLineNumbers w:val="0"/>
        <w:shd w:val="clear" w:color="auto" w:fill="auto"/>
        <w:spacing w:before="0" w:beforeAutospacing="0" w:after="0" w:afterAutospacing="0" w:line="360" w:lineRule="auto"/>
        <w:ind w:right="0"/>
        <w:jc w:val="both"/>
        <w:outlineLvl w:val="1"/>
        <w:rPr>
          <w:rFonts w:hint="eastAsia" w:hAnsi="宋体" w:cs="宋体"/>
          <w:b/>
          <w:bCs w:val="0"/>
          <w:color w:val="auto"/>
          <w:highlight w:val="none"/>
        </w:rPr>
      </w:pPr>
      <w:bookmarkStart w:id="36" w:name="_Toc18685"/>
      <w:r>
        <w:rPr>
          <w:rFonts w:hint="eastAsia" w:hAnsi="宋体" w:cs="宋体"/>
          <w:b/>
          <w:bCs w:val="0"/>
          <w:color w:val="auto"/>
          <w:highlight w:val="none"/>
          <w:lang w:val="en-US" w:eastAsia="zh-CN"/>
        </w:rPr>
        <w:t>二</w:t>
      </w:r>
      <w:r>
        <w:rPr>
          <w:rFonts w:hint="eastAsia" w:hAnsi="宋体" w:cs="宋体"/>
          <w:b/>
          <w:bCs w:val="0"/>
          <w:color w:val="auto"/>
          <w:highlight w:val="none"/>
        </w:rPr>
        <w:t>、服务人员及变更</w:t>
      </w:r>
      <w:bookmarkEnd w:id="36"/>
    </w:p>
    <w:p w14:paraId="4C566A9A">
      <w:pPr>
        <w:keepNext w:val="0"/>
        <w:keepLines w:val="0"/>
        <w:widowControl w:val="0"/>
        <w:suppressLineNumbers w:val="0"/>
        <w:shd w:val="clear" w:color="auto" w:fill="auto"/>
        <w:spacing w:before="0" w:beforeAutospacing="0" w:after="0" w:afterAutospacing="0" w:line="360" w:lineRule="auto"/>
        <w:ind w:left="0" w:right="0" w:firstLine="420" w:firstLineChars="200"/>
        <w:jc w:val="both"/>
        <w:rPr>
          <w:rFonts w:hint="eastAsia" w:hAnsi="宋体" w:cs="宋体"/>
          <w:bCs/>
          <w:color w:val="auto"/>
          <w:highlight w:val="none"/>
          <w:lang w:eastAsia="zh-CN"/>
        </w:rPr>
      </w:pPr>
      <w:r>
        <w:rPr>
          <w:rFonts w:hint="eastAsia" w:hAnsi="宋体" w:cs="宋体"/>
          <w:bCs/>
          <w:color w:val="auto"/>
          <w:highlight w:val="none"/>
          <w:lang w:val="en-US" w:eastAsia="zh-CN"/>
        </w:rPr>
        <w:t>中标人需配备不少于6名工作人员：</w:t>
      </w:r>
      <w:r>
        <w:rPr>
          <w:rFonts w:hint="eastAsia" w:hAnsi="宋体" w:cs="宋体"/>
          <w:bCs/>
          <w:color w:val="auto"/>
          <w:highlight w:val="none"/>
        </w:rPr>
        <w:t>厨师长1名、</w:t>
      </w:r>
      <w:r>
        <w:rPr>
          <w:rFonts w:hint="eastAsia" w:hAnsi="宋体" w:cs="宋体"/>
          <w:bCs/>
          <w:color w:val="auto"/>
          <w:highlight w:val="none"/>
          <w:lang w:val="en-US" w:eastAsia="zh-CN"/>
        </w:rPr>
        <w:t>副</w:t>
      </w:r>
      <w:r>
        <w:rPr>
          <w:rFonts w:hint="eastAsia" w:hAnsi="宋体" w:cs="宋体"/>
          <w:bCs/>
          <w:color w:val="auto"/>
          <w:highlight w:val="none"/>
        </w:rPr>
        <w:t>厨</w:t>
      </w:r>
      <w:r>
        <w:rPr>
          <w:rFonts w:hint="eastAsia" w:hAnsi="宋体" w:cs="宋体"/>
          <w:bCs/>
          <w:color w:val="auto"/>
          <w:highlight w:val="none"/>
          <w:lang w:val="en-US" w:eastAsia="zh-CN"/>
        </w:rPr>
        <w:t>1</w:t>
      </w:r>
      <w:r>
        <w:rPr>
          <w:rFonts w:hint="eastAsia" w:hAnsi="宋体" w:cs="宋体"/>
          <w:bCs/>
          <w:color w:val="auto"/>
          <w:highlight w:val="none"/>
        </w:rPr>
        <w:t>名、</w:t>
      </w:r>
      <w:r>
        <w:rPr>
          <w:rFonts w:hint="eastAsia" w:hAnsi="宋体" w:cs="宋体"/>
          <w:bCs/>
          <w:color w:val="auto"/>
          <w:highlight w:val="none"/>
          <w:lang w:val="en-US" w:eastAsia="zh-CN"/>
        </w:rPr>
        <w:t>面点师1名、</w:t>
      </w:r>
      <w:r>
        <w:rPr>
          <w:rFonts w:hint="eastAsia" w:hAnsi="宋体" w:cs="宋体"/>
          <w:bCs/>
          <w:color w:val="auto"/>
          <w:highlight w:val="none"/>
        </w:rPr>
        <w:t>杂工</w:t>
      </w:r>
      <w:r>
        <w:rPr>
          <w:rFonts w:hint="eastAsia" w:hAnsi="宋体" w:cs="宋体"/>
          <w:bCs/>
          <w:color w:val="auto"/>
          <w:highlight w:val="none"/>
          <w:lang w:val="en-US" w:eastAsia="zh-CN"/>
        </w:rPr>
        <w:t>3</w:t>
      </w:r>
      <w:r>
        <w:rPr>
          <w:rFonts w:hint="eastAsia" w:hAnsi="宋体" w:cs="宋体"/>
          <w:bCs/>
          <w:color w:val="auto"/>
          <w:highlight w:val="none"/>
        </w:rPr>
        <w:t>名。厨房工作人员需服从</w:t>
      </w:r>
      <w:r>
        <w:rPr>
          <w:rFonts w:hint="eastAsia" w:hAnsi="宋体" w:cs="宋体"/>
          <w:bCs/>
          <w:color w:val="auto"/>
          <w:highlight w:val="none"/>
          <w:lang w:val="en-US" w:eastAsia="zh-CN"/>
        </w:rPr>
        <w:t>采购人</w:t>
      </w:r>
      <w:r>
        <w:rPr>
          <w:rFonts w:hint="eastAsia" w:hAnsi="宋体" w:cs="宋体"/>
          <w:bCs/>
          <w:color w:val="auto"/>
          <w:highlight w:val="none"/>
        </w:rPr>
        <w:t>，同时按照</w:t>
      </w:r>
      <w:r>
        <w:rPr>
          <w:rFonts w:hint="eastAsia" w:hAnsi="宋体" w:cs="宋体"/>
          <w:bCs/>
          <w:color w:val="auto"/>
          <w:highlight w:val="none"/>
          <w:lang w:val="en-US" w:eastAsia="zh-CN"/>
        </w:rPr>
        <w:t>采购</w:t>
      </w:r>
      <w:r>
        <w:rPr>
          <w:rFonts w:hint="eastAsia" w:hAnsi="宋体" w:cs="宋体"/>
          <w:bCs/>
          <w:color w:val="auto"/>
          <w:highlight w:val="none"/>
        </w:rPr>
        <w:t>要求安排部署工作任务，并进行不定期的查岗、考勤，发现问题及时解决，根据合同约定从事食堂各岗位的工作</w:t>
      </w:r>
      <w:r>
        <w:rPr>
          <w:rFonts w:hint="eastAsia" w:hAnsi="宋体" w:cs="宋体"/>
          <w:bCs/>
          <w:color w:val="auto"/>
          <w:highlight w:val="none"/>
          <w:lang w:eastAsia="zh-CN"/>
        </w:rPr>
        <w:t>。</w:t>
      </w:r>
    </w:p>
    <w:p w14:paraId="00587936">
      <w:pPr>
        <w:keepNext w:val="0"/>
        <w:keepLines w:val="0"/>
        <w:widowControl w:val="0"/>
        <w:numPr>
          <w:ilvl w:val="0"/>
          <w:numId w:val="0"/>
        </w:numPr>
        <w:suppressLineNumbers w:val="0"/>
        <w:shd w:val="clear" w:color="auto" w:fill="auto"/>
        <w:spacing w:before="0" w:beforeAutospacing="0" w:after="0" w:afterAutospacing="0" w:line="360" w:lineRule="auto"/>
        <w:ind w:right="0" w:rightChars="0"/>
        <w:jc w:val="both"/>
        <w:outlineLvl w:val="1"/>
        <w:rPr>
          <w:rFonts w:hint="eastAsia" w:hAnsi="宋体" w:cs="宋体"/>
          <w:b/>
          <w:bCs w:val="0"/>
          <w:color w:val="auto"/>
          <w:highlight w:val="none"/>
          <w:lang w:val="en-US" w:eastAsia="zh-CN"/>
        </w:rPr>
      </w:pPr>
      <w:bookmarkStart w:id="37" w:name="_Toc18796"/>
      <w:r>
        <w:rPr>
          <w:rFonts w:hint="eastAsia" w:ascii="Times New Roman" w:hAnsi="宋体" w:eastAsia="宋体" w:cs="宋体"/>
          <w:b/>
          <w:bCs w:val="0"/>
          <w:color w:val="auto"/>
          <w:kern w:val="2"/>
          <w:sz w:val="21"/>
          <w:szCs w:val="24"/>
          <w:highlight w:val="none"/>
          <w:lang w:val="en-US" w:eastAsia="zh-CN" w:bidi="ar-SA"/>
        </w:rPr>
        <w:t>三、</w:t>
      </w:r>
      <w:r>
        <w:rPr>
          <w:rFonts w:hint="eastAsia" w:hAnsi="宋体" w:cs="宋体"/>
          <w:b/>
          <w:bCs w:val="0"/>
          <w:color w:val="auto"/>
          <w:highlight w:val="none"/>
          <w:lang w:val="en-US" w:eastAsia="zh-CN"/>
        </w:rPr>
        <w:t>履约要求</w:t>
      </w:r>
      <w:bookmarkEnd w:id="37"/>
    </w:p>
    <w:p w14:paraId="462B7A1D">
      <w:pPr>
        <w:keepNext w:val="0"/>
        <w:keepLines w:val="0"/>
        <w:widowControl w:val="0"/>
        <w:suppressLineNumbers w:val="0"/>
        <w:shd w:val="clear" w:color="auto" w:fill="auto"/>
        <w:spacing w:before="0" w:beforeAutospacing="0" w:after="0" w:afterAutospacing="0" w:line="360" w:lineRule="auto"/>
        <w:ind w:left="0" w:right="0" w:firstLine="420" w:firstLineChars="200"/>
        <w:jc w:val="both"/>
        <w:outlineLvl w:val="9"/>
        <w:rPr>
          <w:rFonts w:hint="eastAsia" w:hAnsi="宋体" w:cs="宋体"/>
          <w:bCs/>
          <w:color w:val="auto"/>
          <w:highlight w:val="none"/>
        </w:rPr>
      </w:pPr>
      <w:r>
        <w:rPr>
          <w:rFonts w:hint="eastAsia" w:hAnsi="宋体" w:cs="宋体"/>
          <w:bCs/>
          <w:color w:val="auto"/>
          <w:highlight w:val="none"/>
          <w:lang w:val="en-US" w:eastAsia="zh-CN"/>
        </w:rPr>
        <w:t>1.中标人应严格按照招标文件、中标通知书及合同约定履行义务，采购人将依据合同约定的履约评价标准（包括但不限于服务质量、履约进度、安全管理、合规运营等核心指标），对中标人的履约情况进行定期（月度）或不定期评价。</w:t>
      </w:r>
    </w:p>
    <w:p w14:paraId="092A19A6">
      <w:pPr>
        <w:keepNext w:val="0"/>
        <w:keepLines w:val="0"/>
        <w:widowControl w:val="0"/>
        <w:suppressLineNumbers w:val="0"/>
        <w:shd w:val="clear" w:color="auto" w:fill="auto"/>
        <w:spacing w:before="0" w:beforeAutospacing="0" w:after="0" w:afterAutospacing="0" w:line="360" w:lineRule="auto"/>
        <w:ind w:left="0" w:right="0" w:firstLine="420" w:firstLineChars="200"/>
        <w:jc w:val="both"/>
        <w:outlineLvl w:val="9"/>
        <w:rPr>
          <w:rFonts w:hint="eastAsia" w:hAnsi="宋体" w:cs="宋体"/>
          <w:bCs/>
          <w:color w:val="auto"/>
          <w:highlight w:val="none"/>
        </w:rPr>
      </w:pPr>
      <w:r>
        <w:rPr>
          <w:rFonts w:hint="eastAsia" w:hAnsi="宋体" w:cs="宋体"/>
          <w:bCs/>
          <w:color w:val="auto"/>
          <w:highlight w:val="none"/>
          <w:lang w:val="en-US" w:eastAsia="zh-CN"/>
        </w:rPr>
        <w:t>2.若中标人在履约过程中出现下列情形之一，视为履约不合格：</w:t>
      </w:r>
    </w:p>
    <w:p w14:paraId="6CDEAFB0">
      <w:pPr>
        <w:keepNext w:val="0"/>
        <w:keepLines w:val="0"/>
        <w:widowControl w:val="0"/>
        <w:suppressLineNumbers w:val="0"/>
        <w:shd w:val="clear" w:color="auto" w:fill="auto"/>
        <w:spacing w:before="0" w:beforeAutospacing="0" w:after="0" w:afterAutospacing="0" w:line="360" w:lineRule="auto"/>
        <w:ind w:left="0" w:right="0" w:firstLine="420" w:firstLineChars="200"/>
        <w:jc w:val="both"/>
        <w:outlineLvl w:val="9"/>
        <w:rPr>
          <w:rFonts w:hint="eastAsia" w:hAnsi="宋体" w:cs="宋体"/>
          <w:bCs/>
          <w:color w:val="auto"/>
          <w:highlight w:val="none"/>
        </w:rPr>
      </w:pPr>
      <w:r>
        <w:rPr>
          <w:rFonts w:hint="eastAsia" w:hAnsi="宋体" w:cs="宋体"/>
          <w:bCs/>
          <w:color w:val="auto"/>
          <w:highlight w:val="none"/>
          <w:lang w:eastAsia="zh-CN"/>
        </w:rPr>
        <w:t>（</w:t>
      </w:r>
      <w:r>
        <w:rPr>
          <w:rFonts w:hint="eastAsia" w:hAnsi="宋体" w:cs="宋体"/>
          <w:bCs/>
          <w:color w:val="auto"/>
          <w:highlight w:val="none"/>
          <w:lang w:val="en-US" w:eastAsia="zh-CN"/>
        </w:rPr>
        <w:t>1</w:t>
      </w:r>
      <w:r>
        <w:rPr>
          <w:rFonts w:hint="eastAsia" w:hAnsi="宋体" w:cs="宋体"/>
          <w:bCs/>
          <w:color w:val="auto"/>
          <w:highlight w:val="none"/>
          <w:lang w:eastAsia="zh-CN"/>
        </w:rPr>
        <w:t>）</w:t>
      </w:r>
      <w:r>
        <w:rPr>
          <w:rFonts w:hint="eastAsia" w:hAnsi="宋体" w:cs="宋体"/>
          <w:bCs/>
          <w:color w:val="auto"/>
          <w:highlight w:val="none"/>
        </w:rPr>
        <w:t>未达到合同约定的核心履约标准，经</w:t>
      </w:r>
      <w:r>
        <w:rPr>
          <w:rFonts w:hint="eastAsia" w:hAnsi="宋体" w:cs="宋体"/>
          <w:bCs/>
          <w:color w:val="auto"/>
          <w:highlight w:val="none"/>
          <w:lang w:val="en-US" w:eastAsia="zh-CN"/>
        </w:rPr>
        <w:t>采购</w:t>
      </w:r>
      <w:r>
        <w:rPr>
          <w:rFonts w:hint="eastAsia" w:hAnsi="宋体" w:cs="宋体"/>
          <w:bCs/>
          <w:color w:val="auto"/>
          <w:highlight w:val="none"/>
        </w:rPr>
        <w:t>人书面通知后在规定期限内未完成整改，或整改后仍不符合要求的；</w:t>
      </w:r>
    </w:p>
    <w:p w14:paraId="6EF0DC17">
      <w:pPr>
        <w:keepNext w:val="0"/>
        <w:keepLines w:val="0"/>
        <w:widowControl w:val="0"/>
        <w:suppressLineNumbers w:val="0"/>
        <w:shd w:val="clear" w:color="auto" w:fill="auto"/>
        <w:spacing w:before="0" w:beforeAutospacing="0" w:after="0" w:afterAutospacing="0" w:line="360" w:lineRule="auto"/>
        <w:ind w:left="0" w:right="0" w:firstLine="420" w:firstLineChars="200"/>
        <w:jc w:val="both"/>
        <w:outlineLvl w:val="9"/>
        <w:rPr>
          <w:rFonts w:hint="eastAsia" w:hAnsi="宋体" w:cs="宋体"/>
          <w:bCs/>
          <w:color w:val="auto"/>
          <w:highlight w:val="none"/>
        </w:rPr>
      </w:pPr>
      <w:r>
        <w:rPr>
          <w:rFonts w:hint="eastAsia" w:hAnsi="宋体" w:cs="宋体"/>
          <w:bCs/>
          <w:color w:val="auto"/>
          <w:highlight w:val="none"/>
          <w:lang w:eastAsia="zh-CN"/>
        </w:rPr>
        <w:t>（</w:t>
      </w:r>
      <w:r>
        <w:rPr>
          <w:rFonts w:hint="eastAsia" w:hAnsi="宋体" w:cs="宋体"/>
          <w:bCs/>
          <w:color w:val="auto"/>
          <w:highlight w:val="none"/>
          <w:lang w:val="en-US" w:eastAsia="zh-CN"/>
        </w:rPr>
        <w:t>2</w:t>
      </w:r>
      <w:r>
        <w:rPr>
          <w:rFonts w:hint="eastAsia" w:hAnsi="宋体" w:cs="宋体"/>
          <w:bCs/>
          <w:color w:val="auto"/>
          <w:highlight w:val="none"/>
          <w:lang w:eastAsia="zh-CN"/>
        </w:rPr>
        <w:t>）</w:t>
      </w:r>
      <w:r>
        <w:rPr>
          <w:rFonts w:hint="eastAsia" w:hAnsi="宋体" w:cs="宋体"/>
          <w:bCs/>
          <w:color w:val="auto"/>
          <w:highlight w:val="none"/>
        </w:rPr>
        <w:t>存在严重违约行为，影响招标项目正常推进或损害招标人合法权益的；</w:t>
      </w:r>
    </w:p>
    <w:p w14:paraId="4BF91C5A">
      <w:pPr>
        <w:keepNext w:val="0"/>
        <w:keepLines w:val="0"/>
        <w:widowControl w:val="0"/>
        <w:suppressLineNumbers w:val="0"/>
        <w:shd w:val="clear" w:color="auto" w:fill="auto"/>
        <w:spacing w:before="0" w:beforeAutospacing="0" w:after="0" w:afterAutospacing="0" w:line="360" w:lineRule="auto"/>
        <w:ind w:left="0" w:right="0" w:firstLine="420" w:firstLineChars="200"/>
        <w:jc w:val="both"/>
        <w:outlineLvl w:val="9"/>
        <w:rPr>
          <w:rFonts w:hint="eastAsia" w:hAnsi="宋体" w:cs="宋体"/>
          <w:bCs/>
          <w:color w:val="auto"/>
          <w:highlight w:val="none"/>
        </w:rPr>
      </w:pPr>
      <w:r>
        <w:rPr>
          <w:rFonts w:hint="eastAsia" w:hAnsi="宋体" w:cs="宋体"/>
          <w:bCs/>
          <w:color w:val="auto"/>
          <w:highlight w:val="none"/>
          <w:lang w:eastAsia="zh-CN"/>
        </w:rPr>
        <w:t>（</w:t>
      </w:r>
      <w:r>
        <w:rPr>
          <w:rFonts w:hint="eastAsia" w:hAnsi="宋体" w:cs="宋体"/>
          <w:bCs/>
          <w:color w:val="auto"/>
          <w:highlight w:val="none"/>
          <w:lang w:val="en-US" w:eastAsia="zh-CN"/>
        </w:rPr>
        <w:t>3</w:t>
      </w:r>
      <w:r>
        <w:rPr>
          <w:rFonts w:hint="eastAsia" w:hAnsi="宋体" w:cs="宋体"/>
          <w:bCs/>
          <w:color w:val="auto"/>
          <w:highlight w:val="none"/>
          <w:lang w:eastAsia="zh-CN"/>
        </w:rPr>
        <w:t>）</w:t>
      </w:r>
      <w:r>
        <w:rPr>
          <w:rFonts w:hint="eastAsia" w:hAnsi="宋体" w:cs="宋体"/>
          <w:bCs/>
          <w:color w:val="auto"/>
          <w:highlight w:val="none"/>
        </w:rPr>
        <w:t>履约评价结果连续两次（含）以上不合格，或单次评价结果严重不合格的。</w:t>
      </w:r>
    </w:p>
    <w:p w14:paraId="01B9F000">
      <w:pPr>
        <w:keepNext w:val="0"/>
        <w:keepLines w:val="0"/>
        <w:widowControl w:val="0"/>
        <w:numPr>
          <w:ilvl w:val="0"/>
          <w:numId w:val="0"/>
        </w:numPr>
        <w:suppressLineNumbers w:val="0"/>
        <w:shd w:val="clear" w:color="auto" w:fill="auto"/>
        <w:spacing w:before="0" w:beforeAutospacing="0" w:after="0" w:afterAutospacing="0" w:line="360" w:lineRule="auto"/>
        <w:ind w:right="0" w:rightChars="0" w:firstLine="420" w:firstLineChars="200"/>
        <w:jc w:val="both"/>
        <w:outlineLvl w:val="9"/>
        <w:rPr>
          <w:rFonts w:hint="default" w:hAnsi="宋体" w:cs="宋体"/>
          <w:b/>
          <w:bCs w:val="0"/>
          <w:color w:val="auto"/>
          <w:highlight w:val="none"/>
          <w:lang w:val="en-US" w:eastAsia="zh-CN"/>
        </w:rPr>
      </w:pPr>
      <w:r>
        <w:rPr>
          <w:rFonts w:hint="eastAsia" w:hAnsi="宋体" w:cs="宋体"/>
          <w:bCs/>
          <w:color w:val="auto"/>
          <w:highlight w:val="none"/>
          <w:lang w:val="en-US" w:eastAsia="zh-CN"/>
        </w:rPr>
        <w:t>采购人有权根据上述履约不合格情形，依据《中华人民共和国民法典》及合同相关约定，书面通知中标人解除合同，并要求中标人承担相应违约责任，同时保留追究其造成损失的权利。合同解除后，采购人重新组织招标。</w:t>
      </w:r>
    </w:p>
    <w:p w14:paraId="2CB9E810">
      <w:pPr>
        <w:keepNext w:val="0"/>
        <w:keepLines w:val="0"/>
        <w:widowControl w:val="0"/>
        <w:suppressLineNumbers w:val="0"/>
        <w:shd w:val="clear" w:color="auto" w:fill="auto"/>
        <w:spacing w:before="0" w:beforeAutospacing="0" w:after="0" w:afterAutospacing="0" w:line="360" w:lineRule="auto"/>
        <w:ind w:right="0"/>
        <w:jc w:val="both"/>
        <w:outlineLvl w:val="1"/>
        <w:rPr>
          <w:rFonts w:hint="eastAsia" w:hAnsi="宋体" w:eastAsia="宋体" w:cs="宋体"/>
          <w:b/>
          <w:bCs w:val="0"/>
          <w:color w:val="auto"/>
          <w:highlight w:val="none"/>
          <w:lang w:eastAsia="zh-CN"/>
        </w:rPr>
      </w:pPr>
      <w:bookmarkStart w:id="38" w:name="_Toc14510"/>
      <w:r>
        <w:rPr>
          <w:rFonts w:hint="eastAsia" w:hAnsi="宋体" w:cs="宋体"/>
          <w:b/>
          <w:bCs w:val="0"/>
          <w:color w:val="auto"/>
          <w:highlight w:val="none"/>
          <w:lang w:val="en-US" w:eastAsia="zh-CN"/>
        </w:rPr>
        <w:t>四</w:t>
      </w:r>
      <w:r>
        <w:rPr>
          <w:rFonts w:hint="eastAsia" w:hAnsi="宋体" w:cs="宋体"/>
          <w:b/>
          <w:bCs w:val="0"/>
          <w:color w:val="auto"/>
          <w:highlight w:val="none"/>
        </w:rPr>
        <w:t>、</w:t>
      </w:r>
      <w:r>
        <w:rPr>
          <w:rFonts w:hint="eastAsia" w:hAnsi="宋体" w:cs="宋体"/>
          <w:b/>
          <w:bCs w:val="0"/>
          <w:color w:val="auto"/>
          <w:highlight w:val="none"/>
          <w:lang w:val="en-US" w:eastAsia="zh-CN"/>
        </w:rPr>
        <w:t>其他</w:t>
      </w:r>
      <w:bookmarkEnd w:id="38"/>
    </w:p>
    <w:p w14:paraId="21391EDF">
      <w:pPr>
        <w:keepNext w:val="0"/>
        <w:keepLines w:val="0"/>
        <w:widowControl w:val="0"/>
        <w:suppressLineNumbers w:val="0"/>
        <w:shd w:val="clear" w:color="auto" w:fill="auto"/>
        <w:spacing w:before="0" w:beforeAutospacing="0" w:after="0" w:afterAutospacing="0" w:line="360" w:lineRule="auto"/>
        <w:ind w:left="0" w:right="0" w:firstLine="420" w:firstLineChars="200"/>
        <w:jc w:val="both"/>
        <w:rPr>
          <w:rFonts w:hint="default" w:hAnsi="宋体" w:cs="宋体"/>
          <w:bCs/>
          <w:color w:val="auto"/>
          <w:highlight w:val="none"/>
          <w:lang w:val="en-US" w:eastAsia="zh-CN"/>
        </w:rPr>
      </w:pPr>
      <w:r>
        <w:rPr>
          <w:rFonts w:hint="default" w:hAnsi="宋体" w:cs="宋体"/>
          <w:bCs/>
          <w:color w:val="auto"/>
          <w:highlight w:val="none"/>
          <w:lang w:val="en-US" w:eastAsia="zh-CN"/>
        </w:rPr>
        <w:t>蔬菜、粮油、鲜肉、禽、蛋、水产等由</w:t>
      </w:r>
      <w:r>
        <w:rPr>
          <w:rFonts w:hint="eastAsia" w:hAnsi="宋体" w:cs="宋体"/>
          <w:bCs/>
          <w:color w:val="auto"/>
          <w:highlight w:val="none"/>
          <w:lang w:val="en-US" w:eastAsia="zh-CN"/>
        </w:rPr>
        <w:t>采购人</w:t>
      </w:r>
      <w:r>
        <w:rPr>
          <w:rFonts w:hint="default" w:hAnsi="宋体" w:cs="宋体"/>
          <w:bCs/>
          <w:color w:val="auto"/>
          <w:highlight w:val="none"/>
          <w:lang w:val="en-US" w:eastAsia="zh-CN"/>
        </w:rPr>
        <w:t>指定的蔬菜、物资配送公司配送，双方共同验收</w:t>
      </w:r>
      <w:r>
        <w:rPr>
          <w:rFonts w:hint="eastAsia" w:hAnsi="宋体" w:cs="宋体"/>
          <w:bCs/>
          <w:color w:val="auto"/>
          <w:highlight w:val="none"/>
          <w:lang w:val="en-US" w:eastAsia="zh-CN"/>
        </w:rPr>
        <w:t>。</w:t>
      </w:r>
    </w:p>
    <w:p w14:paraId="5EE18E51">
      <w:pPr>
        <w:pStyle w:val="3"/>
        <w:spacing w:before="120" w:after="120" w:line="240" w:lineRule="auto"/>
        <w:ind w:firstLine="0" w:firstLineChars="0"/>
        <w:rPr>
          <w:rFonts w:hint="eastAsia" w:ascii="宋体" w:hAnsi="宋体" w:eastAsia="宋体" w:cs="宋体"/>
          <w:color w:val="auto"/>
          <w:sz w:val="21"/>
          <w:szCs w:val="21"/>
          <w:highlight w:val="none"/>
        </w:rPr>
      </w:pPr>
      <w:bookmarkStart w:id="39" w:name="_Toc11751"/>
      <w:bookmarkStart w:id="40" w:name="_Toc14124"/>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、商务要求</w:t>
      </w:r>
      <w:bookmarkEnd w:id="39"/>
      <w:bookmarkEnd w:id="40"/>
    </w:p>
    <w:p w14:paraId="4EC6524E">
      <w:pPr>
        <w:spacing w:line="360" w:lineRule="auto"/>
        <w:ind w:firstLine="422" w:firstLineChars="200"/>
        <w:outlineLvl w:val="9"/>
        <w:rPr>
          <w:rFonts w:hint="eastAsia" w:ascii="宋体" w:hAnsi="宋体" w:cs="宋体"/>
          <w:b/>
          <w:bCs/>
          <w:color w:val="auto"/>
          <w:szCs w:val="21"/>
          <w:highlight w:val="none"/>
        </w:rPr>
      </w:pPr>
      <w:r>
        <w:rPr>
          <w:rFonts w:hint="eastAsia" w:ascii="宋体" w:hAnsi="宋体" w:cs="宋体"/>
          <w:b/>
          <w:bCs/>
          <w:color w:val="auto"/>
          <w:szCs w:val="21"/>
          <w:highlight w:val="none"/>
        </w:rPr>
        <w:t>（一）项目投标报价要求</w:t>
      </w:r>
    </w:p>
    <w:p w14:paraId="5751C542">
      <w:pPr>
        <w:keepNext w:val="0"/>
        <w:keepLines w:val="0"/>
        <w:widowControl w:val="0"/>
        <w:suppressLineNumbers w:val="0"/>
        <w:shd w:val="clear" w:color="auto" w:fill="auto"/>
        <w:spacing w:before="0" w:beforeAutospacing="0" w:after="0" w:afterAutospacing="0" w:line="360" w:lineRule="auto"/>
        <w:ind w:left="0" w:right="0" w:firstLine="420" w:firstLineChars="200"/>
        <w:jc w:val="both"/>
        <w:rPr>
          <w:rFonts w:hint="eastAsia" w:hAnsi="宋体" w:cs="宋体"/>
          <w:strike/>
          <w:color w:val="auto"/>
          <w:highlight w:val="none"/>
        </w:rPr>
      </w:pPr>
      <w:r>
        <w:rPr>
          <w:rFonts w:hint="eastAsia" w:hAnsi="宋体" w:cs="宋体"/>
          <w:bCs/>
          <w:color w:val="auto"/>
          <w:highlight w:val="none"/>
        </w:rPr>
        <w:t>1.</w:t>
      </w:r>
      <w:r>
        <w:rPr>
          <w:rFonts w:hint="eastAsia" w:hAnsi="宋体" w:cs="宋体"/>
          <w:color w:val="auto"/>
          <w:highlight w:val="none"/>
        </w:rPr>
        <w:t>投标报价以人民币为结算货币，投标报价包括须包含劳务人员保险费、税费、管理费及完成本项目的其它费用和政策性文件规定及合同包含的所有风险、责任等各项应有费用，如有漏项，视同已包含在其总项目中，任何费用及单价不得调整，数量按实际完成结算。须由</w:t>
      </w:r>
      <w:r>
        <w:rPr>
          <w:rFonts w:hint="eastAsia" w:hAnsi="宋体" w:cs="宋体"/>
          <w:color w:val="auto"/>
          <w:highlight w:val="none"/>
          <w:lang w:eastAsia="zh-CN"/>
        </w:rPr>
        <w:t>中标人</w:t>
      </w:r>
      <w:r>
        <w:rPr>
          <w:rFonts w:hint="eastAsia" w:hAnsi="宋体" w:cs="宋体"/>
          <w:color w:val="auto"/>
          <w:highlight w:val="none"/>
        </w:rPr>
        <w:t>开具增值税发票（需注明提供增值税专用发票或普通发票），并填写相应税率、税额、价税合计。如有漏项，视同已包含在其总项目中，任何费用及单价不得调整，数量按实际完成结算。</w:t>
      </w:r>
    </w:p>
    <w:p w14:paraId="1EAAC904">
      <w:pPr>
        <w:pStyle w:val="18"/>
        <w:spacing w:line="460" w:lineRule="exact"/>
        <w:ind w:firstLine="420" w:firstLineChars="200"/>
        <w:rPr>
          <w:rFonts w:hint="eastAsia" w:hAnsi="宋体" w:cs="宋体"/>
          <w:color w:val="auto"/>
          <w:highlight w:val="none"/>
        </w:rPr>
      </w:pPr>
      <w:r>
        <w:rPr>
          <w:rFonts w:hint="eastAsia" w:hAnsi="宋体" w:cs="宋体"/>
          <w:color w:val="auto"/>
          <w:highlight w:val="none"/>
        </w:rPr>
        <w:t>2.投标方须在《开标一览表》上写明投标货物的单价和投标总价。如果大写金额和小写金额不一致的，以大写金额为准；单价金额小数点或者百分比有明显错位的，以《开标一览表》的总价为准，并修改单价；总价金额与按单价汇总金额不一致的，以单价金额计算结果为准。</w:t>
      </w:r>
    </w:p>
    <w:p w14:paraId="6BC6531F">
      <w:pPr>
        <w:pStyle w:val="18"/>
        <w:spacing w:line="460" w:lineRule="exact"/>
        <w:ind w:firstLine="420" w:firstLineChars="200"/>
        <w:rPr>
          <w:rFonts w:hint="eastAsia" w:hAnsi="宋体" w:cs="宋体"/>
          <w:color w:val="auto"/>
          <w:highlight w:val="none"/>
        </w:rPr>
      </w:pPr>
      <w:r>
        <w:rPr>
          <w:rFonts w:hint="eastAsia" w:hAnsi="宋体" w:cs="宋体"/>
          <w:color w:val="auto"/>
          <w:highlight w:val="none"/>
        </w:rPr>
        <w:t>3.中标后，</w:t>
      </w:r>
      <w:r>
        <w:rPr>
          <w:rFonts w:hint="eastAsia" w:hAnsi="宋体" w:cs="宋体"/>
          <w:b/>
          <w:color w:val="auto"/>
          <w:highlight w:val="none"/>
        </w:rPr>
        <w:t>中标人所填写的单价在合同实施期间不因市场变化因素而变动；</w:t>
      </w:r>
      <w:r>
        <w:rPr>
          <w:rFonts w:hint="eastAsia" w:hAnsi="宋体" w:cs="宋体"/>
          <w:color w:val="auto"/>
          <w:highlight w:val="none"/>
        </w:rPr>
        <w:t>投标人在计算报价时应考虑一定的风险系数。因设计与工程因素引起实际施工中发生设计变更、修改、调整、完善等情况，修改部分则按其投标书相应部分货物及施工的单价同口径计算。</w:t>
      </w:r>
    </w:p>
    <w:p w14:paraId="601B14FC">
      <w:pPr>
        <w:pStyle w:val="18"/>
        <w:spacing w:line="460" w:lineRule="exact"/>
        <w:ind w:firstLine="420" w:firstLineChars="200"/>
        <w:rPr>
          <w:rFonts w:hint="eastAsia" w:hAnsi="宋体" w:cs="宋体"/>
          <w:color w:val="auto"/>
          <w:highlight w:val="none"/>
        </w:rPr>
      </w:pPr>
      <w:r>
        <w:rPr>
          <w:rFonts w:hAnsi="宋体" w:cs="宋体"/>
          <w:color w:val="auto"/>
          <w:highlight w:val="none"/>
        </w:rPr>
        <w:t>4</w:t>
      </w:r>
      <w:r>
        <w:rPr>
          <w:rFonts w:hint="eastAsia" w:hAnsi="宋体" w:cs="宋体"/>
          <w:color w:val="auto"/>
          <w:highlight w:val="none"/>
        </w:rPr>
        <w:t>.投标人应按招标文件规定的报价格式进行投标报价。投标人对每种货物只允许有一个报价，采购人不接受任何有选择性的报价。</w:t>
      </w:r>
    </w:p>
    <w:p w14:paraId="040CB5DE">
      <w:pPr>
        <w:pStyle w:val="18"/>
        <w:spacing w:line="460" w:lineRule="exact"/>
        <w:ind w:firstLine="420" w:firstLineChars="200"/>
        <w:rPr>
          <w:rFonts w:hint="eastAsia" w:hAnsi="宋体" w:cs="宋体"/>
          <w:color w:val="auto"/>
          <w:spacing w:val="-8"/>
          <w:highlight w:val="none"/>
        </w:rPr>
      </w:pPr>
      <w:r>
        <w:rPr>
          <w:rFonts w:hAnsi="宋体" w:cs="宋体"/>
          <w:color w:val="auto"/>
          <w:highlight w:val="none"/>
        </w:rPr>
        <w:t>5</w:t>
      </w:r>
      <w:r>
        <w:rPr>
          <w:rFonts w:hint="eastAsia" w:hAnsi="宋体" w:cs="宋体"/>
          <w:color w:val="auto"/>
          <w:highlight w:val="none"/>
        </w:rPr>
        <w:t>.</w:t>
      </w:r>
      <w:r>
        <w:rPr>
          <w:rFonts w:hint="eastAsia" w:hAnsi="宋体" w:cs="宋体"/>
          <w:color w:val="auto"/>
          <w:spacing w:val="-8"/>
          <w:highlight w:val="none"/>
        </w:rPr>
        <w:t>采购人不接受低于成本的投标报价。</w:t>
      </w:r>
    </w:p>
    <w:p w14:paraId="68FC11A4">
      <w:pPr>
        <w:pStyle w:val="18"/>
        <w:spacing w:line="460" w:lineRule="exact"/>
        <w:ind w:firstLine="420" w:firstLineChars="200"/>
        <w:rPr>
          <w:rFonts w:hint="eastAsia" w:hAnsi="宋体" w:cs="宋体"/>
          <w:color w:val="auto"/>
          <w:highlight w:val="none"/>
        </w:rPr>
      </w:pPr>
      <w:r>
        <w:rPr>
          <w:rFonts w:hAnsi="宋体" w:cs="宋体"/>
          <w:color w:val="auto"/>
          <w:highlight w:val="none"/>
        </w:rPr>
        <w:t>6</w:t>
      </w:r>
      <w:r>
        <w:rPr>
          <w:rFonts w:hint="eastAsia" w:hAnsi="宋体" w:cs="宋体"/>
          <w:color w:val="auto"/>
          <w:highlight w:val="none"/>
        </w:rPr>
        <w:t>.投标人按照上述要求编制投标报价。一旦确认某一投标人中标，除合同规定的可调整内容外，中标人不得要求追加任何费用。</w:t>
      </w:r>
    </w:p>
    <w:p w14:paraId="33AB2C01">
      <w:pPr>
        <w:pStyle w:val="18"/>
        <w:spacing w:line="460" w:lineRule="exact"/>
        <w:ind w:firstLine="420" w:firstLineChars="200"/>
        <w:rPr>
          <w:rFonts w:hint="eastAsia" w:hAnsi="宋体" w:cs="宋体"/>
          <w:color w:val="auto"/>
          <w:highlight w:val="none"/>
        </w:rPr>
      </w:pPr>
      <w:r>
        <w:rPr>
          <w:rFonts w:hAnsi="宋体" w:cs="宋体"/>
          <w:color w:val="auto"/>
          <w:highlight w:val="none"/>
        </w:rPr>
        <w:t>7</w:t>
      </w:r>
      <w:r>
        <w:rPr>
          <w:rFonts w:hint="eastAsia" w:hAnsi="宋体" w:cs="宋体"/>
          <w:color w:val="auto"/>
          <w:highlight w:val="none"/>
        </w:rPr>
        <w:t>.须由</w:t>
      </w:r>
      <w:r>
        <w:rPr>
          <w:rFonts w:hint="eastAsia" w:hAnsi="宋体" w:cs="宋体"/>
          <w:color w:val="auto"/>
          <w:highlight w:val="none"/>
          <w:lang w:eastAsia="zh-CN"/>
        </w:rPr>
        <w:t>中标人</w:t>
      </w:r>
      <w:r>
        <w:rPr>
          <w:rFonts w:hint="eastAsia" w:hAnsi="宋体" w:cs="宋体"/>
          <w:color w:val="auto"/>
          <w:highlight w:val="none"/>
        </w:rPr>
        <w:t>开具正式发票。</w:t>
      </w:r>
    </w:p>
    <w:p w14:paraId="44C7BD03">
      <w:pPr>
        <w:spacing w:line="360" w:lineRule="auto"/>
        <w:ind w:firstLine="420" w:firstLineChars="200"/>
        <w:rPr>
          <w:rFonts w:hint="eastAsia" w:ascii="宋体" w:hAnsi="宋体" w:cs="宋体"/>
          <w:b/>
          <w:bCs/>
          <w:color w:val="auto"/>
          <w:szCs w:val="21"/>
          <w:highlight w:val="none"/>
        </w:rPr>
      </w:pPr>
      <w:r>
        <w:rPr>
          <w:rFonts w:ascii="宋体" w:hAnsi="宋体" w:cs="宋体"/>
          <w:color w:val="auto"/>
          <w:szCs w:val="21"/>
          <w:highlight w:val="none"/>
        </w:rPr>
        <w:t>8</w:t>
      </w:r>
      <w:r>
        <w:rPr>
          <w:rFonts w:hint="eastAsia" w:ascii="宋体" w:hAnsi="宋体" w:cs="宋体"/>
          <w:color w:val="auto"/>
          <w:szCs w:val="21"/>
          <w:highlight w:val="none"/>
        </w:rPr>
        <w:t>.招标文件中规定由投标单位承担并支付的相关费用在投标报价时应一并考虑</w:t>
      </w:r>
      <w:r>
        <w:rPr>
          <w:rFonts w:hint="eastAsia" w:ascii="宋体" w:hAnsi="宋体" w:cs="宋体"/>
          <w:bCs/>
          <w:color w:val="auto"/>
          <w:szCs w:val="21"/>
          <w:highlight w:val="none"/>
        </w:rPr>
        <w:t>。</w:t>
      </w:r>
    </w:p>
    <w:p w14:paraId="7F6BA492">
      <w:pPr>
        <w:spacing w:line="360" w:lineRule="auto"/>
        <w:ind w:firstLine="420" w:firstLineChars="0"/>
        <w:outlineLvl w:val="2"/>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rPr>
        <w:t>（二）</w:t>
      </w:r>
      <w:r>
        <w:rPr>
          <w:rFonts w:hint="eastAsia" w:ascii="宋体" w:hAnsi="宋体" w:eastAsia="宋体" w:cs="宋体"/>
          <w:b/>
          <w:bCs/>
          <w:color w:val="auto"/>
          <w:szCs w:val="21"/>
          <w:highlight w:val="none"/>
          <w:lang w:val="en-US" w:eastAsia="zh-CN"/>
        </w:rPr>
        <w:t>项目服务</w:t>
      </w:r>
      <w:r>
        <w:rPr>
          <w:rFonts w:hint="eastAsia" w:ascii="宋体" w:hAnsi="宋体" w:eastAsia="宋体" w:cs="宋体"/>
          <w:b/>
          <w:bCs/>
          <w:color w:val="auto"/>
          <w:szCs w:val="21"/>
          <w:highlight w:val="none"/>
        </w:rPr>
        <w:t>要求</w:t>
      </w:r>
    </w:p>
    <w:p w14:paraId="416502CE">
      <w:pPr>
        <w:ind w:firstLine="420" w:firstLineChars="200"/>
        <w:rPr>
          <w:rFonts w:hint="eastAsia" w:ascii="宋体" w:hAnsi="宋体" w:cs="Arial"/>
          <w:color w:val="auto"/>
          <w:szCs w:val="21"/>
          <w:highlight w:val="none"/>
          <w:lang w:val="zh-CN"/>
        </w:rPr>
      </w:pPr>
      <w:r>
        <w:rPr>
          <w:rFonts w:hint="eastAsia" w:ascii="宋体" w:hAnsi="宋体" w:cs="Arial"/>
          <w:color w:val="auto"/>
          <w:szCs w:val="21"/>
          <w:highlight w:val="none"/>
        </w:rPr>
        <w:t>1</w:t>
      </w:r>
      <w:r>
        <w:rPr>
          <w:rFonts w:hint="eastAsia" w:ascii="宋体" w:hAnsi="宋体" w:cs="Arial"/>
          <w:color w:val="auto"/>
          <w:szCs w:val="21"/>
          <w:highlight w:val="none"/>
          <w:lang w:eastAsia="zh-CN"/>
        </w:rPr>
        <w:t>.</w:t>
      </w:r>
      <w:r>
        <w:rPr>
          <w:rFonts w:hint="default" w:ascii="宋体" w:hAnsi="宋体" w:cs="Arial"/>
          <w:color w:val="auto"/>
          <w:szCs w:val="21"/>
          <w:highlight w:val="none"/>
        </w:rPr>
        <w:t>服务周期</w:t>
      </w:r>
      <w:r>
        <w:rPr>
          <w:rFonts w:hint="eastAsia" w:ascii="宋体" w:cs="Arial"/>
          <w:color w:val="auto"/>
          <w:szCs w:val="21"/>
          <w:highlight w:val="none"/>
          <w:lang w:eastAsia="zh"/>
        </w:rPr>
        <w:t>：</w:t>
      </w:r>
      <w:r>
        <w:rPr>
          <w:rFonts w:hint="eastAsia" w:ascii="宋体" w:hAnsi="宋体" w:eastAsia="宋体" w:cs="宋体"/>
          <w:color w:val="auto"/>
          <w:kern w:val="0"/>
          <w:sz w:val="21"/>
          <w:szCs w:val="21"/>
          <w:highlight w:val="none"/>
          <w:lang w:eastAsia="zh-CN" w:bidi="ar"/>
        </w:rPr>
        <w:t>自</w:t>
      </w:r>
      <w:r>
        <w:rPr>
          <w:rFonts w:hint="eastAsia" w:ascii="宋体" w:hAnsi="宋体" w:eastAsia="宋体" w:cs="宋体"/>
          <w:color w:val="auto"/>
          <w:kern w:val="0"/>
          <w:sz w:val="21"/>
          <w:szCs w:val="21"/>
          <w:highlight w:val="none"/>
          <w:lang w:val="en-US" w:eastAsia="zh-CN" w:bidi="ar"/>
        </w:rPr>
        <w:t>合同签订之日起</w:t>
      </w:r>
      <w:r>
        <w:rPr>
          <w:rFonts w:hint="eastAsia" w:ascii="宋体" w:hAnsi="宋体" w:cs="宋体"/>
          <w:color w:val="auto"/>
          <w:kern w:val="0"/>
          <w:sz w:val="21"/>
          <w:szCs w:val="21"/>
          <w:highlight w:val="none"/>
          <w:lang w:val="en-US" w:eastAsia="zh-CN" w:bidi="ar"/>
        </w:rPr>
        <w:t>1年</w:t>
      </w:r>
      <w:r>
        <w:rPr>
          <w:rFonts w:hint="eastAsia" w:ascii="宋体" w:hAnsi="宋体" w:cs="Arial"/>
          <w:color w:val="auto"/>
          <w:szCs w:val="21"/>
          <w:highlight w:val="none"/>
          <w:lang w:val="en-US" w:eastAsia="zh-CN"/>
        </w:rPr>
        <w:t>。</w:t>
      </w:r>
      <w:r>
        <w:rPr>
          <w:rFonts w:hint="eastAsia" w:ascii="宋体" w:cs="Arial"/>
          <w:color w:val="auto"/>
          <w:szCs w:val="21"/>
          <w:highlight w:val="none"/>
          <w:lang w:val="en-US" w:eastAsia="zh"/>
        </w:rPr>
        <w:t>服务地点</w:t>
      </w:r>
      <w:r>
        <w:rPr>
          <w:rFonts w:hint="eastAsia" w:ascii="宋体" w:hAnsi="宋体" w:eastAsia="宋体" w:cs="宋体"/>
          <w:b w:val="0"/>
          <w:color w:val="auto"/>
          <w:kern w:val="0"/>
          <w:sz w:val="21"/>
          <w:szCs w:val="21"/>
          <w:highlight w:val="none"/>
          <w:u w:val="none"/>
          <w:lang w:bidi="ar"/>
        </w:rPr>
        <w:t>按</w:t>
      </w:r>
      <w:r>
        <w:rPr>
          <w:rFonts w:hint="eastAsia" w:ascii="宋体" w:hAnsi="宋体" w:eastAsia="宋体" w:cs="宋体"/>
          <w:b w:val="0"/>
          <w:color w:val="auto"/>
          <w:kern w:val="0"/>
          <w:sz w:val="21"/>
          <w:szCs w:val="21"/>
          <w:highlight w:val="none"/>
          <w:u w:val="none"/>
          <w:lang w:eastAsia="zh" w:bidi="ar"/>
        </w:rPr>
        <w:t>采购人</w:t>
      </w:r>
      <w:r>
        <w:rPr>
          <w:rFonts w:hint="eastAsia" w:ascii="宋体" w:hAnsi="宋体" w:eastAsia="宋体" w:cs="宋体"/>
          <w:b w:val="0"/>
          <w:color w:val="auto"/>
          <w:kern w:val="0"/>
          <w:sz w:val="21"/>
          <w:szCs w:val="21"/>
          <w:highlight w:val="none"/>
          <w:u w:val="none"/>
          <w:lang w:bidi="ar"/>
        </w:rPr>
        <w:t>指定</w:t>
      </w:r>
      <w:r>
        <w:rPr>
          <w:rFonts w:hint="eastAsia" w:ascii="宋体" w:hAnsi="宋体" w:eastAsia="宋体" w:cs="宋体"/>
          <w:b w:val="0"/>
          <w:color w:val="auto"/>
          <w:kern w:val="0"/>
          <w:sz w:val="21"/>
          <w:szCs w:val="21"/>
          <w:highlight w:val="none"/>
          <w:u w:val="none"/>
          <w:lang w:val="en-US" w:eastAsia="zh-CN" w:bidi="ar"/>
        </w:rPr>
        <w:t>地点</w:t>
      </w:r>
      <w:r>
        <w:rPr>
          <w:rFonts w:hint="eastAsia" w:ascii="宋体" w:hAnsi="宋体" w:cs="Arial"/>
          <w:color w:val="auto"/>
          <w:szCs w:val="21"/>
          <w:highlight w:val="none"/>
          <w:lang w:val="zh-CN"/>
        </w:rPr>
        <w:t>。</w:t>
      </w:r>
    </w:p>
    <w:p w14:paraId="75202EB7">
      <w:pPr>
        <w:spacing w:line="360" w:lineRule="auto"/>
        <w:ind w:firstLine="420" w:firstLineChars="0"/>
        <w:outlineLvl w:val="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w:t>
      </w:r>
      <w:r>
        <w:rPr>
          <w:rFonts w:hint="default" w:ascii="宋体" w:hAnsi="宋体" w:eastAsia="宋体" w:cs="宋体"/>
          <w:b/>
          <w:bCs/>
          <w:color w:val="auto"/>
          <w:szCs w:val="21"/>
          <w:highlight w:val="none"/>
          <w:lang w:eastAsia="zh-CN"/>
        </w:rPr>
        <w:t>三</w:t>
      </w:r>
      <w:r>
        <w:rPr>
          <w:rFonts w:hint="eastAsia" w:ascii="宋体" w:hAnsi="宋体" w:eastAsia="宋体" w:cs="宋体"/>
          <w:b/>
          <w:bCs/>
          <w:color w:val="auto"/>
          <w:szCs w:val="21"/>
          <w:highlight w:val="none"/>
          <w:lang w:val="en-US" w:eastAsia="zh-CN"/>
        </w:rPr>
        <w:t>）验收办法及</w:t>
      </w:r>
      <w:r>
        <w:rPr>
          <w:rFonts w:hint="default" w:ascii="宋体" w:hAnsi="宋体" w:eastAsia="宋体" w:cs="宋体"/>
          <w:b/>
          <w:bCs/>
          <w:color w:val="auto"/>
          <w:szCs w:val="21"/>
          <w:highlight w:val="none"/>
          <w:lang w:eastAsia="zh-CN"/>
        </w:rPr>
        <w:t>标准</w:t>
      </w:r>
    </w:p>
    <w:p w14:paraId="5EC6A91F">
      <w:pPr>
        <w:keepNext w:val="0"/>
        <w:keepLines w:val="0"/>
        <w:widowControl w:val="0"/>
        <w:numPr>
          <w:ilvl w:val="0"/>
          <w:numId w:val="0"/>
        </w:numPr>
        <w:suppressLineNumbers w:val="0"/>
        <w:spacing w:before="0" w:beforeAutospacing="0" w:after="0" w:afterAutospacing="0" w:line="480" w:lineRule="exact"/>
        <w:ind w:left="0" w:right="0" w:firstLine="420" w:firstLineChars="200"/>
        <w:jc w:val="both"/>
        <w:rPr>
          <w:rFonts w:hint="eastAsia" w:ascii="宋体" w:hAnsi="宋体" w:cs="宋体"/>
          <w:bCs/>
          <w:color w:val="auto"/>
          <w:szCs w:val="21"/>
          <w:highlight w:val="none"/>
          <w:lang w:val="en-US" w:eastAsia="zh-CN"/>
        </w:rPr>
      </w:pPr>
      <w:r>
        <w:rPr>
          <w:rFonts w:hint="eastAsia" w:ascii="宋体" w:hAnsi="宋体" w:cs="宋体"/>
          <w:bCs/>
          <w:color w:val="auto"/>
          <w:szCs w:val="21"/>
          <w:highlight w:val="none"/>
        </w:rPr>
        <w:t>根据中华人民共和国现行技术标准，按招标文件以及合同规定的验收评定标准等规范，由采购人组织验收</w:t>
      </w:r>
      <w:r>
        <w:rPr>
          <w:rFonts w:hint="default" w:ascii="宋体" w:cs="宋体"/>
          <w:bCs/>
          <w:color w:val="auto"/>
          <w:szCs w:val="21"/>
          <w:highlight w:val="none"/>
        </w:rPr>
        <w:t>。</w:t>
      </w:r>
      <w:r>
        <w:rPr>
          <w:rFonts w:hint="eastAsia" w:ascii="宋体" w:hAnsi="宋体" w:eastAsia="宋体" w:cs="宋体"/>
          <w:color w:val="auto"/>
          <w:kern w:val="2"/>
          <w:sz w:val="21"/>
          <w:szCs w:val="21"/>
          <w:highlight w:val="none"/>
          <w:lang w:val="en-US" w:eastAsia="zh-CN" w:bidi="ar"/>
        </w:rPr>
        <w:t>验收产生的费用由</w:t>
      </w:r>
      <w:r>
        <w:rPr>
          <w:rFonts w:hint="eastAsia" w:ascii="宋体" w:hAnsi="宋体" w:cs="宋体"/>
          <w:color w:val="auto"/>
          <w:kern w:val="2"/>
          <w:sz w:val="21"/>
          <w:szCs w:val="21"/>
          <w:highlight w:val="none"/>
          <w:lang w:val="en-US" w:eastAsia="zh-CN" w:bidi="ar"/>
        </w:rPr>
        <w:t>中标人</w:t>
      </w:r>
      <w:r>
        <w:rPr>
          <w:rFonts w:hint="eastAsia" w:ascii="宋体" w:hAnsi="宋体" w:eastAsia="宋体" w:cs="宋体"/>
          <w:color w:val="auto"/>
          <w:kern w:val="2"/>
          <w:sz w:val="21"/>
          <w:szCs w:val="21"/>
          <w:highlight w:val="none"/>
          <w:lang w:val="en-US" w:eastAsia="zh-CN" w:bidi="ar"/>
        </w:rPr>
        <w:t>承担。</w:t>
      </w:r>
      <w:r>
        <w:rPr>
          <w:rFonts w:hint="eastAsia" w:ascii="宋体" w:hAnsi="宋体" w:cs="宋体"/>
          <w:bCs/>
          <w:color w:val="auto"/>
          <w:szCs w:val="21"/>
          <w:highlight w:val="none"/>
        </w:rPr>
        <w:t>如果发现与合同中要求不符，</w:t>
      </w:r>
      <w:r>
        <w:rPr>
          <w:rFonts w:hint="eastAsia" w:ascii="宋体" w:hAnsi="宋体" w:cs="宋体"/>
          <w:bCs/>
          <w:color w:val="auto"/>
          <w:szCs w:val="21"/>
          <w:highlight w:val="none"/>
          <w:lang w:val="en-US" w:eastAsia="zh-CN"/>
        </w:rPr>
        <w:t>中标人</w:t>
      </w:r>
      <w:r>
        <w:rPr>
          <w:rFonts w:hint="eastAsia" w:ascii="宋体" w:hAnsi="宋体" w:cs="宋体"/>
          <w:bCs/>
          <w:color w:val="auto"/>
          <w:szCs w:val="21"/>
          <w:highlight w:val="none"/>
        </w:rPr>
        <w:t>须承担由此发生的一切损失和费用，并承担相应的法律责任。</w:t>
      </w:r>
    </w:p>
    <w:p w14:paraId="7CEBD2C7">
      <w:pPr>
        <w:spacing w:line="480" w:lineRule="exact"/>
        <w:ind w:firstLine="420" w:firstLineChars="200"/>
        <w:rPr>
          <w:rFonts w:hint="default"/>
          <w:color w:val="auto"/>
          <w:sz w:val="21"/>
          <w:szCs w:val="21"/>
          <w:highlight w:val="none"/>
          <w:lang w:val="en-US" w:eastAsia="zh-CN"/>
        </w:rPr>
      </w:pPr>
      <w:r>
        <w:rPr>
          <w:rFonts w:hint="eastAsia" w:ascii="仿宋_GB2312" w:hAnsi="仿宋"/>
          <w:color w:val="auto"/>
          <w:szCs w:val="21"/>
          <w:highlight w:val="none"/>
        </w:rPr>
        <w:t>本项目验收由</w:t>
      </w:r>
      <w:r>
        <w:rPr>
          <w:rFonts w:hint="eastAsia" w:ascii="仿宋_GB2312" w:hAnsi="仿宋"/>
          <w:color w:val="auto"/>
          <w:szCs w:val="21"/>
          <w:highlight w:val="none"/>
          <w:lang w:eastAsia="zh-CN"/>
        </w:rPr>
        <w:t>采购人</w:t>
      </w:r>
      <w:r>
        <w:rPr>
          <w:rFonts w:hint="eastAsia" w:ascii="仿宋_GB2312" w:hAnsi="仿宋"/>
          <w:color w:val="auto"/>
          <w:szCs w:val="21"/>
          <w:highlight w:val="none"/>
        </w:rPr>
        <w:t>自行组织人员验收。</w:t>
      </w:r>
    </w:p>
    <w:p w14:paraId="76474D54">
      <w:pPr>
        <w:spacing w:line="480" w:lineRule="exact"/>
        <w:ind w:left="0" w:leftChars="0" w:firstLine="420" w:firstLineChars="0"/>
        <w:outlineLvl w:val="2"/>
        <w:rPr>
          <w:rFonts w:hint="eastAsia"/>
          <w:b/>
          <w:bCs/>
          <w:color w:val="auto"/>
          <w:szCs w:val="21"/>
          <w:highlight w:val="none"/>
        </w:rPr>
      </w:pPr>
      <w:r>
        <w:rPr>
          <w:rFonts w:hint="default" w:ascii="宋体"/>
          <w:b/>
          <w:bCs/>
          <w:color w:val="auto"/>
          <w:szCs w:val="21"/>
          <w:highlight w:val="none"/>
        </w:rPr>
        <w:t>（四</w:t>
      </w:r>
      <w:r>
        <w:rPr>
          <w:rFonts w:hint="eastAsia" w:ascii="宋体" w:hAnsi="宋体"/>
          <w:b/>
          <w:bCs/>
          <w:color w:val="auto"/>
          <w:szCs w:val="21"/>
          <w:highlight w:val="none"/>
        </w:rPr>
        <w:t>）</w:t>
      </w:r>
      <w:r>
        <w:rPr>
          <w:rFonts w:hint="eastAsia"/>
          <w:b/>
          <w:bCs/>
          <w:color w:val="auto"/>
          <w:szCs w:val="21"/>
          <w:highlight w:val="none"/>
        </w:rPr>
        <w:t>付款方式</w:t>
      </w:r>
    </w:p>
    <w:p w14:paraId="61079353">
      <w:pPr>
        <w:spacing w:before="120" w:after="120" w:line="240" w:lineRule="auto"/>
        <w:ind w:firstLine="420" w:firstLineChars="200"/>
        <w:outlineLvl w:val="9"/>
        <w:rPr>
          <w:rFonts w:hint="eastAsia" w:ascii="宋体" w:hAnsi="宋体" w:eastAsia="宋体" w:cs="宋体"/>
          <w:b w:val="0"/>
          <w:bCs w:val="0"/>
          <w:color w:val="auto"/>
          <w:sz w:val="21"/>
          <w:szCs w:val="21"/>
          <w:highlight w:val="none"/>
          <w:lang w:val="en-US" w:eastAsia="zh-CN"/>
        </w:rPr>
      </w:pPr>
      <w:bookmarkStart w:id="41" w:name="_Toc20533"/>
      <w:r>
        <w:rPr>
          <w:rFonts w:hint="eastAsia" w:ascii="宋体" w:hAnsi="宋体" w:eastAsia="宋体" w:cs="宋体"/>
          <w:b w:val="0"/>
          <w:bCs w:val="0"/>
          <w:color w:val="auto"/>
          <w:sz w:val="21"/>
          <w:szCs w:val="21"/>
          <w:highlight w:val="none"/>
          <w:lang w:val="en-US" w:eastAsia="zh-CN"/>
        </w:rPr>
        <w:t>根据全年服务费总额结合派遣工作人员考勤的实际情况按月支付。</w:t>
      </w:r>
    </w:p>
    <w:p w14:paraId="68D55E70">
      <w:pPr>
        <w:pStyle w:val="3"/>
        <w:spacing w:before="120" w:after="120" w:line="240" w:lineRule="auto"/>
        <w:ind w:firstLine="0" w:firstLineChars="0"/>
        <w:rPr>
          <w:rFonts w:hint="eastAsia" w:ascii="宋体" w:hAnsi="宋体" w:eastAsia="宋体" w:cs="宋体"/>
          <w:b/>
          <w:bCs/>
          <w:color w:val="auto"/>
          <w:sz w:val="21"/>
          <w:szCs w:val="21"/>
          <w:highlight w:val="none"/>
        </w:rPr>
      </w:pPr>
      <w:bookmarkStart w:id="42" w:name="_Toc15637"/>
      <w:r>
        <w:rPr>
          <w:rFonts w:hint="eastAsia" w:ascii="宋体" w:hAnsi="宋体" w:eastAsia="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rPr>
        <w:t>、其他</w:t>
      </w:r>
      <w:bookmarkEnd w:id="41"/>
      <w:r>
        <w:rPr>
          <w:rFonts w:hint="eastAsia" w:ascii="宋体" w:hAnsi="宋体" w:eastAsia="宋体" w:cs="宋体"/>
          <w:b/>
          <w:bCs/>
          <w:color w:val="auto"/>
          <w:sz w:val="21"/>
          <w:szCs w:val="21"/>
          <w:highlight w:val="none"/>
        </w:rPr>
        <w:t>说明</w:t>
      </w:r>
      <w:bookmarkEnd w:id="42"/>
    </w:p>
    <w:p w14:paraId="079CC294">
      <w:pPr>
        <w:spacing w:line="460" w:lineRule="exact"/>
        <w:ind w:firstLine="420" w:firstLineChars="200"/>
        <w:rPr>
          <w:rFonts w:hint="eastAsia" w:ascii="宋体" w:hAnsi="宋体"/>
          <w:b/>
          <w:color w:val="auto"/>
          <w:sz w:val="21"/>
          <w:szCs w:val="21"/>
          <w:highlight w:val="none"/>
        </w:rPr>
      </w:pPr>
      <w:r>
        <w:rPr>
          <w:rFonts w:hint="eastAsia" w:ascii="宋体" w:hAnsi="宋体" w:eastAsia="宋体" w:cs="宋体"/>
          <w:color w:val="auto"/>
          <w:kern w:val="2"/>
          <w:sz w:val="21"/>
          <w:szCs w:val="21"/>
          <w:highlight w:val="none"/>
          <w:lang w:val="en-US" w:eastAsia="zh-CN" w:bidi="ar"/>
        </w:rPr>
        <w:t>中标之后，如发现投标文件与招标文件内容如有不一致，应以有利于采购人原则为准。</w:t>
      </w:r>
    </w:p>
    <w:p w14:paraId="519DD729">
      <w:pPr>
        <w:rPr>
          <w:rFonts w:hint="eastAsia" w:hAnsi="宋体" w:cs="宋体"/>
          <w:b w:val="0"/>
          <w:bCs w:val="0"/>
          <w:color w:val="auto"/>
          <w:sz w:val="21"/>
          <w:szCs w:val="21"/>
          <w:highlight w:val="none"/>
          <w:lang w:eastAsia="zh-CN"/>
        </w:rPr>
      </w:pPr>
      <w:r>
        <w:rPr>
          <w:rFonts w:hint="eastAsia" w:hAnsi="宋体" w:cs="宋体"/>
          <w:b w:val="0"/>
          <w:bCs w:val="0"/>
          <w:color w:val="auto"/>
          <w:sz w:val="21"/>
          <w:szCs w:val="21"/>
          <w:highlight w:val="none"/>
          <w:lang w:eastAsia="zh-CN"/>
        </w:rPr>
        <w:br w:type="page"/>
      </w:r>
    </w:p>
    <w:p w14:paraId="5CE6991C">
      <w:pPr>
        <w:keepNext w:val="0"/>
        <w:keepLines w:val="0"/>
        <w:pageBreakBefore w:val="0"/>
        <w:kinsoku/>
        <w:wordWrap/>
        <w:topLinePunct w:val="0"/>
        <w:bidi w:val="0"/>
        <w:adjustRightInd/>
        <w:spacing w:line="360" w:lineRule="auto"/>
        <w:jc w:val="center"/>
        <w:textAlignment w:val="auto"/>
        <w:outlineLvl w:val="0"/>
        <w:rPr>
          <w:rFonts w:ascii="Times New Roman" w:hAnsi="Times New Roman" w:eastAsia="宋体" w:cs="Times New Roman"/>
          <w:b/>
          <w:bCs/>
          <w:color w:val="auto"/>
          <w:kern w:val="44"/>
          <w:sz w:val="36"/>
          <w:szCs w:val="44"/>
          <w:highlight w:val="none"/>
          <w:lang w:val="en-US" w:eastAsia="zh-CN" w:bidi="ar-SA"/>
        </w:rPr>
      </w:pPr>
      <w:bookmarkStart w:id="43" w:name="_Toc13468"/>
      <w:r>
        <w:rPr>
          <w:rFonts w:hint="eastAsia" w:ascii="Times New Roman" w:hAnsi="Times New Roman" w:eastAsia="宋体" w:cs="Times New Roman"/>
          <w:b/>
          <w:bCs/>
          <w:color w:val="auto"/>
          <w:kern w:val="44"/>
          <w:sz w:val="36"/>
          <w:szCs w:val="44"/>
          <w:highlight w:val="none"/>
          <w:lang w:val="en-US" w:eastAsia="zh-CN" w:bidi="ar-SA"/>
        </w:rPr>
        <w:t>第四章</w:t>
      </w:r>
      <w:r>
        <w:rPr>
          <w:rFonts w:ascii="Times New Roman" w:hAnsi="Times New Roman" w:eastAsia="宋体" w:cs="Times New Roman"/>
          <w:b/>
          <w:bCs/>
          <w:color w:val="auto"/>
          <w:kern w:val="44"/>
          <w:sz w:val="36"/>
          <w:szCs w:val="44"/>
          <w:highlight w:val="none"/>
          <w:lang w:val="en-US" w:eastAsia="zh-CN" w:bidi="ar-SA"/>
        </w:rPr>
        <w:t xml:space="preserve">  </w:t>
      </w:r>
      <w:r>
        <w:rPr>
          <w:rFonts w:hint="eastAsia" w:ascii="Times New Roman" w:hAnsi="Times New Roman" w:eastAsia="宋体" w:cs="Times New Roman"/>
          <w:b/>
          <w:bCs/>
          <w:color w:val="auto"/>
          <w:kern w:val="44"/>
          <w:sz w:val="36"/>
          <w:szCs w:val="44"/>
          <w:highlight w:val="none"/>
          <w:lang w:val="en-US" w:eastAsia="zh-CN" w:bidi="ar-SA"/>
        </w:rPr>
        <w:t>开标、评标和定标须知</w:t>
      </w:r>
      <w:bookmarkEnd w:id="35"/>
      <w:bookmarkEnd w:id="43"/>
    </w:p>
    <w:p w14:paraId="42FC800B">
      <w:pPr>
        <w:pStyle w:val="3"/>
        <w:spacing w:before="0" w:after="0" w:line="460" w:lineRule="exact"/>
        <w:rPr>
          <w:rFonts w:ascii="宋体" w:hAnsi="宋体" w:eastAsia="宋体"/>
          <w:color w:val="auto"/>
          <w:sz w:val="21"/>
          <w:szCs w:val="21"/>
          <w:highlight w:val="none"/>
        </w:rPr>
      </w:pPr>
      <w:bookmarkStart w:id="44" w:name="_Toc406413937"/>
      <w:bookmarkStart w:id="45" w:name="_Toc22509"/>
      <w:bookmarkStart w:id="46" w:name="_Toc18930"/>
      <w:bookmarkStart w:id="47" w:name="_Toc362250705"/>
      <w:bookmarkStart w:id="48" w:name="_Toc263090375"/>
      <w:bookmarkStart w:id="49" w:name="_Toc27000"/>
      <w:bookmarkStart w:id="50" w:name="_Toc226973002"/>
      <w:bookmarkStart w:id="51" w:name="_Toc274303253"/>
      <w:bookmarkStart w:id="52" w:name="_Toc20175"/>
      <w:bookmarkStart w:id="53" w:name="_Toc261519847"/>
      <w:r>
        <w:rPr>
          <w:rFonts w:hint="eastAsia" w:ascii="宋体" w:hAnsi="宋体" w:eastAsia="宋体"/>
          <w:color w:val="auto"/>
          <w:sz w:val="21"/>
          <w:szCs w:val="21"/>
          <w:highlight w:val="none"/>
        </w:rPr>
        <w:t>一、开标</w:t>
      </w:r>
      <w:bookmarkEnd w:id="44"/>
      <w:bookmarkEnd w:id="45"/>
      <w:bookmarkEnd w:id="46"/>
    </w:p>
    <w:p w14:paraId="69A7A40B">
      <w:pPr>
        <w:spacing w:line="360" w:lineRule="auto"/>
        <w:ind w:firstLine="420" w:firstLineChars="200"/>
        <w:rPr>
          <w:rFonts w:hint="eastAsia" w:ascii="宋体" w:hAnsi="宋体" w:cs="宋体"/>
          <w:color w:val="auto"/>
          <w:szCs w:val="21"/>
          <w:highlight w:val="none"/>
        </w:rPr>
      </w:pPr>
      <w:r>
        <w:rPr>
          <w:rFonts w:ascii="宋体" w:hAnsi="宋体"/>
          <w:color w:val="auto"/>
          <w:highlight w:val="none"/>
        </w:rPr>
        <w:t>1.</w:t>
      </w:r>
      <w:r>
        <w:rPr>
          <w:rFonts w:hint="eastAsia" w:ascii="宋体" w:hAnsi="宋体" w:cs="宋体"/>
          <w:color w:val="auto"/>
          <w:szCs w:val="21"/>
          <w:highlight w:val="none"/>
        </w:rPr>
        <w:t>本项目实行电子开评标，投标人无需前往开评标现场，应在规定时间内在“义乌市阳光招标采购平台”上上传电子投标文件和准时在线参加开标。</w:t>
      </w:r>
    </w:p>
    <w:p w14:paraId="6C99571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2.电子开评标及评审程序</w:t>
      </w:r>
    </w:p>
    <w:p w14:paraId="13A06AC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2.1采购代理机构开启解密后的30分钟内，由各投标人自行对电子投标文件进行解密请各投标人务必在规定时间内完成电子投标文件的解密工作，在电子开评标期间，投标人（授权代表）需确保在各自所在的区域具备上网的技术条件并保持网络及联系方式畅通； </w:t>
      </w:r>
    </w:p>
    <w:p w14:paraId="3E626CD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2.2评标委员会对投标人的资格和商务技术响应文件进行评审；</w:t>
      </w:r>
    </w:p>
    <w:p w14:paraId="3D74ABA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2.3评标委员会对报价响应文件进行评审；</w:t>
      </w:r>
    </w:p>
    <w:p w14:paraId="186D39D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2.4在系统上公布评审结果。</w:t>
      </w:r>
    </w:p>
    <w:p w14:paraId="58AFC5A2">
      <w:pPr>
        <w:spacing w:line="360" w:lineRule="auto"/>
        <w:ind w:firstLine="422" w:firstLineChars="200"/>
        <w:rPr>
          <w:b/>
          <w:color w:val="auto"/>
          <w:szCs w:val="21"/>
          <w:highlight w:val="none"/>
          <w:u w:val="single"/>
        </w:rPr>
      </w:pPr>
      <w:r>
        <w:rPr>
          <w:rFonts w:hint="eastAsia" w:ascii="宋体" w:hAnsi="宋体" w:cs="宋体"/>
          <w:b/>
          <w:color w:val="auto"/>
          <w:szCs w:val="21"/>
          <w:highlight w:val="none"/>
          <w:u w:val="single"/>
        </w:rPr>
        <w:t>特别说明：“义乌市阳光招标采购平台”如对开评标程序有调整的，按调整后的程序操作。</w:t>
      </w:r>
    </w:p>
    <w:p w14:paraId="6887DC32">
      <w:pPr>
        <w:pStyle w:val="3"/>
        <w:spacing w:before="120" w:after="120" w:line="460" w:lineRule="exact"/>
        <w:rPr>
          <w:rFonts w:ascii="宋体" w:hAnsi="宋体" w:eastAsia="宋体" w:cs="宋体"/>
          <w:color w:val="auto"/>
          <w:sz w:val="21"/>
          <w:szCs w:val="21"/>
          <w:highlight w:val="none"/>
        </w:rPr>
      </w:pPr>
      <w:bookmarkStart w:id="54" w:name="_Toc3876"/>
      <w:r>
        <w:rPr>
          <w:rFonts w:hint="eastAsia" w:ascii="宋体" w:hAnsi="宋体" w:eastAsia="宋体" w:cs="宋体"/>
          <w:color w:val="auto"/>
          <w:sz w:val="21"/>
          <w:szCs w:val="21"/>
          <w:highlight w:val="none"/>
        </w:rPr>
        <w:t>二、评标</w:t>
      </w:r>
      <w:bookmarkEnd w:id="47"/>
      <w:bookmarkEnd w:id="48"/>
      <w:bookmarkEnd w:id="49"/>
      <w:bookmarkEnd w:id="50"/>
      <w:bookmarkEnd w:id="51"/>
      <w:bookmarkEnd w:id="52"/>
      <w:bookmarkEnd w:id="53"/>
      <w:bookmarkEnd w:id="54"/>
    </w:p>
    <w:p w14:paraId="14DE1B4D">
      <w:pPr>
        <w:spacing w:line="360" w:lineRule="auto"/>
        <w:ind w:firstLine="480"/>
        <w:rPr>
          <w:rFonts w:ascii="宋体" w:cs="宋体"/>
          <w:b/>
          <w:color w:val="auto"/>
          <w:kern w:val="0"/>
          <w:szCs w:val="21"/>
          <w:highlight w:val="none"/>
        </w:rPr>
      </w:pPr>
      <w:r>
        <w:rPr>
          <w:rFonts w:ascii="宋体" w:hAnsi="宋体" w:cs="宋体"/>
          <w:b/>
          <w:color w:val="auto"/>
          <w:kern w:val="0"/>
          <w:szCs w:val="21"/>
          <w:highlight w:val="none"/>
        </w:rPr>
        <w:t>3</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rPr>
        <w:t>评标小组</w:t>
      </w:r>
    </w:p>
    <w:p w14:paraId="1B432055">
      <w:pPr>
        <w:spacing w:line="360" w:lineRule="auto"/>
        <w:ind w:firstLine="420" w:firstLineChars="200"/>
        <w:rPr>
          <w:rFonts w:ascii="宋体" w:cs="宋体"/>
          <w:color w:val="auto"/>
          <w:szCs w:val="21"/>
          <w:highlight w:val="none"/>
        </w:rPr>
      </w:pPr>
      <w:r>
        <w:rPr>
          <w:rFonts w:ascii="宋体" w:hAnsi="宋体" w:cs="宋体"/>
          <w:color w:val="auto"/>
          <w:szCs w:val="21"/>
          <w:highlight w:val="none"/>
        </w:rPr>
        <w:t xml:space="preserve">3.1 </w:t>
      </w:r>
      <w:r>
        <w:rPr>
          <w:rFonts w:hint="eastAsia" w:ascii="宋体" w:hAnsi="宋体" w:cs="宋体"/>
          <w:color w:val="auto"/>
          <w:szCs w:val="21"/>
          <w:highlight w:val="none"/>
        </w:rPr>
        <w:t>评标小组将根据招标采购项目的特点确定。其成员由专家和采购人代表</w:t>
      </w:r>
      <w:r>
        <w:rPr>
          <w:rFonts w:ascii="宋体" w:hAnsi="宋体" w:cs="宋体"/>
          <w:color w:val="auto"/>
          <w:szCs w:val="21"/>
          <w:highlight w:val="none"/>
        </w:rPr>
        <w:t>5</w:t>
      </w:r>
      <w:r>
        <w:rPr>
          <w:rFonts w:hint="eastAsia" w:ascii="宋体" w:hAnsi="宋体" w:cs="宋体"/>
          <w:color w:val="auto"/>
          <w:szCs w:val="21"/>
          <w:highlight w:val="none"/>
        </w:rPr>
        <w:t>人及以上单数组成。评标小组对投标文件进行审查、质疑、评估和比较。</w:t>
      </w:r>
    </w:p>
    <w:p w14:paraId="567711B7">
      <w:pPr>
        <w:spacing w:line="440" w:lineRule="exact"/>
        <w:rPr>
          <w:rFonts w:hint="eastAsia" w:hAnsi="宋体"/>
          <w:color w:val="auto"/>
          <w:highlight w:val="none"/>
        </w:rPr>
      </w:pPr>
      <w:r>
        <w:rPr>
          <w:rFonts w:hint="eastAsia" w:hAnsi="宋体"/>
          <w:color w:val="auto"/>
          <w:highlight w:val="none"/>
        </w:rPr>
        <w:t xml:space="preserve">    </w:t>
      </w:r>
      <w:r>
        <w:rPr>
          <w:rFonts w:hint="eastAsia" w:ascii="宋体" w:hAnsi="宋体" w:cs="宋体"/>
          <w:color w:val="auto"/>
          <w:highlight w:val="none"/>
        </w:rPr>
        <w:t xml:space="preserve">3.2 </w:t>
      </w:r>
      <w:r>
        <w:rPr>
          <w:rFonts w:hint="eastAsia" w:hAnsi="宋体"/>
          <w:color w:val="auto"/>
          <w:highlight w:val="none"/>
        </w:rPr>
        <w:t>评审过程中招标代理人员通过“义乌市阳光招标采购平台”在线询标方式进行询标的，投标单位应在30分钟内予以回应，否则后果自负。</w:t>
      </w:r>
    </w:p>
    <w:p w14:paraId="06AD2321">
      <w:pPr>
        <w:spacing w:line="360" w:lineRule="auto"/>
        <w:ind w:firstLine="422" w:firstLineChars="200"/>
        <w:rPr>
          <w:rFonts w:ascii="宋体" w:cs="宋体"/>
          <w:b/>
          <w:color w:val="auto"/>
          <w:szCs w:val="21"/>
          <w:highlight w:val="none"/>
        </w:rPr>
      </w:pPr>
      <w:r>
        <w:rPr>
          <w:rFonts w:ascii="宋体" w:hAnsi="宋体" w:cs="宋体"/>
          <w:b/>
          <w:color w:val="auto"/>
          <w:szCs w:val="21"/>
          <w:highlight w:val="none"/>
        </w:rPr>
        <w:t>4</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评标原则</w:t>
      </w:r>
    </w:p>
    <w:p w14:paraId="4E957A07">
      <w:pPr>
        <w:spacing w:line="360" w:lineRule="auto"/>
        <w:ind w:firstLine="420" w:firstLineChars="200"/>
        <w:rPr>
          <w:rFonts w:ascii="宋体" w:cs="宋体"/>
          <w:color w:val="auto"/>
          <w:sz w:val="24"/>
          <w:highlight w:val="none"/>
        </w:rPr>
      </w:pPr>
      <w:r>
        <w:rPr>
          <w:rFonts w:ascii="宋体" w:hAnsi="宋体" w:cs="宋体"/>
          <w:color w:val="auto"/>
          <w:szCs w:val="21"/>
          <w:highlight w:val="none"/>
        </w:rPr>
        <w:t>4.1</w:t>
      </w:r>
      <w:r>
        <w:rPr>
          <w:rFonts w:hint="eastAsia" w:ascii="宋体" w:hAnsi="宋体" w:cs="宋体"/>
          <w:color w:val="auto"/>
          <w:szCs w:val="21"/>
          <w:highlight w:val="none"/>
        </w:rPr>
        <w:t>评标小组将遵循公开、公平、公正的原则，严格遵守评标工作纪律。</w:t>
      </w:r>
    </w:p>
    <w:p w14:paraId="10DD58AC">
      <w:pPr>
        <w:spacing w:line="360" w:lineRule="auto"/>
        <w:ind w:firstLine="420" w:firstLineChars="200"/>
        <w:rPr>
          <w:rFonts w:ascii="宋体" w:cs="宋体"/>
          <w:bCs/>
          <w:color w:val="auto"/>
          <w:szCs w:val="21"/>
          <w:highlight w:val="none"/>
        </w:rPr>
      </w:pPr>
      <w:r>
        <w:rPr>
          <w:rFonts w:ascii="宋体" w:hAnsi="宋体" w:cs="宋体"/>
          <w:color w:val="auto"/>
          <w:szCs w:val="21"/>
          <w:highlight w:val="none"/>
        </w:rPr>
        <w:t>4.2</w:t>
      </w:r>
      <w:r>
        <w:rPr>
          <w:rFonts w:hint="eastAsia" w:ascii="宋体" w:hAnsi="宋体" w:cs="宋体"/>
          <w:bCs/>
          <w:color w:val="auto"/>
          <w:szCs w:val="21"/>
          <w:highlight w:val="none"/>
        </w:rPr>
        <w:t>先评资格及商务技术响应文件，再评报价响应文件。</w:t>
      </w:r>
    </w:p>
    <w:p w14:paraId="66B9775A">
      <w:pPr>
        <w:spacing w:line="360" w:lineRule="auto"/>
        <w:ind w:firstLine="420" w:firstLineChars="200"/>
        <w:rPr>
          <w:rFonts w:ascii="宋体" w:cs="宋体"/>
          <w:color w:val="auto"/>
          <w:szCs w:val="21"/>
          <w:highlight w:val="none"/>
        </w:rPr>
      </w:pPr>
      <w:r>
        <w:rPr>
          <w:rFonts w:ascii="宋体" w:hAnsi="宋体" w:cs="宋体"/>
          <w:bCs/>
          <w:color w:val="auto"/>
          <w:szCs w:val="21"/>
          <w:highlight w:val="none"/>
        </w:rPr>
        <w:t>4.3</w:t>
      </w:r>
      <w:r>
        <w:rPr>
          <w:rFonts w:hint="eastAsia" w:ascii="宋体" w:hAnsi="宋体" w:cs="宋体"/>
          <w:color w:val="auto"/>
          <w:szCs w:val="21"/>
          <w:highlight w:val="none"/>
        </w:rPr>
        <w:t>客观公正对待所有投标人，对所有投标评审均采用相同的程序和标准。评标的依据为招标文件和投标文件。</w:t>
      </w:r>
    </w:p>
    <w:p w14:paraId="079B5982">
      <w:pPr>
        <w:spacing w:line="360" w:lineRule="auto"/>
        <w:ind w:firstLine="420" w:firstLineChars="200"/>
        <w:rPr>
          <w:rFonts w:asci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有利于提高投资效益，节约建设资金。</w:t>
      </w:r>
    </w:p>
    <w:p w14:paraId="6D37A334">
      <w:pPr>
        <w:spacing w:line="360" w:lineRule="auto"/>
        <w:ind w:firstLine="420" w:firstLineChars="200"/>
        <w:rPr>
          <w:rFonts w:asci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在评标过程中，出现异常或特殊情况时，由评标小组集体讨论决定。</w:t>
      </w:r>
    </w:p>
    <w:p w14:paraId="7F4BB07E">
      <w:pPr>
        <w:pStyle w:val="18"/>
        <w:spacing w:line="360" w:lineRule="auto"/>
        <w:ind w:firstLine="422" w:firstLineChars="200"/>
        <w:rPr>
          <w:rFonts w:hAnsi="宋体" w:cs="宋体"/>
          <w:color w:val="auto"/>
          <w:highlight w:val="none"/>
        </w:rPr>
      </w:pPr>
      <w:r>
        <w:rPr>
          <w:rFonts w:hAnsi="宋体" w:cs="宋体"/>
          <w:b/>
          <w:color w:val="auto"/>
          <w:highlight w:val="none"/>
        </w:rPr>
        <w:t>5</w:t>
      </w:r>
      <w:r>
        <w:rPr>
          <w:rFonts w:hint="eastAsia" w:hAnsi="宋体" w:cs="宋体"/>
          <w:b/>
          <w:color w:val="auto"/>
          <w:highlight w:val="none"/>
          <w:lang w:eastAsia="zh-CN"/>
        </w:rPr>
        <w:t>.</w:t>
      </w:r>
      <w:r>
        <w:rPr>
          <w:rFonts w:hint="eastAsia" w:hAnsi="宋体" w:cs="宋体"/>
          <w:b/>
          <w:color w:val="auto"/>
          <w:highlight w:val="none"/>
        </w:rPr>
        <w:t>评标过程的保密</w:t>
      </w:r>
    </w:p>
    <w:p w14:paraId="69B7BB2D">
      <w:pPr>
        <w:adjustRightInd w:val="0"/>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开标后，直至授予中标人合同为止，凡属于对投标文件的审查、澄清、评价和比较等有关的资料以及中标候选人的推荐情况等与评标有关的任何情况均严格保密。</w:t>
      </w:r>
    </w:p>
    <w:p w14:paraId="083A00AE">
      <w:pPr>
        <w:adjustRightInd w:val="0"/>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5.2</w:t>
      </w:r>
      <w:r>
        <w:rPr>
          <w:rFonts w:hint="eastAsia" w:ascii="宋体" w:hAnsi="宋体" w:cs="宋体"/>
          <w:color w:val="auto"/>
          <w:szCs w:val="21"/>
          <w:highlight w:val="none"/>
        </w:rPr>
        <w:t>在投标文件的评审和比较、中标候选人推荐以及授予合同的过程中，投标人向采购人和评标小组施加影响的任何行为，都将会导致其投标被拒绝。</w:t>
      </w:r>
    </w:p>
    <w:p w14:paraId="6CEFA111">
      <w:pPr>
        <w:pStyle w:val="18"/>
        <w:spacing w:line="360" w:lineRule="auto"/>
        <w:ind w:firstLine="420" w:firstLineChars="200"/>
        <w:rPr>
          <w:rFonts w:hAnsi="宋体" w:cs="宋体"/>
          <w:color w:val="auto"/>
          <w:highlight w:val="none"/>
        </w:rPr>
      </w:pPr>
      <w:r>
        <w:rPr>
          <w:rFonts w:hAnsi="宋体" w:cs="宋体"/>
          <w:color w:val="auto"/>
          <w:highlight w:val="none"/>
        </w:rPr>
        <w:t>5.3</w:t>
      </w:r>
      <w:r>
        <w:rPr>
          <w:rFonts w:hint="eastAsia" w:hAnsi="宋体" w:cs="宋体"/>
          <w:color w:val="auto"/>
          <w:highlight w:val="none"/>
        </w:rPr>
        <w:t>中标人确认后，采购人不对未中标人就评标过程以及未能中标原因作出任何解释。未中标人不得向评标小组人员或其他有关人员索问评标过程的全部情况。</w:t>
      </w:r>
    </w:p>
    <w:p w14:paraId="729BAD56">
      <w:pPr>
        <w:spacing w:line="360" w:lineRule="auto"/>
        <w:ind w:firstLine="420" w:firstLineChars="200"/>
        <w:rPr>
          <w:rFonts w:hint="eastAsia" w:ascii="宋体" w:hAnsi="宋体" w:cs="宋体"/>
          <w:color w:val="auto"/>
          <w:spacing w:val="-4"/>
          <w:szCs w:val="21"/>
          <w:highlight w:val="none"/>
        </w:rPr>
      </w:pPr>
      <w:r>
        <w:rPr>
          <w:rFonts w:ascii="宋体" w:hAnsi="宋体" w:cs="宋体"/>
          <w:color w:val="auto"/>
          <w:szCs w:val="21"/>
          <w:highlight w:val="none"/>
        </w:rPr>
        <w:t>5.4</w:t>
      </w:r>
      <w:r>
        <w:rPr>
          <w:rFonts w:hint="eastAsia" w:ascii="宋体" w:hAnsi="宋体" w:cs="宋体"/>
          <w:color w:val="auto"/>
          <w:spacing w:val="-4"/>
          <w:szCs w:val="21"/>
          <w:highlight w:val="none"/>
        </w:rPr>
        <w:t>为保证定标的公正性，在评标过程中，评标成员不得与投标人私人交换意见。在招标工作结束后，凡与评标情况有接触的任何人不得也不应将评标情况扩散出评标成员之外。</w:t>
      </w:r>
    </w:p>
    <w:p w14:paraId="497E0A87">
      <w:pPr>
        <w:spacing w:line="460" w:lineRule="exact"/>
        <w:ind w:firstLine="406" w:firstLineChars="200"/>
        <w:rPr>
          <w:rFonts w:ascii="宋体"/>
          <w:color w:val="auto"/>
          <w:spacing w:val="-4"/>
          <w:highlight w:val="none"/>
        </w:rPr>
      </w:pPr>
      <w:r>
        <w:rPr>
          <w:rFonts w:ascii="宋体" w:hAnsi="宋体"/>
          <w:b/>
          <w:bCs/>
          <w:color w:val="auto"/>
          <w:spacing w:val="-4"/>
          <w:highlight w:val="none"/>
        </w:rPr>
        <w:t>6</w:t>
      </w:r>
      <w:r>
        <w:rPr>
          <w:rFonts w:hint="eastAsia" w:ascii="宋体" w:hAnsi="宋体"/>
          <w:b/>
          <w:bCs/>
          <w:color w:val="auto"/>
          <w:spacing w:val="-4"/>
          <w:highlight w:val="none"/>
          <w:lang w:eastAsia="zh-CN"/>
        </w:rPr>
        <w:t>.</w:t>
      </w:r>
      <w:r>
        <w:rPr>
          <w:rFonts w:hint="eastAsia" w:ascii="宋体" w:hAnsi="宋体"/>
          <w:b/>
          <w:bCs/>
          <w:color w:val="auto"/>
          <w:spacing w:val="-4"/>
          <w:highlight w:val="none"/>
        </w:rPr>
        <w:t>投标文件中内容不一致的处理</w:t>
      </w:r>
    </w:p>
    <w:p w14:paraId="4E9C75D5">
      <w:pPr>
        <w:spacing w:line="460" w:lineRule="exact"/>
        <w:ind w:firstLine="404" w:firstLineChars="200"/>
        <w:rPr>
          <w:rFonts w:hint="eastAsia" w:ascii="宋体" w:hAnsi="宋体"/>
          <w:color w:val="auto"/>
          <w:spacing w:val="-4"/>
          <w:highlight w:val="none"/>
        </w:rPr>
      </w:pPr>
      <w:r>
        <w:rPr>
          <w:rFonts w:hint="eastAsia" w:ascii="宋体" w:hAnsi="宋体"/>
          <w:color w:val="auto"/>
          <w:spacing w:val="-4"/>
          <w:highlight w:val="none"/>
        </w:rPr>
        <w:t>同一份投标文件中，彩页、官网下载资料、检测报告等证明性资料中描写的技术性能指标与投标文件中其它地方内容描述不一致的，应以上述证明性资料为准；规范偏离表等偏离表的内容与投标文件中其它地方内容有描述不一致的，应以投标文件中其它地方内容的描述为准。</w:t>
      </w:r>
    </w:p>
    <w:p w14:paraId="5E564988">
      <w:pPr>
        <w:spacing w:line="460" w:lineRule="exact"/>
        <w:ind w:firstLine="406" w:firstLineChars="200"/>
        <w:rPr>
          <w:rFonts w:ascii="宋体" w:cs="宋体"/>
          <w:b/>
          <w:color w:val="auto"/>
          <w:szCs w:val="21"/>
          <w:highlight w:val="none"/>
        </w:rPr>
      </w:pPr>
      <w:r>
        <w:rPr>
          <w:rFonts w:hint="eastAsia" w:ascii="宋体" w:hAnsi="宋体"/>
          <w:b/>
          <w:bCs/>
          <w:color w:val="auto"/>
          <w:spacing w:val="-4"/>
          <w:highlight w:val="none"/>
        </w:rPr>
        <w:t>7</w:t>
      </w:r>
      <w:r>
        <w:rPr>
          <w:rFonts w:hint="eastAsia" w:ascii="宋体" w:hAnsi="宋体"/>
          <w:b/>
          <w:bCs/>
          <w:color w:val="auto"/>
          <w:spacing w:val="-4"/>
          <w:highlight w:val="none"/>
          <w:lang w:eastAsia="zh-CN"/>
        </w:rPr>
        <w:t>.</w:t>
      </w:r>
      <w:r>
        <w:rPr>
          <w:rFonts w:hint="eastAsia" w:ascii="宋体" w:hAnsi="宋体" w:cs="宋体"/>
          <w:b/>
          <w:bCs/>
          <w:color w:val="auto"/>
          <w:szCs w:val="21"/>
          <w:highlight w:val="none"/>
        </w:rPr>
        <w:t>供应商的认定</w:t>
      </w:r>
    </w:p>
    <w:p w14:paraId="3BF7FB25">
      <w:pPr>
        <w:spacing w:line="46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单位负责人为同一人或者存在直接控股、管理关系的不同供应商，不得参加同一合同项下的采购活动。</w:t>
      </w:r>
    </w:p>
    <w:p w14:paraId="65A4E275">
      <w:pPr>
        <w:tabs>
          <w:tab w:val="left" w:pos="362"/>
        </w:tabs>
        <w:spacing w:line="4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8</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投标文件的澄清</w:t>
      </w:r>
    </w:p>
    <w:p w14:paraId="6539A184">
      <w:pPr>
        <w:tabs>
          <w:tab w:val="left" w:pos="362"/>
        </w:tabs>
        <w:spacing w:line="4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8</w:t>
      </w:r>
      <w:r>
        <w:rPr>
          <w:rFonts w:ascii="宋体" w:hAnsi="宋体"/>
          <w:color w:val="auto"/>
          <w:szCs w:val="21"/>
          <w:highlight w:val="none"/>
        </w:rPr>
        <w:t>.1</w:t>
      </w:r>
      <w:r>
        <w:rPr>
          <w:rFonts w:hint="eastAsia" w:ascii="宋体" w:hAnsi="宋体"/>
          <w:color w:val="auto"/>
          <w:szCs w:val="21"/>
          <w:highlight w:val="none"/>
        </w:rPr>
        <w:t>为有助于投标文件的审查、评价和比较，评标委员会应当在“义乌市阳光招标采购平台”在线询标或采用其他有效形式要求投标人对同一份投标文件含义不明确、同类问题表述不一致或者有明显文字和计算错误的内容（招标文件其它地方有另有规定处理方法的除外）作必要的澄清或说明，投标人应采用在线回复或其他有效形式在询标规定时间内进行澄清或说明（</w:t>
      </w:r>
      <w:r>
        <w:rPr>
          <w:rFonts w:hint="eastAsia" w:ascii="宋体" w:hAnsi="宋体"/>
          <w:color w:val="auto"/>
          <w:szCs w:val="21"/>
          <w:highlight w:val="none"/>
          <w:lang w:eastAsia="zh-CN"/>
        </w:rPr>
        <w:t>需加</w:t>
      </w:r>
      <w:r>
        <w:rPr>
          <w:rFonts w:hint="eastAsia" w:ascii="宋体" w:hAnsi="宋体"/>
          <w:color w:val="auto"/>
          <w:szCs w:val="21"/>
          <w:highlight w:val="none"/>
        </w:rPr>
        <w:t>盖电子签章或实体公章），但不得超出投标文件的范围或改变投标文件的实质性内容。根据本须知第10条规定，凡属于评标小组在评标中发现的计算错误并进行核实的修改不在此列。</w:t>
      </w:r>
    </w:p>
    <w:p w14:paraId="50CF09EC">
      <w:pPr>
        <w:tabs>
          <w:tab w:val="left" w:pos="362"/>
        </w:tabs>
        <w:spacing w:line="460" w:lineRule="exact"/>
        <w:ind w:firstLine="420" w:firstLineChars="200"/>
        <w:rPr>
          <w:rFonts w:hint="eastAsia" w:ascii="宋体" w:hAnsi="宋体" w:cs="宋体"/>
          <w:color w:val="auto"/>
          <w:szCs w:val="21"/>
          <w:highlight w:val="none"/>
        </w:rPr>
      </w:pPr>
      <w:r>
        <w:rPr>
          <w:rFonts w:hint="eastAsia" w:ascii="宋体" w:hAnsi="宋体"/>
          <w:color w:val="auto"/>
          <w:szCs w:val="21"/>
          <w:highlight w:val="none"/>
        </w:rPr>
        <w:t>8.2如果投标人代表拒绝按评标委员会要求在“义乌市阳光招标采购平台”作出在线回复且无其他有效回复方式的，评标委员会可以对其作无效标处理。</w:t>
      </w:r>
    </w:p>
    <w:p w14:paraId="7D0024DB">
      <w:pPr>
        <w:tabs>
          <w:tab w:val="left" w:pos="362"/>
        </w:tabs>
        <w:spacing w:line="46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9.</w:t>
      </w:r>
      <w:r>
        <w:rPr>
          <w:rFonts w:hint="eastAsia" w:ascii="宋体" w:hAnsi="宋体" w:cs="宋体"/>
          <w:b/>
          <w:bCs/>
          <w:color w:val="auto"/>
          <w:szCs w:val="21"/>
          <w:highlight w:val="none"/>
        </w:rPr>
        <w:t>投标文件的初步评审</w:t>
      </w:r>
    </w:p>
    <w:p w14:paraId="2C7ED1A2">
      <w:pPr>
        <w:tabs>
          <w:tab w:val="left" w:pos="362"/>
        </w:tabs>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w:t>
      </w:r>
      <w:r>
        <w:rPr>
          <w:rFonts w:ascii="宋体" w:hAnsi="宋体" w:cs="宋体"/>
          <w:color w:val="auto"/>
          <w:szCs w:val="21"/>
          <w:highlight w:val="none"/>
        </w:rPr>
        <w:t>.1</w:t>
      </w:r>
      <w:r>
        <w:rPr>
          <w:rFonts w:hint="eastAsia" w:ascii="宋体" w:hAnsi="宋体" w:cs="宋体"/>
          <w:color w:val="auto"/>
          <w:szCs w:val="21"/>
          <w:highlight w:val="none"/>
        </w:rPr>
        <w:t>开标后，采购人应将投标文件提交评标小组进行初步评审，初步评审内容为：</w:t>
      </w:r>
    </w:p>
    <w:p w14:paraId="6BD6E015">
      <w:pPr>
        <w:tabs>
          <w:tab w:val="left" w:pos="362"/>
        </w:tabs>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w:t>
      </w:r>
      <w:r>
        <w:rPr>
          <w:rFonts w:ascii="宋体" w:hAnsi="宋体" w:cs="宋体"/>
          <w:color w:val="auto"/>
          <w:szCs w:val="21"/>
          <w:highlight w:val="none"/>
        </w:rPr>
        <w:t>.1.1</w:t>
      </w:r>
      <w:r>
        <w:rPr>
          <w:rFonts w:hint="eastAsia" w:ascii="宋体" w:hAnsi="宋体" w:cs="宋体"/>
          <w:color w:val="auto"/>
          <w:szCs w:val="21"/>
          <w:highlight w:val="none"/>
        </w:rPr>
        <w:t>是否出现第五章规定的内容；</w:t>
      </w:r>
    </w:p>
    <w:p w14:paraId="0C3D5F65">
      <w:pPr>
        <w:tabs>
          <w:tab w:val="left" w:pos="362"/>
        </w:tabs>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违反上述情形之一者，技术文件或商务文件初步评审不予通过，不列入商务标详细评审。</w:t>
      </w:r>
    </w:p>
    <w:p w14:paraId="26D76E3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w:t>
      </w:r>
      <w:r>
        <w:rPr>
          <w:rFonts w:ascii="宋体" w:hAnsi="宋体" w:cs="宋体"/>
          <w:color w:val="auto"/>
          <w:szCs w:val="21"/>
          <w:highlight w:val="none"/>
        </w:rPr>
        <w:t>.2</w:t>
      </w:r>
      <w:r>
        <w:rPr>
          <w:rFonts w:hint="eastAsia" w:ascii="宋体" w:hAnsi="宋体" w:cs="宋体"/>
          <w:color w:val="auto"/>
          <w:szCs w:val="21"/>
          <w:highlight w:val="none"/>
        </w:rPr>
        <w:t>评标时，评标小组将首先评定每份投标文件是否在实质上响应了招标文件的要求。所谓实质上响应，是指投标文件应与招标文件的所有实质性条款、条件和要求相符，无显著差异或保留，或者对合同中约定的采购人的权利和投标人的义务方面造成重大的限制，纠正这些显著差异或保留将会对其他实质上响应招标文件要求的投标文件的投标人的竞争地位产生不公正的影响。</w:t>
      </w:r>
    </w:p>
    <w:p w14:paraId="21919207">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9</w:t>
      </w:r>
      <w:r>
        <w:rPr>
          <w:rFonts w:ascii="宋体" w:hAnsi="宋体" w:cs="宋体"/>
          <w:color w:val="auto"/>
          <w:szCs w:val="21"/>
          <w:highlight w:val="none"/>
        </w:rPr>
        <w:t>.3</w:t>
      </w:r>
      <w:r>
        <w:rPr>
          <w:rFonts w:hint="eastAsia" w:ascii="宋体" w:hAnsi="宋体" w:cs="宋体"/>
          <w:color w:val="auto"/>
          <w:szCs w:val="21"/>
          <w:highlight w:val="none"/>
        </w:rPr>
        <w:t>如果投标文件实质上不响应招标文件的各项要求，评标小组将予以拒绝，并且不允许投标人通过修改或撤销其不符合要求的差异或保留，使之成为具有响应性的投标。</w:t>
      </w:r>
    </w:p>
    <w:p w14:paraId="1DCB6D6E">
      <w:pPr>
        <w:adjustRightInd w:val="0"/>
        <w:snapToGrid w:val="0"/>
        <w:spacing w:line="460" w:lineRule="exact"/>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10</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投标文件计算错误的修正</w:t>
      </w:r>
    </w:p>
    <w:p w14:paraId="0730FB37">
      <w:pPr>
        <w:adjustRightInd w:val="0"/>
        <w:snapToGrid w:val="0"/>
        <w:spacing w:line="460" w:lineRule="exact"/>
        <w:ind w:firstLine="411" w:firstLineChars="196"/>
        <w:rPr>
          <w:rFonts w:hint="eastAsia" w:ascii="宋体" w:hAnsi="宋体" w:cs="宋体"/>
          <w:bCs/>
          <w:color w:val="auto"/>
          <w:szCs w:val="21"/>
          <w:highlight w:val="none"/>
        </w:rPr>
      </w:pPr>
      <w:r>
        <w:rPr>
          <w:rFonts w:hint="eastAsia" w:ascii="宋体" w:hAnsi="宋体" w:cs="宋体"/>
          <w:bCs/>
          <w:color w:val="auto"/>
          <w:szCs w:val="21"/>
          <w:highlight w:val="none"/>
        </w:rPr>
        <w:t>10.1评标小组将对确定为实质上响应招标文件要求的投标文件进行校核，看其是否有计算或表达上的错误，修正错误的原则如下：</w:t>
      </w:r>
    </w:p>
    <w:p w14:paraId="744D2D7A">
      <w:pPr>
        <w:keepNext w:val="0"/>
        <w:keepLines w:val="0"/>
        <w:pageBreakBefore w:val="0"/>
        <w:widowControl w:val="0"/>
        <w:kinsoku/>
        <w:wordWrap/>
        <w:overflowPunct/>
        <w:topLinePunct w:val="0"/>
        <w:autoSpaceDE/>
        <w:autoSpaceDN/>
        <w:bidi w:val="0"/>
        <w:adjustRightInd w:val="0"/>
        <w:snapToGrid w:val="0"/>
        <w:spacing w:line="460" w:lineRule="exact"/>
        <w:ind w:firstLine="840" w:firstLineChars="4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10.1.1客户端填写的报价与以pdf格式上传文件中的报价不一致的，应以pdf格式上传文件中的报价为准；</w:t>
      </w:r>
    </w:p>
    <w:p w14:paraId="5625E241">
      <w:pPr>
        <w:keepNext w:val="0"/>
        <w:keepLines w:val="0"/>
        <w:pageBreakBefore w:val="0"/>
        <w:widowControl w:val="0"/>
        <w:kinsoku/>
        <w:wordWrap/>
        <w:overflowPunct/>
        <w:topLinePunct w:val="0"/>
        <w:autoSpaceDE/>
        <w:autoSpaceDN/>
        <w:bidi w:val="0"/>
        <w:adjustRightInd w:val="0"/>
        <w:snapToGrid w:val="0"/>
        <w:spacing w:line="460" w:lineRule="exact"/>
        <w:ind w:firstLine="840" w:firstLineChars="4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10.1.2投标文件中《开标一览表》（报价表）与投标文件中相应内容不一致的，以《开标一览表》（报价表）为准；</w:t>
      </w:r>
    </w:p>
    <w:p w14:paraId="5AF55FD2">
      <w:pPr>
        <w:keepNext w:val="0"/>
        <w:keepLines w:val="0"/>
        <w:pageBreakBefore w:val="0"/>
        <w:widowControl w:val="0"/>
        <w:kinsoku/>
        <w:wordWrap/>
        <w:overflowPunct/>
        <w:topLinePunct w:val="0"/>
        <w:autoSpaceDE/>
        <w:autoSpaceDN/>
        <w:bidi w:val="0"/>
        <w:adjustRightInd w:val="0"/>
        <w:snapToGrid w:val="0"/>
        <w:spacing w:line="460" w:lineRule="exact"/>
        <w:ind w:firstLine="840" w:firstLineChars="4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10.1.3大写金额和小写金额不一致的，以大写金额为准；</w:t>
      </w:r>
    </w:p>
    <w:p w14:paraId="651DF743">
      <w:pPr>
        <w:keepNext w:val="0"/>
        <w:keepLines w:val="0"/>
        <w:pageBreakBefore w:val="0"/>
        <w:widowControl w:val="0"/>
        <w:kinsoku/>
        <w:wordWrap/>
        <w:overflowPunct/>
        <w:topLinePunct w:val="0"/>
        <w:autoSpaceDE/>
        <w:autoSpaceDN/>
        <w:bidi w:val="0"/>
        <w:adjustRightInd w:val="0"/>
        <w:snapToGrid w:val="0"/>
        <w:spacing w:line="460" w:lineRule="exact"/>
        <w:ind w:firstLine="840" w:firstLineChars="4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10.1.4单价金额小数点或者百分比有明显错位的，以开标一览表的总价为准，并修改单价；</w:t>
      </w:r>
    </w:p>
    <w:p w14:paraId="7720B2A6">
      <w:pPr>
        <w:keepNext w:val="0"/>
        <w:keepLines w:val="0"/>
        <w:pageBreakBefore w:val="0"/>
        <w:widowControl w:val="0"/>
        <w:kinsoku/>
        <w:wordWrap/>
        <w:overflowPunct/>
        <w:topLinePunct w:val="0"/>
        <w:autoSpaceDE/>
        <w:autoSpaceDN/>
        <w:bidi w:val="0"/>
        <w:adjustRightInd w:val="0"/>
        <w:snapToGrid w:val="0"/>
        <w:spacing w:line="460" w:lineRule="exact"/>
        <w:ind w:firstLine="840" w:firstLineChars="4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10.1.5总价金额与按单价汇总金额不一致的，以单价金额计算结果为准；</w:t>
      </w:r>
    </w:p>
    <w:p w14:paraId="6CF468E8">
      <w:pPr>
        <w:adjustRightInd w:val="0"/>
        <w:snapToGrid w:val="0"/>
        <w:spacing w:line="460" w:lineRule="exact"/>
        <w:ind w:firstLine="411" w:firstLineChars="196"/>
        <w:rPr>
          <w:rFonts w:hint="eastAsia" w:ascii="宋体" w:hAnsi="宋体" w:cs="宋体"/>
          <w:bCs/>
          <w:color w:val="auto"/>
          <w:szCs w:val="21"/>
          <w:highlight w:val="none"/>
        </w:rPr>
      </w:pPr>
      <w:r>
        <w:rPr>
          <w:rFonts w:hint="eastAsia" w:ascii="宋体" w:hAnsi="宋体" w:cs="宋体"/>
          <w:bCs/>
          <w:color w:val="auto"/>
          <w:szCs w:val="21"/>
          <w:highlight w:val="none"/>
        </w:rPr>
        <w:t>同时出现两种以上不一致的，按照前款规定的顺序修正，修正后的报价经投标人确认后产生约束力。</w:t>
      </w:r>
    </w:p>
    <w:p w14:paraId="311885A8">
      <w:pPr>
        <w:adjustRightInd w:val="0"/>
        <w:snapToGrid w:val="0"/>
        <w:spacing w:line="460" w:lineRule="exact"/>
        <w:ind w:firstLine="413" w:firstLineChars="196"/>
        <w:rPr>
          <w:rFonts w:asci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1</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投标文件的评审、比较和否决</w:t>
      </w:r>
    </w:p>
    <w:p w14:paraId="129467A0">
      <w:pPr>
        <w:adjustRightInd w:val="0"/>
        <w:snapToGrid w:val="0"/>
        <w:spacing w:line="460" w:lineRule="exact"/>
        <w:ind w:firstLine="420" w:firstLineChars="20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ascii="宋体" w:hAnsi="宋体" w:cs="宋体"/>
          <w:color w:val="auto"/>
          <w:szCs w:val="21"/>
          <w:highlight w:val="none"/>
        </w:rPr>
        <w:t>.1</w:t>
      </w:r>
      <w:r>
        <w:rPr>
          <w:rFonts w:hint="eastAsia" w:ascii="宋体" w:hAnsi="宋体" w:cs="宋体"/>
          <w:color w:val="auto"/>
          <w:szCs w:val="21"/>
          <w:highlight w:val="none"/>
        </w:rPr>
        <w:t>评标小组将按照本须知规定，仅对在实质上响应招标文件要求的投标文件进行评估和比较。</w:t>
      </w:r>
    </w:p>
    <w:p w14:paraId="40381A9A">
      <w:pPr>
        <w:adjustRightInd w:val="0"/>
        <w:snapToGrid w:val="0"/>
        <w:spacing w:line="460" w:lineRule="exact"/>
        <w:ind w:firstLine="420" w:firstLineChars="20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ascii="宋体" w:hAnsi="宋体" w:cs="宋体"/>
          <w:color w:val="auto"/>
          <w:szCs w:val="21"/>
          <w:highlight w:val="none"/>
        </w:rPr>
        <w:t>.2</w:t>
      </w:r>
      <w:r>
        <w:rPr>
          <w:rFonts w:hint="eastAsia" w:ascii="宋体" w:hAnsi="宋体" w:cs="宋体"/>
          <w:color w:val="auto"/>
          <w:szCs w:val="21"/>
          <w:highlight w:val="none"/>
        </w:rPr>
        <w:t>在评审过程后，评标小组可以以书面形式要求投标人就投标文件中含义不明确的内容进行书面说明并提供相关材料。</w:t>
      </w:r>
    </w:p>
    <w:p w14:paraId="189003A1">
      <w:pPr>
        <w:adjustRightInd w:val="0"/>
        <w:snapToGrid w:val="0"/>
        <w:spacing w:line="460" w:lineRule="exact"/>
        <w:ind w:firstLine="420" w:firstLineChars="20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ascii="宋体" w:hAnsi="宋体" w:cs="宋体"/>
          <w:color w:val="auto"/>
          <w:szCs w:val="21"/>
          <w:highlight w:val="none"/>
        </w:rPr>
        <w:t>.3</w:t>
      </w:r>
      <w:r>
        <w:rPr>
          <w:rFonts w:hint="eastAsia" w:ascii="宋体" w:hAnsi="宋体" w:cs="宋体"/>
          <w:color w:val="auto"/>
          <w:szCs w:val="21"/>
          <w:highlight w:val="none"/>
        </w:rPr>
        <w:t>评标小组在作出任何一项无效标决定前，都应当严格遵循以下程序：</w:t>
      </w:r>
    </w:p>
    <w:p w14:paraId="7ABAB2C0">
      <w:pPr>
        <w:adjustRightInd w:val="0"/>
        <w:snapToGrid w:val="0"/>
        <w:spacing w:line="460" w:lineRule="exact"/>
        <w:ind w:firstLine="422" w:firstLineChars="200"/>
        <w:rPr>
          <w:rFonts w:asci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1</w:t>
      </w:r>
      <w:r>
        <w:rPr>
          <w:rFonts w:ascii="宋体" w:hAnsi="宋体" w:cs="宋体"/>
          <w:b/>
          <w:color w:val="auto"/>
          <w:szCs w:val="21"/>
          <w:highlight w:val="none"/>
        </w:rPr>
        <w:t>.3.1</w:t>
      </w:r>
      <w:r>
        <w:rPr>
          <w:rFonts w:hint="eastAsia" w:ascii="宋体" w:hAnsi="宋体" w:cs="宋体"/>
          <w:b/>
          <w:color w:val="auto"/>
          <w:szCs w:val="21"/>
          <w:highlight w:val="none"/>
        </w:rPr>
        <w:t>要求当事投标人</w:t>
      </w:r>
      <w:r>
        <w:rPr>
          <w:rFonts w:hint="eastAsia" w:ascii="宋体" w:hAnsi="宋体" w:cs="宋体"/>
          <w:b/>
          <w:color w:val="auto"/>
          <w:szCs w:val="21"/>
          <w:highlight w:val="none"/>
          <w:lang w:eastAsia="zh-CN"/>
        </w:rPr>
        <w:t>做</w:t>
      </w:r>
      <w:r>
        <w:rPr>
          <w:rFonts w:hint="eastAsia" w:ascii="宋体" w:hAnsi="宋体" w:cs="宋体"/>
          <w:b/>
          <w:color w:val="auto"/>
          <w:szCs w:val="21"/>
          <w:highlight w:val="none"/>
        </w:rPr>
        <w:t>相应的答辩；</w:t>
      </w:r>
    </w:p>
    <w:p w14:paraId="2624DF41">
      <w:pPr>
        <w:adjustRightInd w:val="0"/>
        <w:snapToGrid w:val="0"/>
        <w:spacing w:line="460" w:lineRule="exact"/>
        <w:ind w:firstLine="422" w:firstLineChars="200"/>
        <w:rPr>
          <w:rFonts w:asci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1</w:t>
      </w:r>
      <w:r>
        <w:rPr>
          <w:rFonts w:ascii="宋体" w:hAnsi="宋体" w:cs="宋体"/>
          <w:b/>
          <w:color w:val="auto"/>
          <w:szCs w:val="21"/>
          <w:highlight w:val="none"/>
        </w:rPr>
        <w:t>.3.2</w:t>
      </w:r>
      <w:r>
        <w:rPr>
          <w:rFonts w:hint="eastAsia" w:ascii="宋体" w:hAnsi="宋体" w:cs="宋体"/>
          <w:b/>
          <w:color w:val="auto"/>
          <w:szCs w:val="21"/>
          <w:highlight w:val="none"/>
        </w:rPr>
        <w:t>将答辩记录送当事投标人法定代表人或其授权委托的全权代表签字确认；</w:t>
      </w:r>
    </w:p>
    <w:p w14:paraId="67963540">
      <w:pPr>
        <w:adjustRightInd w:val="0"/>
        <w:snapToGrid w:val="0"/>
        <w:spacing w:line="460" w:lineRule="exact"/>
        <w:ind w:firstLine="422" w:firstLineChars="200"/>
        <w:rPr>
          <w:rFonts w:asci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1</w:t>
      </w:r>
      <w:r>
        <w:rPr>
          <w:rFonts w:ascii="宋体" w:hAnsi="宋体" w:cs="宋体"/>
          <w:b/>
          <w:color w:val="auto"/>
          <w:szCs w:val="21"/>
          <w:highlight w:val="none"/>
        </w:rPr>
        <w:t>.3.3</w:t>
      </w:r>
      <w:r>
        <w:rPr>
          <w:rFonts w:hint="eastAsia" w:ascii="宋体" w:hAnsi="宋体" w:cs="宋体"/>
          <w:b/>
          <w:color w:val="auto"/>
          <w:szCs w:val="21"/>
          <w:highlight w:val="none"/>
        </w:rPr>
        <w:t>在充分讨论的基础上集体表决；</w:t>
      </w:r>
    </w:p>
    <w:p w14:paraId="1994E845">
      <w:pPr>
        <w:adjustRightInd w:val="0"/>
        <w:snapToGrid w:val="0"/>
        <w:spacing w:line="460" w:lineRule="exact"/>
        <w:ind w:firstLine="422" w:firstLineChars="200"/>
        <w:rPr>
          <w:rFonts w:asci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1</w:t>
      </w:r>
      <w:r>
        <w:rPr>
          <w:rFonts w:ascii="宋体" w:hAnsi="宋体" w:cs="宋体"/>
          <w:b/>
          <w:color w:val="auto"/>
          <w:szCs w:val="21"/>
          <w:highlight w:val="none"/>
        </w:rPr>
        <w:t>.3.4</w:t>
      </w:r>
      <w:r>
        <w:rPr>
          <w:rFonts w:hint="eastAsia" w:ascii="宋体" w:hAnsi="宋体" w:cs="宋体"/>
          <w:b/>
          <w:color w:val="auto"/>
          <w:szCs w:val="21"/>
          <w:highlight w:val="none"/>
        </w:rPr>
        <w:t>若表决通过无效标决定，告知当事投标人，并在评标报告中详细载明废标理由、依据、答辩的情况和集体表决的情况（同意废标和不同意废标的评标小组成员均应当注明）。</w:t>
      </w:r>
    </w:p>
    <w:p w14:paraId="522D480C">
      <w:pPr>
        <w:pStyle w:val="18"/>
        <w:spacing w:line="460" w:lineRule="exact"/>
        <w:ind w:firstLine="420" w:firstLineChars="200"/>
        <w:rPr>
          <w:rFonts w:hAnsi="宋体" w:cs="宋体"/>
          <w:color w:val="auto"/>
          <w:highlight w:val="none"/>
        </w:rPr>
      </w:pPr>
      <w:r>
        <w:rPr>
          <w:rFonts w:hAnsi="宋体" w:cs="宋体"/>
          <w:color w:val="auto"/>
          <w:highlight w:val="none"/>
        </w:rPr>
        <w:t>1</w:t>
      </w:r>
      <w:r>
        <w:rPr>
          <w:rFonts w:hint="eastAsia" w:hAnsi="宋体" w:cs="宋体"/>
          <w:color w:val="auto"/>
          <w:highlight w:val="none"/>
        </w:rPr>
        <w:t>1</w:t>
      </w:r>
      <w:r>
        <w:rPr>
          <w:rFonts w:hAnsi="宋体" w:cs="宋体"/>
          <w:color w:val="auto"/>
          <w:highlight w:val="none"/>
        </w:rPr>
        <w:t>.4</w:t>
      </w:r>
      <w:r>
        <w:rPr>
          <w:rFonts w:hint="eastAsia" w:hAnsi="宋体" w:cs="宋体"/>
          <w:color w:val="auto"/>
          <w:highlight w:val="none"/>
        </w:rPr>
        <w:t>评标小组经评审，认为所有投标都不符合招标文件要求时，可以否决所有投标。所有投标被否决后，采购人应当依法重新招标。</w:t>
      </w:r>
    </w:p>
    <w:p w14:paraId="00A81144">
      <w:pPr>
        <w:pStyle w:val="18"/>
        <w:spacing w:line="460" w:lineRule="exact"/>
        <w:ind w:firstLine="406" w:firstLineChars="200"/>
        <w:rPr>
          <w:rFonts w:hAnsi="宋体" w:cs="宋体"/>
          <w:b/>
          <w:color w:val="auto"/>
          <w:spacing w:val="-4"/>
          <w:highlight w:val="none"/>
        </w:rPr>
      </w:pPr>
      <w:r>
        <w:rPr>
          <w:rFonts w:hAnsi="宋体" w:cs="宋体"/>
          <w:b/>
          <w:color w:val="auto"/>
          <w:spacing w:val="-4"/>
          <w:highlight w:val="none"/>
        </w:rPr>
        <w:t>1</w:t>
      </w:r>
      <w:r>
        <w:rPr>
          <w:rFonts w:hint="eastAsia" w:hAnsi="宋体" w:cs="宋体"/>
          <w:b/>
          <w:color w:val="auto"/>
          <w:spacing w:val="-4"/>
          <w:highlight w:val="none"/>
        </w:rPr>
        <w:t>2</w:t>
      </w:r>
      <w:r>
        <w:rPr>
          <w:rFonts w:hint="eastAsia" w:hAnsi="宋体" w:cs="宋体"/>
          <w:b/>
          <w:color w:val="auto"/>
          <w:spacing w:val="-4"/>
          <w:highlight w:val="none"/>
          <w:lang w:eastAsia="zh-CN"/>
        </w:rPr>
        <w:t>.</w:t>
      </w:r>
      <w:r>
        <w:rPr>
          <w:rFonts w:hint="eastAsia" w:hAnsi="宋体" w:cs="宋体"/>
          <w:b/>
          <w:color w:val="auto"/>
          <w:spacing w:val="-4"/>
          <w:highlight w:val="none"/>
        </w:rPr>
        <w:t>评标办法</w:t>
      </w:r>
    </w:p>
    <w:p w14:paraId="1C4CB12C">
      <w:pPr>
        <w:adjustRightInd w:val="0"/>
        <w:snapToGrid w:val="0"/>
        <w:spacing w:line="440" w:lineRule="exact"/>
        <w:ind w:firstLine="422" w:firstLineChars="200"/>
        <w:rPr>
          <w:rFonts w:asci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2</w:t>
      </w:r>
      <w:r>
        <w:rPr>
          <w:rFonts w:ascii="宋体" w:hAnsi="宋体" w:cs="宋体"/>
          <w:b/>
          <w:color w:val="auto"/>
          <w:szCs w:val="21"/>
          <w:highlight w:val="none"/>
        </w:rPr>
        <w:t>.1</w:t>
      </w:r>
      <w:r>
        <w:rPr>
          <w:rFonts w:hint="eastAsia" w:ascii="宋体" w:hAnsi="宋体" w:cs="宋体"/>
          <w:b/>
          <w:color w:val="auto"/>
          <w:szCs w:val="21"/>
          <w:highlight w:val="none"/>
        </w:rPr>
        <w:t>采用</w:t>
      </w:r>
      <w:r>
        <w:rPr>
          <w:rFonts w:hint="eastAsia" w:ascii="宋体" w:hAnsi="宋体" w:cs="宋体"/>
          <w:b/>
          <w:color w:val="auto"/>
          <w:szCs w:val="21"/>
          <w:highlight w:val="none"/>
          <w:lang w:val="en-US" w:eastAsia="zh-CN"/>
        </w:rPr>
        <w:t>最低评标价法</w:t>
      </w:r>
      <w:r>
        <w:rPr>
          <w:rFonts w:hint="eastAsia" w:ascii="宋体" w:hAnsi="宋体" w:cs="宋体"/>
          <w:b/>
          <w:color w:val="auto"/>
          <w:szCs w:val="21"/>
          <w:highlight w:val="none"/>
        </w:rPr>
        <w:t>（具体评标办法见后）。</w:t>
      </w:r>
    </w:p>
    <w:p w14:paraId="6FAFFBF9">
      <w:pPr>
        <w:adjustRightInd w:val="0"/>
        <w:snapToGrid w:val="0"/>
        <w:spacing w:line="460" w:lineRule="exact"/>
        <w:ind w:firstLine="422" w:firstLineChars="200"/>
        <w:rPr>
          <w:rFonts w:asci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3</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决标</w:t>
      </w:r>
    </w:p>
    <w:p w14:paraId="56EA74E0">
      <w:pPr>
        <w:adjustRightInd w:val="0"/>
        <w:snapToGrid w:val="0"/>
        <w:spacing w:line="460" w:lineRule="exact"/>
        <w:ind w:firstLine="420" w:firstLineChars="200"/>
        <w:rPr>
          <w:rFonts w:hint="eastAsia" w:ascii="宋体" w:hAnsi="宋体" w:cs="宋体"/>
          <w:color w:val="auto"/>
          <w:szCs w:val="21"/>
          <w:highlight w:val="none"/>
          <w:lang w:val="en-US" w:eastAsia="zh-CN"/>
        </w:rPr>
      </w:pPr>
      <w:bookmarkStart w:id="55" w:name="_Toc226973003"/>
      <w:bookmarkStart w:id="56" w:name="_Toc362250706"/>
      <w:bookmarkStart w:id="57" w:name="_Toc263090376"/>
      <w:bookmarkStart w:id="58" w:name="_Toc4305"/>
      <w:bookmarkStart w:id="59" w:name="_Toc10636"/>
      <w:bookmarkStart w:id="60" w:name="_Toc261519848"/>
      <w:bookmarkStart w:id="61" w:name="_Toc274303254"/>
      <w:r>
        <w:rPr>
          <w:rFonts w:hint="eastAsia" w:ascii="宋体" w:hAnsi="宋体" w:cs="宋体"/>
          <w:color w:val="auto"/>
          <w:szCs w:val="21"/>
          <w:highlight w:val="none"/>
          <w:lang w:val="en-US" w:eastAsia="zh-CN"/>
        </w:rPr>
        <w:t>采购人授权评标小组直接确定中标人。</w:t>
      </w:r>
    </w:p>
    <w:p w14:paraId="593BCDEF">
      <w:pPr>
        <w:pStyle w:val="3"/>
        <w:pageBreakBefore w:val="0"/>
        <w:widowControl w:val="0"/>
        <w:kinsoku/>
        <w:wordWrap/>
        <w:overflowPunct/>
        <w:topLinePunct w:val="0"/>
        <w:autoSpaceDE/>
        <w:autoSpaceDN/>
        <w:bidi w:val="0"/>
        <w:spacing w:before="120" w:after="120" w:line="360" w:lineRule="auto"/>
        <w:textAlignment w:val="auto"/>
        <w:rPr>
          <w:rFonts w:hint="eastAsia" w:ascii="宋体" w:hAnsi="宋体" w:eastAsia="宋体" w:cs="宋体"/>
          <w:color w:val="auto"/>
          <w:sz w:val="21"/>
          <w:szCs w:val="21"/>
          <w:highlight w:val="none"/>
        </w:rPr>
      </w:pPr>
      <w:bookmarkStart w:id="62" w:name="_Toc1314"/>
      <w:r>
        <w:rPr>
          <w:rFonts w:hint="eastAsia" w:ascii="宋体" w:hAnsi="宋体" w:eastAsia="宋体" w:cs="宋体"/>
          <w:color w:val="auto"/>
          <w:sz w:val="21"/>
          <w:szCs w:val="21"/>
          <w:highlight w:val="none"/>
        </w:rPr>
        <w:t>三、定标</w:t>
      </w:r>
      <w:bookmarkEnd w:id="55"/>
      <w:bookmarkEnd w:id="56"/>
      <w:bookmarkEnd w:id="57"/>
      <w:bookmarkEnd w:id="58"/>
      <w:bookmarkEnd w:id="59"/>
      <w:bookmarkEnd w:id="60"/>
      <w:bookmarkEnd w:id="61"/>
      <w:bookmarkEnd w:id="62"/>
    </w:p>
    <w:p w14:paraId="5380B28A">
      <w:pPr>
        <w:spacing w:line="46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14</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中标通知</w:t>
      </w:r>
    </w:p>
    <w:p w14:paraId="31B525AC">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14.1评标结束后，评标结果公告</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个工作日，发布评标结果公告的媒体为：</w:t>
      </w:r>
      <w:r>
        <w:rPr>
          <w:rFonts w:hint="eastAsia" w:ascii="宋体" w:hAnsi="宋体" w:cs="宋体"/>
          <w:color w:val="auto"/>
          <w:szCs w:val="21"/>
          <w:highlight w:val="none"/>
          <w:lang w:eastAsia="zh-CN"/>
        </w:rPr>
        <w:t>义乌市阳光招标采购平台、</w:t>
      </w:r>
      <w:r>
        <w:rPr>
          <w:rFonts w:hint="eastAsia" w:ascii="宋体" w:hAnsi="宋体" w:cs="宋体"/>
          <w:color w:val="auto"/>
          <w:szCs w:val="21"/>
          <w:highlight w:val="none"/>
        </w:rPr>
        <w:t>义乌产权交易网。</w:t>
      </w:r>
    </w:p>
    <w:p w14:paraId="6DB9170B">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14.2公告期内，如无有效异议，公告期结束，由采购人和</w:t>
      </w:r>
      <w:r>
        <w:rPr>
          <w:rFonts w:hint="eastAsia" w:ascii="宋体" w:hAnsi="宋体" w:cs="宋体"/>
          <w:color w:val="auto"/>
          <w:szCs w:val="21"/>
          <w:highlight w:val="none"/>
          <w:lang w:eastAsia="zh-CN"/>
        </w:rPr>
        <w:t>金华义产拍卖有限公司</w:t>
      </w:r>
      <w:r>
        <w:rPr>
          <w:rFonts w:hint="eastAsia" w:ascii="宋体" w:hAnsi="宋体" w:cs="宋体"/>
          <w:color w:val="auto"/>
          <w:szCs w:val="21"/>
          <w:highlight w:val="none"/>
        </w:rPr>
        <w:t>共同签发《中标通知书》，中标人凭有效证明到</w:t>
      </w:r>
      <w:r>
        <w:rPr>
          <w:rFonts w:hint="eastAsia" w:ascii="宋体" w:hAnsi="宋体" w:cs="宋体"/>
          <w:color w:val="auto"/>
          <w:szCs w:val="21"/>
          <w:highlight w:val="none"/>
          <w:lang w:eastAsia="zh-CN"/>
        </w:rPr>
        <w:t>金华义产拍卖有限公司</w:t>
      </w:r>
      <w:r>
        <w:rPr>
          <w:rFonts w:hint="eastAsia" w:ascii="宋体" w:hAnsi="宋体" w:cs="宋体"/>
          <w:color w:val="auto"/>
          <w:szCs w:val="21"/>
          <w:highlight w:val="none"/>
        </w:rPr>
        <w:t>领取《中标通知书》。《中标通知书》一经发出即发生法律效力。</w:t>
      </w:r>
    </w:p>
    <w:p w14:paraId="08669FAC">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14.3</w:t>
      </w:r>
      <w:r>
        <w:rPr>
          <w:rFonts w:hint="eastAsia" w:ascii="宋体" w:hAnsi="宋体" w:cs="宋体"/>
          <w:color w:val="auto"/>
          <w:szCs w:val="21"/>
          <w:highlight w:val="none"/>
        </w:rPr>
        <w:t>开标过程中，投标人对开标有异议的，应当在</w:t>
      </w:r>
      <w:r>
        <w:rPr>
          <w:rFonts w:hint="eastAsia" w:ascii="宋体" w:hAnsi="宋体" w:cs="宋体"/>
          <w:color w:val="auto"/>
          <w:szCs w:val="21"/>
          <w:highlight w:val="none"/>
          <w:lang w:eastAsia="zh-CN"/>
        </w:rPr>
        <w:t>“义乌市阳光招标采购平台”</w:t>
      </w:r>
      <w:r>
        <w:rPr>
          <w:rFonts w:hint="eastAsia" w:ascii="宋体" w:hAnsi="宋体" w:cs="宋体"/>
          <w:color w:val="auto"/>
          <w:szCs w:val="21"/>
          <w:highlight w:val="none"/>
        </w:rPr>
        <w:t>上及时提出，评标委员应对异常情况制作相关记录。投标人若对开评标结果提出质疑的，质疑材料可加盖单位公章后以扫描件形式通过邮箱（ywcqztb001@ywcq.com）送达。</w:t>
      </w:r>
    </w:p>
    <w:p w14:paraId="7835642E">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4.4</w:t>
      </w:r>
      <w:r>
        <w:rPr>
          <w:rFonts w:hint="eastAsia" w:ascii="宋体" w:hAnsi="宋体" w:cs="宋体"/>
          <w:color w:val="auto"/>
          <w:szCs w:val="21"/>
          <w:highlight w:val="none"/>
        </w:rPr>
        <w:t>质疑投诉的相关规定</w:t>
      </w:r>
    </w:p>
    <w:p w14:paraId="4AA236D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1.投标人如认为招标文件表述不清晰、存在歧视性、排他性或者其他违法内容的，可按前附表要求，以书面形式向采购人和采购代理机构提出，逾期提出不予受理。</w:t>
      </w:r>
    </w:p>
    <w:p w14:paraId="4D7C6FE0">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2.投标人认为采购过程和中标结果使自己的权益受到损害的，可以在中标</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或成交</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公告</w:t>
      </w:r>
      <w:r>
        <w:rPr>
          <w:rFonts w:hint="eastAsia" w:ascii="宋体" w:hAnsi="宋体" w:cs="宋体"/>
          <w:color w:val="auto"/>
          <w:szCs w:val="21"/>
          <w:highlight w:val="none"/>
        </w:rPr>
        <w:t>期间，以书面形式向采购人或者采购代理机构提出质疑，否则，采购人或者采购代理机构不予受理</w:t>
      </w:r>
      <w:r>
        <w:rPr>
          <w:rFonts w:hint="eastAsia" w:ascii="宋体" w:hAnsi="宋体" w:cs="宋体"/>
          <w:color w:val="auto"/>
          <w:szCs w:val="21"/>
          <w:highlight w:val="none"/>
          <w:lang w:eastAsia="zh-CN"/>
        </w:rPr>
        <w:t>。</w:t>
      </w:r>
    </w:p>
    <w:p w14:paraId="320A0FF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3.供应商提出质疑应当提交质疑函和必要的证明材料。</w:t>
      </w:r>
    </w:p>
    <w:p w14:paraId="13CC80B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4.采购人或者采购代理机构应当在收到供应商的书面质疑后</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个工作日内作出答复，并以书面形式通知质疑供应商和其他与质疑处理结果有利害关系的采购当事人，但答复的内容不得涉及商业秘密。</w:t>
      </w:r>
    </w:p>
    <w:p w14:paraId="283A405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5.投标人须在法定质疑期内一次性提出针对同一采购程序环节的质疑。未按上述要求提供的质疑函，采购代理机构不予受理。</w:t>
      </w:r>
    </w:p>
    <w:p w14:paraId="00C001F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6.提出质疑的供应商应当是参与所质疑项目采购活动的供应商。</w:t>
      </w:r>
    </w:p>
    <w:p w14:paraId="5346775B">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质疑供应商对采购人、采购代理机构的答复不满意或者采购人、采购代理机构未在规定的时间内作出答复的，可以在答复期满后10个工作日内向国企采购监督管理部门投诉。质疑投诉递交的资料需为书面材料。质疑投诉书面材料需法定代表人或授权代表签字并加盖公章。</w:t>
      </w:r>
    </w:p>
    <w:p w14:paraId="6FEAAF87">
      <w:pPr>
        <w:pStyle w:val="18"/>
        <w:tabs>
          <w:tab w:val="left" w:pos="900"/>
        </w:tabs>
        <w:spacing w:line="360" w:lineRule="auto"/>
        <w:ind w:firstLine="422" w:firstLineChars="200"/>
        <w:rPr>
          <w:rFonts w:hint="eastAsia" w:hAnsi="宋体" w:cs="宋体"/>
          <w:b/>
          <w:color w:val="auto"/>
          <w:highlight w:val="none"/>
        </w:rPr>
      </w:pPr>
      <w:r>
        <w:rPr>
          <w:rFonts w:hint="eastAsia" w:hAnsi="宋体" w:cs="宋体"/>
          <w:b/>
          <w:color w:val="auto"/>
          <w:highlight w:val="none"/>
          <w:lang w:val="en-US" w:eastAsia="zh-CN"/>
        </w:rPr>
        <w:t>15</w:t>
      </w:r>
      <w:r>
        <w:rPr>
          <w:rFonts w:hint="eastAsia" w:hAnsi="宋体" w:cs="宋体"/>
          <w:b/>
          <w:color w:val="auto"/>
          <w:highlight w:val="none"/>
          <w:lang w:eastAsia="zh-CN"/>
        </w:rPr>
        <w:t>.</w:t>
      </w:r>
      <w:r>
        <w:rPr>
          <w:rFonts w:hint="eastAsia" w:hAnsi="宋体" w:cs="宋体"/>
          <w:b/>
          <w:color w:val="auto"/>
          <w:highlight w:val="none"/>
        </w:rPr>
        <w:t>合同签订</w:t>
      </w:r>
    </w:p>
    <w:p w14:paraId="7BF1F15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5.1</w:t>
      </w:r>
      <w:r>
        <w:rPr>
          <w:rFonts w:hint="eastAsia" w:ascii="宋体" w:hAnsi="宋体" w:cs="宋体"/>
          <w:color w:val="auto"/>
          <w:szCs w:val="21"/>
          <w:highlight w:val="none"/>
        </w:rPr>
        <w:t>中标人自接到《中标通知书》后应在三十天内与采购人签订合同。</w:t>
      </w:r>
    </w:p>
    <w:p w14:paraId="27E73FD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.2招标文件、中标人的投标文件、评标过程中投标人在询标时作出的承诺及其澄清文件等，均为签订合同的依据。</w:t>
      </w:r>
    </w:p>
    <w:p w14:paraId="657E4A1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3采购人与中标（成交）供应商应当在中标（成交）通知书发出之日起30日内，按照采购文件确定的合同文本以及采购标的、规格型号、采购金额、采购数量、技术和服务要求等事项签订采购合同。</w:t>
      </w:r>
    </w:p>
    <w:p w14:paraId="2BEFDBE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不得向中标（成交）供应商提出超出采购文件以外的任何要求作为签订合同的条件，不得与中标（成交）供应商订立背离采购文件确定的合同文本以及采购标的、规格型号、采购金额、采购数量、技术和服务要求等实质性内容的协议。</w:t>
      </w:r>
    </w:p>
    <w:p w14:paraId="55A958F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.4除不可抗力等因素外，中标（成交）通知书发出后，采购人改变中标（成交）结果，或者中标（成交）供应商拒绝签订采购合同的，应当承担相应的法律责任。</w:t>
      </w:r>
    </w:p>
    <w:p w14:paraId="391E92E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.5中标（成交）供应商拒绝签订采购合同的，采购人应重新开展采购活动。拒绝签订采购合同的中标（成交）供应商不得参加对该项目重新开展的采购活动。</w:t>
      </w:r>
    </w:p>
    <w:p w14:paraId="051F1B7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6中标人不遵守招标文件和投标文件的要约及承诺而擅自修改报价，或在接到《中标通知书》后借故拖延、拒签合同而造成超过规定时间的，取消该投标人的中标资格。在此情况下，采购人和招标代理机构重新招标，对受影响的投标人不承担任何责任。</w:t>
      </w:r>
    </w:p>
    <w:p w14:paraId="70182CE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.7采购人变更数量的权利</w:t>
      </w:r>
    </w:p>
    <w:p w14:paraId="64CD0A2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采购人在授予合同时有权对“技术要求及</w:t>
      </w:r>
      <w:r>
        <w:rPr>
          <w:rFonts w:hint="eastAsia" w:ascii="宋体" w:hAnsi="宋体" w:cs="宋体"/>
          <w:color w:val="auto"/>
          <w:szCs w:val="21"/>
          <w:highlight w:val="none"/>
          <w:lang w:val="en-US" w:eastAsia="zh-CN"/>
        </w:rPr>
        <w:t>招标</w:t>
      </w:r>
      <w:r>
        <w:rPr>
          <w:rFonts w:hint="eastAsia" w:ascii="宋体" w:hAnsi="宋体" w:cs="宋体"/>
          <w:color w:val="auto"/>
          <w:szCs w:val="21"/>
          <w:highlight w:val="none"/>
        </w:rPr>
        <w:t>货物一览表”中规定的货物数量和服务予以增加或减少，但必须符合法律法规的相关规定。</w:t>
      </w:r>
    </w:p>
    <w:p w14:paraId="0E248545">
      <w:pPr>
        <w:spacing w:line="420" w:lineRule="exact"/>
        <w:ind w:firstLine="480" w:firstLineChars="200"/>
        <w:rPr>
          <w:color w:val="auto"/>
          <w:sz w:val="24"/>
          <w:highlight w:val="none"/>
        </w:rPr>
      </w:pPr>
    </w:p>
    <w:p w14:paraId="60FFD5EC">
      <w:pPr>
        <w:spacing w:line="420" w:lineRule="exact"/>
        <w:ind w:firstLine="480" w:firstLineChars="200"/>
        <w:rPr>
          <w:rFonts w:hint="eastAsia"/>
          <w:color w:val="auto"/>
          <w:sz w:val="24"/>
          <w:highlight w:val="none"/>
        </w:rPr>
      </w:pPr>
    </w:p>
    <w:p w14:paraId="66DAFDEB">
      <w:pPr>
        <w:spacing w:line="420" w:lineRule="exact"/>
        <w:ind w:firstLine="480" w:firstLineChars="200"/>
        <w:rPr>
          <w:rFonts w:hint="eastAsia"/>
          <w:color w:val="auto"/>
          <w:sz w:val="24"/>
          <w:highlight w:val="none"/>
        </w:rPr>
      </w:pPr>
    </w:p>
    <w:p w14:paraId="1CEEA2D2">
      <w:pPr>
        <w:spacing w:line="420" w:lineRule="exact"/>
        <w:ind w:firstLine="480" w:firstLineChars="200"/>
        <w:rPr>
          <w:rFonts w:hint="eastAsia"/>
          <w:color w:val="auto"/>
          <w:sz w:val="24"/>
          <w:highlight w:val="none"/>
        </w:rPr>
      </w:pPr>
    </w:p>
    <w:p w14:paraId="62D3CA20">
      <w:pPr>
        <w:pStyle w:val="2"/>
        <w:keepNext/>
        <w:keepLines/>
        <w:pageBreakBefore w:val="0"/>
        <w:widowControl w:val="0"/>
        <w:kinsoku/>
        <w:wordWrap/>
        <w:overflowPunct/>
        <w:topLinePunct w:val="0"/>
        <w:autoSpaceDE/>
        <w:autoSpaceDN/>
        <w:bidi w:val="0"/>
        <w:adjustRightInd/>
        <w:snapToGrid/>
        <w:spacing w:line="240" w:lineRule="exact"/>
        <w:jc w:val="center"/>
        <w:textAlignment w:val="auto"/>
        <w:rPr>
          <w:rFonts w:hAnsi="宋体"/>
          <w:color w:val="auto"/>
          <w:sz w:val="36"/>
          <w:highlight w:val="none"/>
        </w:rPr>
      </w:pPr>
      <w:bookmarkStart w:id="63" w:name="_Toc23756"/>
      <w:r>
        <w:rPr>
          <w:rFonts w:hint="eastAsia" w:hAnsi="宋体"/>
          <w:color w:val="auto"/>
          <w:sz w:val="36"/>
          <w:highlight w:val="none"/>
        </w:rPr>
        <w:br w:type="page"/>
      </w:r>
      <w:bookmarkStart w:id="64" w:name="_Toc4823"/>
      <w:r>
        <w:rPr>
          <w:rFonts w:hint="eastAsia" w:hAnsi="宋体"/>
          <w:color w:val="auto"/>
          <w:sz w:val="36"/>
          <w:highlight w:val="none"/>
        </w:rPr>
        <w:t>第五章</w:t>
      </w:r>
      <w:r>
        <w:rPr>
          <w:rFonts w:hAnsi="宋体"/>
          <w:color w:val="auto"/>
          <w:sz w:val="36"/>
          <w:highlight w:val="none"/>
        </w:rPr>
        <w:t xml:space="preserve">  </w:t>
      </w:r>
      <w:r>
        <w:rPr>
          <w:rFonts w:hint="eastAsia" w:hAnsi="宋体"/>
          <w:color w:val="auto"/>
          <w:sz w:val="36"/>
          <w:highlight w:val="none"/>
        </w:rPr>
        <w:t>投标文件的有效性</w:t>
      </w:r>
      <w:bookmarkEnd w:id="63"/>
      <w:bookmarkEnd w:id="64"/>
    </w:p>
    <w:p w14:paraId="7067FA7C">
      <w:pPr>
        <w:pStyle w:val="18"/>
        <w:spacing w:line="440" w:lineRule="exact"/>
        <w:ind w:firstLine="413" w:firstLineChars="196"/>
        <w:rPr>
          <w:rFonts w:ascii="新宋体" w:hAnsi="新宋体" w:eastAsia="新宋体"/>
          <w:b/>
          <w:color w:val="auto"/>
          <w:highlight w:val="none"/>
        </w:rPr>
      </w:pPr>
      <w:r>
        <w:rPr>
          <w:rFonts w:hint="eastAsia" w:ascii="新宋体" w:hAnsi="新宋体" w:eastAsia="新宋体"/>
          <w:b/>
          <w:color w:val="auto"/>
          <w:highlight w:val="none"/>
        </w:rPr>
        <w:t>1.</w:t>
      </w:r>
      <w:r>
        <w:rPr>
          <w:rFonts w:ascii="新宋体" w:hAnsi="新宋体" w:eastAsia="新宋体"/>
          <w:b/>
          <w:color w:val="auto"/>
          <w:highlight w:val="none"/>
        </w:rPr>
        <w:t>有下列情形之一的，</w:t>
      </w:r>
      <w:r>
        <w:rPr>
          <w:rFonts w:hint="eastAsia" w:ascii="新宋体" w:hAnsi="新宋体" w:eastAsia="新宋体"/>
          <w:b/>
          <w:color w:val="auto"/>
          <w:highlight w:val="none"/>
        </w:rPr>
        <w:t>招标方</w:t>
      </w:r>
      <w:r>
        <w:rPr>
          <w:rFonts w:ascii="新宋体" w:hAnsi="新宋体" w:eastAsia="新宋体"/>
          <w:b/>
          <w:color w:val="auto"/>
          <w:highlight w:val="none"/>
        </w:rPr>
        <w:t>将不予受理投标文件：</w:t>
      </w:r>
    </w:p>
    <w:p w14:paraId="4B599B80">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1.1逾期上传电子档投标文件至“义乌市阳光招标采购平台”的；</w:t>
      </w:r>
    </w:p>
    <w:p w14:paraId="65DB2B59">
      <w:pPr>
        <w:adjustRightInd w:val="0"/>
        <w:snapToGrid w:val="0"/>
        <w:spacing w:line="440" w:lineRule="exact"/>
        <w:ind w:firstLine="420" w:firstLineChars="200"/>
        <w:rPr>
          <w:rFonts w:hint="eastAsia" w:eastAsia="新宋体"/>
          <w:color w:val="auto"/>
          <w:highlight w:val="none"/>
          <w:lang w:eastAsia="zh-CN"/>
        </w:rPr>
      </w:pPr>
      <w:r>
        <w:rPr>
          <w:rFonts w:hint="eastAsia" w:ascii="新宋体" w:hAnsi="新宋体" w:eastAsia="新宋体"/>
          <w:color w:val="auto"/>
          <w:szCs w:val="21"/>
          <w:highlight w:val="none"/>
        </w:rPr>
        <w:t>1.2电子投标文件在规定时间内解密未成功的</w:t>
      </w:r>
      <w:r>
        <w:rPr>
          <w:rFonts w:hint="eastAsia" w:ascii="新宋体" w:hAnsi="新宋体" w:eastAsia="新宋体"/>
          <w:color w:val="auto"/>
          <w:szCs w:val="21"/>
          <w:highlight w:val="none"/>
          <w:lang w:eastAsia="zh-CN"/>
        </w:rPr>
        <w:t>。</w:t>
      </w:r>
    </w:p>
    <w:p w14:paraId="039C14F5">
      <w:pPr>
        <w:adjustRightInd w:val="0"/>
        <w:snapToGrid w:val="0"/>
        <w:spacing w:line="440" w:lineRule="exact"/>
        <w:ind w:firstLine="422" w:firstLineChars="200"/>
        <w:rPr>
          <w:rFonts w:hint="eastAsia" w:ascii="新宋体" w:hAnsi="新宋体" w:eastAsia="新宋体"/>
          <w:b/>
          <w:color w:val="auto"/>
          <w:szCs w:val="21"/>
          <w:highlight w:val="none"/>
        </w:rPr>
      </w:pPr>
      <w:r>
        <w:rPr>
          <w:rFonts w:hint="eastAsia" w:ascii="新宋体" w:hAnsi="新宋体" w:eastAsia="新宋体"/>
          <w:b/>
          <w:color w:val="auto"/>
          <w:szCs w:val="21"/>
          <w:highlight w:val="none"/>
          <w:shd w:val="pct10" w:color="auto" w:fill="FFFFFF"/>
        </w:rPr>
        <w:t>2.投标文件在资格或商务技术评审中出现下列情形之一的，由评标委员会审核后按无效投标文件处理：</w:t>
      </w:r>
    </w:p>
    <w:p w14:paraId="2AFDC404">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2.1资格响应文件或商务技术响应文件中包含报价的。</w:t>
      </w:r>
    </w:p>
    <w:p w14:paraId="72E23E1B">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2.2招标文件关于投标文件组成内容商务技术响应文件要求中打“</w:t>
      </w:r>
      <w:r>
        <w:rPr>
          <w:rFonts w:ascii="新宋体" w:hAnsi="新宋体" w:eastAsia="新宋体"/>
          <w:color w:val="auto"/>
          <w:szCs w:val="21"/>
          <w:highlight w:val="none"/>
        </w:rPr>
        <w:t>★</w:t>
      </w:r>
      <w:r>
        <w:rPr>
          <w:rFonts w:hint="eastAsia" w:ascii="新宋体" w:hAnsi="新宋体" w:eastAsia="新宋体"/>
          <w:color w:val="auto"/>
          <w:szCs w:val="21"/>
          <w:highlight w:val="none"/>
        </w:rPr>
        <w:t>”的内容，投标人的投标文件内容未提供完整的，或关键字迹模糊、无法辨认的，或未按其规定的格式及要求填写、签字、盖章，或提供的投标文件内容不符合招标文件中有关打★号的条款的规定。</w:t>
      </w:r>
    </w:p>
    <w:p w14:paraId="389D0979">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2.3投标人的投标资格不符合招标文件的资格要求规定。</w:t>
      </w:r>
    </w:p>
    <w:p w14:paraId="5AE54575">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2.4投标人递交两份或多份内容不同的投标文件，且未声明哪一个有效，但按招标文件规定提交备选方案的除外。</w:t>
      </w:r>
    </w:p>
    <w:p w14:paraId="6EFB03A4">
      <w:pPr>
        <w:adjustRightInd w:val="0"/>
        <w:snapToGrid w:val="0"/>
        <w:spacing w:line="440" w:lineRule="exact"/>
        <w:ind w:firstLine="420" w:firstLineChars="200"/>
        <w:rPr>
          <w:rFonts w:hint="eastAsia" w:ascii="新宋体" w:hAnsi="新宋体" w:eastAsia="新宋体"/>
          <w:strike w:val="0"/>
          <w:dstrike w:val="0"/>
          <w:color w:val="auto"/>
          <w:szCs w:val="21"/>
          <w:highlight w:val="none"/>
        </w:rPr>
      </w:pPr>
      <w:r>
        <w:rPr>
          <w:rFonts w:hint="eastAsia" w:ascii="新宋体" w:hAnsi="新宋体" w:eastAsia="新宋体"/>
          <w:strike w:val="0"/>
          <w:dstrike w:val="0"/>
          <w:color w:val="auto"/>
          <w:szCs w:val="21"/>
          <w:highlight w:val="none"/>
        </w:rPr>
        <w:t>2.5投标人所投产品的数量不符合招标文件规定的。</w:t>
      </w:r>
    </w:p>
    <w:p w14:paraId="0C4033B1">
      <w:pPr>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kern w:val="0"/>
          <w:szCs w:val="21"/>
          <w:highlight w:val="none"/>
        </w:rPr>
        <w:t>2.6投标人借用或冒用他人名义或证件，或投标人涂改证件，或投标人伪造或编造投标资料的。</w:t>
      </w:r>
    </w:p>
    <w:p w14:paraId="042969FD">
      <w:pPr>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kern w:val="0"/>
          <w:szCs w:val="21"/>
          <w:highlight w:val="none"/>
        </w:rPr>
        <w:t>2.7投标中不同投标人的投标文件出现雷同或相似（包括部分雷同或相似），对所有雷同或相似投标人按无效标处理，招标方将保留进一步追究责任的权利；或投标人串标的。</w:t>
      </w:r>
    </w:p>
    <w:p w14:paraId="088304A5">
      <w:pPr>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kern w:val="0"/>
          <w:szCs w:val="21"/>
          <w:highlight w:val="none"/>
        </w:rPr>
        <w:t>2.8其</w:t>
      </w:r>
      <w:r>
        <w:rPr>
          <w:rFonts w:hint="eastAsia" w:ascii="新宋体" w:hAnsi="新宋体" w:eastAsia="新宋体"/>
          <w:color w:val="auto"/>
          <w:kern w:val="0"/>
          <w:szCs w:val="21"/>
          <w:highlight w:val="none"/>
          <w:lang w:val="en-US" w:eastAsia="zh-CN"/>
        </w:rPr>
        <w:t>他</w:t>
      </w:r>
      <w:r>
        <w:rPr>
          <w:rFonts w:hint="eastAsia" w:ascii="新宋体" w:hAnsi="新宋体" w:eastAsia="新宋体"/>
          <w:color w:val="auto"/>
          <w:szCs w:val="21"/>
          <w:highlight w:val="none"/>
        </w:rPr>
        <w:t>对本招标文件中打★号的条款未完全响应的。</w:t>
      </w:r>
    </w:p>
    <w:p w14:paraId="62CB55E6">
      <w:pPr>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2.9</w:t>
      </w:r>
      <w:r>
        <w:rPr>
          <w:rFonts w:hint="eastAsia" w:ascii="新宋体" w:hAnsi="新宋体" w:eastAsia="新宋体"/>
          <w:color w:val="auto"/>
          <w:kern w:val="0"/>
          <w:szCs w:val="21"/>
          <w:highlight w:val="none"/>
        </w:rPr>
        <w:t>经评标委员会认定，</w:t>
      </w:r>
      <w:r>
        <w:rPr>
          <w:rFonts w:hint="eastAsia" w:ascii="新宋体" w:hAnsi="新宋体" w:eastAsia="新宋体"/>
          <w:color w:val="auto"/>
          <w:szCs w:val="21"/>
          <w:highlight w:val="none"/>
        </w:rPr>
        <w:t>投标文件附有采购人不能接受的条件。</w:t>
      </w:r>
    </w:p>
    <w:p w14:paraId="370E9585">
      <w:pPr>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2.1</w:t>
      </w:r>
      <w:r>
        <w:rPr>
          <w:rFonts w:hint="eastAsia" w:ascii="新宋体" w:hAnsi="新宋体" w:eastAsia="新宋体"/>
          <w:color w:val="auto"/>
          <w:szCs w:val="21"/>
          <w:highlight w:val="none"/>
          <w:lang w:val="en-US" w:eastAsia="zh-CN"/>
        </w:rPr>
        <w:t>0</w:t>
      </w:r>
      <w:r>
        <w:rPr>
          <w:rFonts w:hint="eastAsia" w:ascii="新宋体" w:hAnsi="新宋体" w:eastAsia="新宋体"/>
          <w:color w:val="auto"/>
          <w:szCs w:val="21"/>
          <w:highlight w:val="none"/>
        </w:rPr>
        <w:t>评标委员会要求投标人对其投标文件作出</w:t>
      </w:r>
      <w:r>
        <w:rPr>
          <w:rFonts w:hint="eastAsia" w:ascii="新宋体" w:hAnsi="新宋体" w:eastAsia="新宋体"/>
          <w:b/>
          <w:color w:val="auto"/>
          <w:szCs w:val="21"/>
          <w:highlight w:val="none"/>
        </w:rPr>
        <w:t>澄清或说明，</w:t>
      </w:r>
      <w:r>
        <w:rPr>
          <w:rFonts w:hint="eastAsia" w:ascii="新宋体" w:hAnsi="新宋体" w:eastAsia="新宋体"/>
          <w:color w:val="auto"/>
          <w:szCs w:val="21"/>
          <w:highlight w:val="none"/>
        </w:rPr>
        <w:t>如果投标人代表拒绝</w:t>
      </w:r>
      <w:r>
        <w:rPr>
          <w:rFonts w:hint="eastAsia" w:ascii="新宋体" w:hAnsi="新宋体" w:eastAsia="新宋体"/>
          <w:b/>
          <w:color w:val="auto"/>
          <w:szCs w:val="21"/>
          <w:highlight w:val="none"/>
        </w:rPr>
        <w:t>澄清或说明的，或者拒绝签字的</w:t>
      </w:r>
      <w:r>
        <w:rPr>
          <w:rFonts w:hint="eastAsia" w:ascii="新宋体" w:hAnsi="新宋体" w:eastAsia="新宋体"/>
          <w:color w:val="auto"/>
          <w:szCs w:val="21"/>
          <w:highlight w:val="none"/>
        </w:rPr>
        <w:t>。</w:t>
      </w:r>
    </w:p>
    <w:p w14:paraId="6DAD1121">
      <w:pPr>
        <w:adjustRightInd w:val="0"/>
        <w:snapToGrid w:val="0"/>
        <w:spacing w:line="440" w:lineRule="exact"/>
        <w:ind w:firstLine="422" w:firstLineChars="200"/>
        <w:rPr>
          <w:rFonts w:hint="eastAsia" w:ascii="新宋体" w:hAnsi="新宋体" w:eastAsia="新宋体"/>
          <w:b/>
          <w:color w:val="auto"/>
          <w:szCs w:val="21"/>
          <w:highlight w:val="none"/>
        </w:rPr>
      </w:pPr>
      <w:r>
        <w:rPr>
          <w:rFonts w:hint="eastAsia" w:ascii="新宋体" w:hAnsi="新宋体" w:eastAsia="新宋体"/>
          <w:b/>
          <w:color w:val="auto"/>
          <w:szCs w:val="21"/>
          <w:highlight w:val="none"/>
          <w:shd w:val="pct10" w:color="auto" w:fill="FFFFFF"/>
        </w:rPr>
        <w:t>3.投标文件在投标报价评审出现下列情形之一的，由评标委员会审核后按无效投标文件处理：</w:t>
      </w:r>
    </w:p>
    <w:p w14:paraId="1CA6283A">
      <w:pPr>
        <w:adjustRightInd w:val="0"/>
        <w:snapToGrid w:val="0"/>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szCs w:val="21"/>
          <w:highlight w:val="none"/>
        </w:rPr>
        <w:t>3.1招标文件关于投标文件组成内容报价响应文件要求中打“</w:t>
      </w:r>
      <w:r>
        <w:rPr>
          <w:rFonts w:ascii="新宋体" w:hAnsi="新宋体" w:eastAsia="新宋体"/>
          <w:color w:val="auto"/>
          <w:szCs w:val="21"/>
          <w:highlight w:val="none"/>
        </w:rPr>
        <w:t>★</w:t>
      </w:r>
      <w:r>
        <w:rPr>
          <w:rFonts w:hint="eastAsia" w:ascii="新宋体" w:hAnsi="新宋体" w:eastAsia="新宋体"/>
          <w:color w:val="auto"/>
          <w:szCs w:val="21"/>
          <w:highlight w:val="none"/>
        </w:rPr>
        <w:t>”的</w:t>
      </w:r>
      <w:r>
        <w:rPr>
          <w:rFonts w:hint="eastAsia" w:ascii="新宋体" w:hAnsi="新宋体" w:eastAsia="新宋体"/>
          <w:color w:val="auto"/>
          <w:kern w:val="0"/>
          <w:szCs w:val="21"/>
          <w:highlight w:val="none"/>
        </w:rPr>
        <w:t>内容，投标人的投标文件内容未提供完整，或关键字迹模糊、无法辨认的，或未按其规定的格式及要求填写、签字、盖章，或提供的投标文件内容不符合招标文件中有关打★号的条款的规定。</w:t>
      </w:r>
    </w:p>
    <w:p w14:paraId="5286E46F">
      <w:pPr>
        <w:adjustRightInd w:val="0"/>
        <w:snapToGrid w:val="0"/>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kern w:val="0"/>
          <w:szCs w:val="21"/>
          <w:highlight w:val="none"/>
        </w:rPr>
        <w:t>3.2投标总价高于</w:t>
      </w:r>
      <w:r>
        <w:rPr>
          <w:rFonts w:hint="eastAsia" w:ascii="新宋体" w:hAnsi="新宋体" w:eastAsia="新宋体"/>
          <w:color w:val="auto"/>
          <w:kern w:val="0"/>
          <w:szCs w:val="21"/>
          <w:highlight w:val="none"/>
          <w:lang w:val="en-US" w:eastAsia="zh-CN"/>
        </w:rPr>
        <w:t>采购</w:t>
      </w:r>
      <w:r>
        <w:rPr>
          <w:rFonts w:hint="eastAsia" w:ascii="新宋体" w:hAnsi="新宋体" w:eastAsia="新宋体"/>
          <w:color w:val="auto"/>
          <w:kern w:val="0"/>
          <w:szCs w:val="21"/>
          <w:highlight w:val="none"/>
        </w:rPr>
        <w:t>预算或最高限价。</w:t>
      </w:r>
    </w:p>
    <w:p w14:paraId="28EC3096">
      <w:pPr>
        <w:adjustRightInd w:val="0"/>
        <w:snapToGrid w:val="0"/>
        <w:spacing w:line="440" w:lineRule="exact"/>
        <w:ind w:firstLine="420" w:firstLineChars="200"/>
        <w:rPr>
          <w:rFonts w:hint="eastAsia" w:ascii="新宋体" w:hAnsi="新宋体" w:eastAsia="新宋体"/>
          <w:strike w:val="0"/>
          <w:dstrike w:val="0"/>
          <w:color w:val="auto"/>
          <w:szCs w:val="21"/>
          <w:highlight w:val="none"/>
        </w:rPr>
      </w:pPr>
      <w:r>
        <w:rPr>
          <w:rFonts w:hint="eastAsia" w:ascii="新宋体" w:hAnsi="新宋体" w:eastAsia="新宋体"/>
          <w:strike w:val="0"/>
          <w:dstrike w:val="0"/>
          <w:color w:val="auto"/>
          <w:szCs w:val="21"/>
          <w:highlight w:val="none"/>
        </w:rPr>
        <w:t>3.3投标人所投产品的数量不符合招标文件规定的。</w:t>
      </w:r>
    </w:p>
    <w:p w14:paraId="05358A0C">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3.4投标人的投标报价未明确的，或者对同一采购项目提供两个或两个以上报价且未声明哪一个有效的。</w:t>
      </w:r>
    </w:p>
    <w:p w14:paraId="4AE963DE">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3.5经评标委员会审议认为投标文件附有采购人不能接受的条件。评标委员会认为投标人的报价明显低于其他通过符合性审查投标人的报价，有可能影响服务质量或者不能诚信履约的，要求其在评标系统合理的时间内提供书面说明，必要时提交相关证明材料；投标人不能证明其报价合理性的。</w:t>
      </w:r>
    </w:p>
    <w:p w14:paraId="7D8962BC">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3.6</w:t>
      </w:r>
      <w:r>
        <w:rPr>
          <w:rFonts w:hint="eastAsia" w:ascii="新宋体" w:hAnsi="新宋体" w:eastAsia="新宋体"/>
          <w:color w:val="auto"/>
          <w:szCs w:val="21"/>
          <w:highlight w:val="none"/>
          <w:lang w:eastAsia="zh-CN"/>
        </w:rPr>
        <w:t>其他对</w:t>
      </w:r>
      <w:r>
        <w:rPr>
          <w:rFonts w:hint="eastAsia" w:ascii="新宋体" w:hAnsi="新宋体" w:eastAsia="新宋体"/>
          <w:color w:val="auto"/>
          <w:szCs w:val="21"/>
          <w:highlight w:val="none"/>
        </w:rPr>
        <w:t>本招标文件中打★号的条款未完全响应的。</w:t>
      </w:r>
    </w:p>
    <w:p w14:paraId="391CAD6B">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3.7当投标人由于报价计算错误，投标人拒绝接受按招标文件的规定进行的修正处理（或投标人代表拒绝签名确认）。</w:t>
      </w:r>
    </w:p>
    <w:p w14:paraId="07996D7F">
      <w:pPr>
        <w:spacing w:line="380" w:lineRule="exact"/>
        <w:ind w:firstLine="542" w:firstLineChars="257"/>
        <w:rPr>
          <w:rFonts w:ascii="宋体" w:hAnsi="宋体"/>
          <w:color w:val="auto"/>
          <w:szCs w:val="21"/>
          <w:highlight w:val="none"/>
        </w:rPr>
      </w:pPr>
      <w:r>
        <w:rPr>
          <w:rFonts w:hint="eastAsia" w:ascii="新宋体" w:hAnsi="新宋体" w:eastAsia="新宋体"/>
          <w:b/>
          <w:bCs/>
          <w:color w:val="auto"/>
          <w:szCs w:val="21"/>
          <w:highlight w:val="none"/>
          <w:lang w:val="en-US" w:eastAsia="zh-CN"/>
        </w:rPr>
        <w:t>4.</w:t>
      </w:r>
      <w:r>
        <w:rPr>
          <w:rFonts w:ascii="宋体" w:hAnsi="宋体"/>
          <w:b/>
          <w:bCs/>
          <w:color w:val="auto"/>
          <w:szCs w:val="21"/>
          <w:highlight w:val="none"/>
        </w:rPr>
        <w:t>凡在同一招标项目的评标中，</w:t>
      </w:r>
      <w:r>
        <w:rPr>
          <w:rFonts w:hint="eastAsia" w:ascii="宋体" w:hAnsi="宋体"/>
          <w:b/>
          <w:bCs/>
          <w:color w:val="auto"/>
          <w:szCs w:val="21"/>
          <w:highlight w:val="none"/>
        </w:rPr>
        <w:t>有下列情形之一的，视为串通投标行为，评标过程中，经评标委员会集体表决后认定的，可直接作废标处理，并提请有关部门依法</w:t>
      </w:r>
      <w:r>
        <w:rPr>
          <w:rFonts w:hint="eastAsia" w:ascii="宋体" w:hAnsi="宋体"/>
          <w:b/>
          <w:bCs/>
          <w:color w:val="auto"/>
          <w:szCs w:val="21"/>
          <w:highlight w:val="none"/>
          <w:lang w:eastAsia="zh-CN"/>
        </w:rPr>
        <w:t>作出</w:t>
      </w:r>
      <w:r>
        <w:rPr>
          <w:rFonts w:hint="eastAsia" w:ascii="宋体" w:hAnsi="宋体"/>
          <w:b/>
          <w:bCs/>
          <w:color w:val="auto"/>
          <w:szCs w:val="21"/>
          <w:highlight w:val="none"/>
        </w:rPr>
        <w:t>处罚：</w:t>
      </w:r>
    </w:p>
    <w:p w14:paraId="54CC0E01">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（1）不同投标人的投标文件内容存在非正常一致的；</w:t>
      </w:r>
    </w:p>
    <w:p w14:paraId="1465D531">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（2）不同投标人的投标文件错漏之处一致的；</w:t>
      </w:r>
    </w:p>
    <w:p w14:paraId="6DF8ABD9">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（3）不同投标人的投标报价或者报价组成异常一致或者呈规律性变化的；</w:t>
      </w:r>
    </w:p>
    <w:p w14:paraId="64081CCF">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（4）不同投标人的投标文件由同一单位或者同一个人编制的；</w:t>
      </w:r>
    </w:p>
    <w:p w14:paraId="24972F26">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（5）不同投标人的投标文件载明的项目管理班子成员出现同一人的；</w:t>
      </w:r>
    </w:p>
    <w:p w14:paraId="5F274BA4">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（6）不同投标人的投标文件相互混装的；</w:t>
      </w:r>
    </w:p>
    <w:p w14:paraId="3C867A10">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（7）不同投标人的投标文件由同一台电脑编制或者同一台附属设备打印的；</w:t>
      </w:r>
    </w:p>
    <w:p w14:paraId="1DB0295B">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（8）不同投标人委托同一人办理投标事宜的或不同投标人与同一投标人联合投标的；</w:t>
      </w:r>
    </w:p>
    <w:p w14:paraId="07209A4A">
      <w:pPr>
        <w:adjustRightInd w:val="0"/>
        <w:snapToGrid w:val="0"/>
        <w:spacing w:line="440" w:lineRule="exact"/>
        <w:ind w:firstLine="420" w:firstLineChars="200"/>
        <w:rPr>
          <w:rFonts w:hint="eastAsia" w:ascii="新宋体" w:hAnsi="新宋体" w:eastAsia="新宋体"/>
          <w:color w:val="auto"/>
          <w:szCs w:val="21"/>
          <w:highlight w:val="none"/>
          <w:lang w:eastAsia="zh-CN"/>
        </w:rPr>
      </w:pPr>
      <w:r>
        <w:rPr>
          <w:rFonts w:hint="eastAsia" w:ascii="新宋体" w:hAnsi="新宋体" w:eastAsia="新宋体"/>
          <w:color w:val="auto"/>
          <w:szCs w:val="21"/>
          <w:highlight w:val="none"/>
        </w:rPr>
        <w:t>（9）不同投标人使用同一个人或者企业资金交纳投标保证金或者投标保函的反担保的</w:t>
      </w:r>
      <w:r>
        <w:rPr>
          <w:rFonts w:hint="eastAsia" w:ascii="新宋体" w:hAnsi="新宋体" w:eastAsia="新宋体"/>
          <w:color w:val="auto"/>
          <w:szCs w:val="21"/>
          <w:highlight w:val="none"/>
          <w:lang w:eastAsia="zh-CN"/>
        </w:rPr>
        <w:t>；</w:t>
      </w:r>
    </w:p>
    <w:p w14:paraId="04CF7B6D">
      <w:pPr>
        <w:adjustRightInd w:val="0"/>
        <w:snapToGrid w:val="0"/>
        <w:spacing w:line="440" w:lineRule="exact"/>
        <w:ind w:firstLine="420" w:firstLineChars="200"/>
        <w:rPr>
          <w:rFonts w:hint="eastAsia" w:ascii="新宋体" w:hAnsi="新宋体" w:eastAsia="新宋体"/>
          <w:color w:val="auto"/>
          <w:szCs w:val="21"/>
          <w:highlight w:val="none"/>
          <w:lang w:eastAsia="zh-CN"/>
        </w:rPr>
      </w:pPr>
      <w:r>
        <w:rPr>
          <w:rFonts w:hint="eastAsia" w:ascii="新宋体" w:hAnsi="新宋体" w:eastAsia="新宋体"/>
          <w:color w:val="auto"/>
          <w:szCs w:val="21"/>
          <w:highlight w:val="none"/>
        </w:rPr>
        <w:t>（10）评标委员会认定的其他串通投标情形</w:t>
      </w:r>
      <w:r>
        <w:rPr>
          <w:rFonts w:hint="eastAsia" w:ascii="新宋体" w:hAnsi="新宋体" w:eastAsia="新宋体"/>
          <w:color w:val="auto"/>
          <w:szCs w:val="21"/>
          <w:highlight w:val="none"/>
          <w:lang w:eastAsia="zh-CN"/>
        </w:rPr>
        <w:t>；</w:t>
      </w:r>
    </w:p>
    <w:p w14:paraId="0484B428">
      <w:pPr>
        <w:adjustRightInd w:val="0"/>
        <w:snapToGrid w:val="0"/>
        <w:spacing w:line="440" w:lineRule="exact"/>
        <w:ind w:firstLine="420" w:firstLineChars="200"/>
        <w:rPr>
          <w:rFonts w:hint="eastAsia" w:ascii="新宋体" w:hAnsi="新宋体" w:eastAsia="新宋体"/>
          <w:color w:val="auto"/>
          <w:szCs w:val="21"/>
          <w:highlight w:val="none"/>
          <w:lang w:eastAsia="zh-CN"/>
        </w:rPr>
      </w:pPr>
      <w:r>
        <w:rPr>
          <w:rFonts w:hint="eastAsia" w:ascii="新宋体" w:hAnsi="新宋体" w:eastAsia="新宋体"/>
          <w:color w:val="auto"/>
          <w:szCs w:val="21"/>
          <w:highlight w:val="none"/>
          <w:lang w:eastAsia="zh-CN"/>
        </w:rPr>
        <w:t>（</w:t>
      </w:r>
      <w:r>
        <w:rPr>
          <w:rFonts w:hint="eastAsia" w:ascii="新宋体" w:hAnsi="新宋体" w:eastAsia="新宋体"/>
          <w:color w:val="auto"/>
          <w:szCs w:val="21"/>
          <w:highlight w:val="none"/>
          <w:lang w:val="en-US" w:eastAsia="zh-CN"/>
        </w:rPr>
        <w:t>11）</w:t>
      </w:r>
      <w:r>
        <w:rPr>
          <w:rFonts w:hint="eastAsia" w:ascii="新宋体" w:hAnsi="新宋体" w:eastAsia="新宋体"/>
          <w:color w:val="auto"/>
          <w:szCs w:val="21"/>
          <w:highlight w:val="none"/>
        </w:rPr>
        <w:t>不同投标人制作电子投标（响应）文件的计算机网卡 mAc 地址相同的</w:t>
      </w:r>
      <w:r>
        <w:rPr>
          <w:rFonts w:hint="eastAsia" w:ascii="新宋体" w:hAnsi="新宋体" w:eastAsia="新宋体"/>
          <w:color w:val="auto"/>
          <w:szCs w:val="21"/>
          <w:highlight w:val="none"/>
          <w:lang w:eastAsia="zh-CN"/>
        </w:rPr>
        <w:t>；</w:t>
      </w:r>
    </w:p>
    <w:p w14:paraId="37B60409">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lang w:eastAsia="zh-CN"/>
        </w:rPr>
        <w:t>（</w:t>
      </w:r>
      <w:r>
        <w:rPr>
          <w:rFonts w:hint="eastAsia" w:ascii="新宋体" w:hAnsi="新宋体" w:eastAsia="新宋体"/>
          <w:color w:val="auto"/>
          <w:szCs w:val="21"/>
          <w:highlight w:val="none"/>
          <w:lang w:val="en-US" w:eastAsia="zh-CN"/>
        </w:rPr>
        <w:t>12）</w:t>
      </w:r>
      <w:r>
        <w:rPr>
          <w:rFonts w:hint="eastAsia" w:ascii="新宋体" w:hAnsi="新宋体" w:eastAsia="新宋体"/>
          <w:color w:val="auto"/>
          <w:szCs w:val="21"/>
          <w:highlight w:val="none"/>
        </w:rPr>
        <w:t>不同投标人制作电子投标（响应）文件的计算机硬盘序列号相同的。</w:t>
      </w:r>
    </w:p>
    <w:p w14:paraId="3385AE6C">
      <w:pPr>
        <w:adjustRightInd w:val="0"/>
        <w:snapToGrid w:val="0"/>
        <w:spacing w:line="440" w:lineRule="exact"/>
        <w:ind w:firstLine="422" w:firstLineChars="200"/>
        <w:rPr>
          <w:rFonts w:hint="eastAsia" w:ascii="新宋体" w:hAnsi="新宋体" w:eastAsia="新宋体" w:cs="Times New Roman"/>
          <w:b/>
          <w:bCs/>
          <w:color w:val="auto"/>
          <w:szCs w:val="21"/>
          <w:highlight w:val="none"/>
        </w:rPr>
      </w:pPr>
      <w:r>
        <w:rPr>
          <w:rFonts w:hint="eastAsia" w:ascii="新宋体" w:hAnsi="新宋体" w:eastAsia="新宋体" w:cs="Times New Roman"/>
          <w:b/>
          <w:bCs/>
          <w:color w:val="auto"/>
          <w:szCs w:val="21"/>
          <w:highlight w:val="none"/>
          <w:lang w:val="en-US" w:eastAsia="zh-CN"/>
        </w:rPr>
        <w:t>5</w:t>
      </w:r>
      <w:r>
        <w:rPr>
          <w:rFonts w:hint="eastAsia" w:ascii="新宋体" w:hAnsi="新宋体" w:eastAsia="新宋体" w:cs="Times New Roman"/>
          <w:b/>
          <w:bCs/>
          <w:color w:val="auto"/>
          <w:szCs w:val="21"/>
          <w:highlight w:val="none"/>
        </w:rPr>
        <w:t>.其他违反法律法规的情况。</w:t>
      </w:r>
    </w:p>
    <w:p w14:paraId="615C4BD0">
      <w:pPr>
        <w:spacing w:line="460" w:lineRule="exact"/>
        <w:ind w:firstLine="422" w:firstLineChars="200"/>
        <w:rPr>
          <w:rFonts w:ascii="宋体" w:cs="宋体"/>
          <w:b/>
          <w:bCs/>
          <w:color w:val="auto"/>
          <w:kern w:val="0"/>
          <w:szCs w:val="21"/>
          <w:highlight w:val="none"/>
        </w:rPr>
      </w:pPr>
      <w:r>
        <w:rPr>
          <w:rFonts w:hint="eastAsia" w:ascii="新宋体" w:hAnsi="新宋体" w:eastAsia="新宋体"/>
          <w:b/>
          <w:color w:val="auto"/>
          <w:kern w:val="0"/>
          <w:szCs w:val="21"/>
          <w:highlight w:val="none"/>
          <w:lang w:val="en-US" w:eastAsia="zh-CN"/>
        </w:rPr>
        <w:t>6</w:t>
      </w:r>
      <w:r>
        <w:rPr>
          <w:rFonts w:hint="eastAsia" w:ascii="新宋体" w:hAnsi="新宋体" w:eastAsia="新宋体"/>
          <w:b/>
          <w:color w:val="auto"/>
          <w:kern w:val="0"/>
          <w:szCs w:val="21"/>
          <w:highlight w:val="none"/>
        </w:rPr>
        <w:t>.评标过程中，非上述所罗列的情况，不得以无效标处理</w:t>
      </w:r>
      <w:r>
        <w:rPr>
          <w:rFonts w:hint="eastAsia" w:ascii="宋体" w:hAnsi="宋体" w:cs="宋体"/>
          <w:b/>
          <w:bCs/>
          <w:color w:val="auto"/>
          <w:kern w:val="0"/>
          <w:szCs w:val="21"/>
          <w:highlight w:val="none"/>
        </w:rPr>
        <w:t>。</w:t>
      </w:r>
    </w:p>
    <w:p w14:paraId="48AC6E49">
      <w:pPr>
        <w:spacing w:line="420" w:lineRule="exact"/>
        <w:ind w:firstLine="422" w:firstLineChars="200"/>
        <w:rPr>
          <w:rFonts w:hint="eastAsia"/>
          <w:b/>
          <w:bCs/>
          <w:color w:val="auto"/>
          <w:szCs w:val="21"/>
          <w:highlight w:val="none"/>
        </w:rPr>
      </w:pPr>
    </w:p>
    <w:p w14:paraId="5091970D">
      <w:pPr>
        <w:spacing w:line="420" w:lineRule="exact"/>
        <w:ind w:firstLine="480" w:firstLineChars="200"/>
        <w:rPr>
          <w:rFonts w:hint="eastAsia"/>
          <w:color w:val="auto"/>
          <w:sz w:val="24"/>
          <w:highlight w:val="none"/>
        </w:rPr>
      </w:pPr>
    </w:p>
    <w:p w14:paraId="040EE3C2">
      <w:pPr>
        <w:spacing w:line="420" w:lineRule="exact"/>
        <w:rPr>
          <w:rFonts w:hint="eastAsia"/>
          <w:color w:val="auto"/>
          <w:sz w:val="24"/>
          <w:highlight w:val="none"/>
        </w:rPr>
      </w:pPr>
    </w:p>
    <w:p w14:paraId="1F138F63">
      <w:pPr>
        <w:spacing w:line="420" w:lineRule="exact"/>
        <w:rPr>
          <w:rFonts w:hint="eastAsia"/>
          <w:color w:val="auto"/>
          <w:sz w:val="24"/>
          <w:highlight w:val="none"/>
        </w:rPr>
      </w:pPr>
    </w:p>
    <w:p w14:paraId="1120542A">
      <w:pPr>
        <w:spacing w:line="420" w:lineRule="exact"/>
        <w:rPr>
          <w:rFonts w:hint="eastAsia"/>
          <w:color w:val="auto"/>
          <w:sz w:val="24"/>
          <w:highlight w:val="none"/>
        </w:rPr>
      </w:pPr>
    </w:p>
    <w:p w14:paraId="77FBEE00">
      <w:pPr>
        <w:spacing w:line="420" w:lineRule="exact"/>
        <w:rPr>
          <w:rFonts w:hint="eastAsia"/>
          <w:color w:val="auto"/>
          <w:sz w:val="24"/>
          <w:highlight w:val="none"/>
        </w:rPr>
      </w:pPr>
    </w:p>
    <w:p w14:paraId="4A3667B4">
      <w:pPr>
        <w:spacing w:line="420" w:lineRule="exact"/>
        <w:rPr>
          <w:rFonts w:hint="eastAsia"/>
          <w:color w:val="auto"/>
          <w:sz w:val="24"/>
          <w:highlight w:val="none"/>
        </w:rPr>
      </w:pPr>
    </w:p>
    <w:p w14:paraId="1B94A14E">
      <w:pPr>
        <w:spacing w:line="420" w:lineRule="exact"/>
        <w:rPr>
          <w:rFonts w:hint="eastAsia"/>
          <w:color w:val="auto"/>
          <w:sz w:val="24"/>
          <w:highlight w:val="none"/>
        </w:rPr>
      </w:pPr>
    </w:p>
    <w:p w14:paraId="37D5841F">
      <w:pPr>
        <w:spacing w:line="420" w:lineRule="exact"/>
        <w:rPr>
          <w:rFonts w:hint="eastAsia"/>
          <w:color w:val="auto"/>
          <w:sz w:val="24"/>
          <w:highlight w:val="none"/>
        </w:rPr>
      </w:pPr>
    </w:p>
    <w:p w14:paraId="59B5038F">
      <w:pPr>
        <w:spacing w:line="420" w:lineRule="exact"/>
        <w:rPr>
          <w:rFonts w:hint="eastAsia"/>
          <w:color w:val="auto"/>
          <w:sz w:val="24"/>
          <w:highlight w:val="none"/>
        </w:rPr>
      </w:pPr>
    </w:p>
    <w:p w14:paraId="41E45C13">
      <w:pPr>
        <w:pStyle w:val="55"/>
        <w:ind w:firstLine="420" w:firstLineChars="200"/>
        <w:rPr>
          <w:rFonts w:hint="eastAsia" w:ascii="宋体" w:hAnsi="宋体" w:cs="宋体"/>
          <w:color w:val="auto"/>
          <w:sz w:val="21"/>
          <w:szCs w:val="21"/>
          <w:highlight w:val="none"/>
        </w:rPr>
      </w:pPr>
      <w:bookmarkStart w:id="65" w:name="_Toc274303257"/>
    </w:p>
    <w:p w14:paraId="64FC093F">
      <w:pPr>
        <w:pStyle w:val="2"/>
        <w:keepNext/>
        <w:keepLines/>
        <w:pageBreakBefore w:val="0"/>
        <w:widowControl w:val="0"/>
        <w:tabs>
          <w:tab w:val="left" w:pos="360"/>
        </w:tabs>
        <w:kinsoku/>
        <w:wordWrap/>
        <w:overflowPunct/>
        <w:topLinePunct w:val="0"/>
        <w:autoSpaceDE/>
        <w:autoSpaceDN/>
        <w:bidi w:val="0"/>
        <w:adjustRightInd/>
        <w:snapToGrid/>
        <w:spacing w:line="240" w:lineRule="exact"/>
        <w:jc w:val="center"/>
        <w:textAlignment w:val="auto"/>
        <w:rPr>
          <w:rFonts w:hint="eastAsia" w:ascii="宋体" w:hAnsi="宋体" w:cs="宋体"/>
          <w:color w:val="auto"/>
          <w:sz w:val="21"/>
          <w:szCs w:val="21"/>
          <w:highlight w:val="none"/>
        </w:rPr>
      </w:pPr>
      <w:bookmarkStart w:id="66" w:name="_Toc19786"/>
      <w:bookmarkStart w:id="67" w:name="_Toc274303255"/>
      <w:bookmarkStart w:id="68" w:name="_Toc145992551"/>
      <w:bookmarkStart w:id="69" w:name="_Toc362250708"/>
      <w:bookmarkStart w:id="70" w:name="_Toc226973004"/>
      <w:r>
        <w:rPr>
          <w:rFonts w:hint="eastAsia"/>
          <w:color w:val="auto"/>
          <w:sz w:val="36"/>
          <w:highlight w:val="none"/>
        </w:rPr>
        <w:br w:type="page"/>
      </w:r>
      <w:bookmarkStart w:id="71" w:name="_Toc6489"/>
      <w:r>
        <w:rPr>
          <w:rFonts w:hint="eastAsia"/>
          <w:color w:val="auto"/>
          <w:sz w:val="36"/>
          <w:highlight w:val="none"/>
        </w:rPr>
        <w:t>第六章</w:t>
      </w:r>
      <w:r>
        <w:rPr>
          <w:color w:val="auto"/>
          <w:sz w:val="36"/>
          <w:highlight w:val="none"/>
        </w:rPr>
        <w:t xml:space="preserve">  </w:t>
      </w:r>
      <w:r>
        <w:rPr>
          <w:rFonts w:hint="eastAsia"/>
          <w:color w:val="auto"/>
          <w:sz w:val="36"/>
          <w:highlight w:val="none"/>
        </w:rPr>
        <w:t>评标办法</w:t>
      </w:r>
      <w:bookmarkEnd w:id="66"/>
      <w:bookmarkEnd w:id="67"/>
      <w:bookmarkEnd w:id="68"/>
      <w:bookmarkEnd w:id="69"/>
      <w:bookmarkEnd w:id="70"/>
      <w:bookmarkEnd w:id="71"/>
    </w:p>
    <w:bookmarkEnd w:id="65"/>
    <w:p w14:paraId="2FC2A8CD">
      <w:pPr>
        <w:pStyle w:val="55"/>
        <w:spacing w:line="400" w:lineRule="exact"/>
        <w:ind w:firstLine="420" w:firstLineChars="200"/>
        <w:rPr>
          <w:rFonts w:hint="eastAsia" w:ascii="宋体" w:hAnsi="宋体" w:cs="宋体"/>
          <w:color w:val="auto"/>
          <w:sz w:val="21"/>
          <w:szCs w:val="21"/>
          <w:highlight w:val="none"/>
        </w:rPr>
      </w:pPr>
      <w:bookmarkStart w:id="72" w:name="_Toc330474791"/>
      <w:bookmarkStart w:id="73" w:name="_Toc269969080"/>
      <w:bookmarkStart w:id="74" w:name="_Toc358884475"/>
      <w:bookmarkStart w:id="75" w:name="_Toc295815145"/>
      <w:bookmarkStart w:id="76" w:name="_Toc323024194"/>
      <w:bookmarkStart w:id="77" w:name="_Toc362250710"/>
      <w:r>
        <w:rPr>
          <w:rFonts w:hint="eastAsia" w:ascii="宋体" w:hAnsi="宋体" w:cs="宋体"/>
          <w:color w:val="auto"/>
          <w:sz w:val="21"/>
          <w:szCs w:val="21"/>
          <w:highlight w:val="none"/>
        </w:rPr>
        <w:t>根据《中华人民共和国招标投标法》的有关规定，遵循“公开、公平、公正”的原则，结合本次招标的特点，特制定本评标细则。</w:t>
      </w:r>
    </w:p>
    <w:p w14:paraId="59D29E95">
      <w:pPr>
        <w:pStyle w:val="55"/>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 w:val="21"/>
          <w:szCs w:val="21"/>
          <w:highlight w:val="none"/>
        </w:rPr>
        <w:t>一、评审程序</w:t>
      </w:r>
    </w:p>
    <w:p w14:paraId="001A995E">
      <w:pPr>
        <w:pStyle w:val="18"/>
        <w:spacing w:line="400" w:lineRule="exact"/>
        <w:ind w:firstLine="420" w:firstLineChars="200"/>
        <w:rPr>
          <w:rFonts w:hint="eastAsia" w:hAnsi="宋体" w:cs="宋体"/>
          <w:color w:val="auto"/>
          <w:highlight w:val="none"/>
        </w:rPr>
      </w:pPr>
      <w:r>
        <w:rPr>
          <w:rFonts w:hint="eastAsia" w:hAnsi="宋体" w:cs="宋体"/>
          <w:color w:val="auto"/>
          <w:highlight w:val="none"/>
        </w:rPr>
        <w:t xml:space="preserve">评标委员会以开标、评标、询标情况为基本依据，按照招标文件的规定，对各投标人的投标文件分资格、商务技术、投标报价三个部分按以下程序进行分析、评议： </w:t>
      </w:r>
    </w:p>
    <w:p w14:paraId="177A5975">
      <w:pPr>
        <w:pStyle w:val="18"/>
        <w:spacing w:line="400" w:lineRule="exact"/>
        <w:ind w:firstLine="420" w:firstLineChars="200"/>
        <w:rPr>
          <w:rFonts w:hint="eastAsia" w:hAnsi="宋体" w:cs="宋体"/>
          <w:color w:val="auto"/>
          <w:highlight w:val="none"/>
        </w:rPr>
      </w:pPr>
      <w:r>
        <w:rPr>
          <w:rFonts w:hint="eastAsia" w:hAnsi="宋体" w:cs="宋体"/>
          <w:color w:val="auto"/>
          <w:highlight w:val="none"/>
        </w:rPr>
        <w:t>（一）对所有投标人的资格响应文件进行审查，并以开标当日为准，对投标人“信用中国”网站（www.creditchina.gov.cn）信用记录情况进行查询；</w:t>
      </w:r>
    </w:p>
    <w:p w14:paraId="4BC69AB9">
      <w:pPr>
        <w:pStyle w:val="18"/>
        <w:spacing w:line="400" w:lineRule="exact"/>
        <w:ind w:firstLine="420" w:firstLineChars="200"/>
        <w:rPr>
          <w:rFonts w:hint="eastAsia" w:hAnsi="宋体" w:cs="宋体"/>
          <w:color w:val="auto"/>
          <w:highlight w:val="none"/>
        </w:rPr>
      </w:pPr>
      <w:r>
        <w:rPr>
          <w:rFonts w:hint="eastAsia" w:hAnsi="宋体" w:cs="宋体"/>
          <w:color w:val="auto"/>
          <w:highlight w:val="none"/>
        </w:rPr>
        <w:t>（二）对通过资格性审查合格的投标人的商务技术响应文件进行符合性审查；</w:t>
      </w:r>
    </w:p>
    <w:p w14:paraId="1D2A7C6A">
      <w:pPr>
        <w:pStyle w:val="18"/>
        <w:spacing w:line="400" w:lineRule="exact"/>
        <w:ind w:firstLine="420" w:firstLineChars="200"/>
        <w:rPr>
          <w:rFonts w:hint="eastAsia" w:hAnsi="宋体" w:cs="宋体"/>
          <w:color w:val="auto"/>
          <w:highlight w:val="none"/>
        </w:rPr>
      </w:pPr>
      <w:r>
        <w:rPr>
          <w:rFonts w:hint="eastAsia" w:hAnsi="宋体" w:cs="宋体"/>
          <w:color w:val="auto"/>
          <w:highlight w:val="none"/>
        </w:rPr>
        <w:t>（三）对通过符合性审查有效的投标人的报价文件进行评审；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p w14:paraId="01F3A5F5">
      <w:pPr>
        <w:pStyle w:val="18"/>
        <w:spacing w:line="400" w:lineRule="exact"/>
        <w:ind w:firstLine="420" w:firstLineChars="200"/>
        <w:rPr>
          <w:rFonts w:hint="eastAsia" w:hAnsi="宋体" w:cs="宋体"/>
          <w:color w:val="auto"/>
          <w:highlight w:val="none"/>
        </w:rPr>
      </w:pPr>
      <w:r>
        <w:rPr>
          <w:rFonts w:hint="eastAsia" w:hAnsi="宋体" w:cs="宋体"/>
          <w:color w:val="auto"/>
          <w:highlight w:val="none"/>
        </w:rPr>
        <w:t>（四）确定中标人</w:t>
      </w:r>
    </w:p>
    <w:p w14:paraId="7B326B5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kern w:val="0"/>
          <w:szCs w:val="21"/>
          <w:highlight w:val="none"/>
        </w:rPr>
        <w:t>采购人授权评标委员会直接确定经评审后的供应商中评标价最低者为成交供应商。评标价相同的，按供应商报价由低到高顺序排列。如出现两家或两家以上</w:t>
      </w:r>
      <w:r>
        <w:rPr>
          <w:rFonts w:hint="eastAsia" w:ascii="宋体" w:hAnsi="宋体" w:cs="宋体"/>
          <w:color w:val="auto"/>
          <w:kern w:val="0"/>
          <w:szCs w:val="21"/>
          <w:highlight w:val="none"/>
          <w:lang w:eastAsia="zh-CN"/>
        </w:rPr>
        <w:t>最低评标价</w:t>
      </w:r>
      <w:r>
        <w:rPr>
          <w:rFonts w:hint="eastAsia" w:ascii="宋体" w:hAnsi="宋体" w:cs="宋体"/>
          <w:color w:val="auto"/>
          <w:kern w:val="0"/>
          <w:szCs w:val="21"/>
          <w:highlight w:val="none"/>
        </w:rPr>
        <w:t>及供应商报价均相同的情况，则由采购人代表采用随机抽取程序随机确定</w:t>
      </w:r>
      <w:r>
        <w:rPr>
          <w:rFonts w:hint="eastAsia" w:ascii="宋体" w:hAnsi="宋体" w:cs="宋体"/>
          <w:color w:val="auto"/>
          <w:szCs w:val="21"/>
          <w:highlight w:val="none"/>
        </w:rPr>
        <w:t>。</w:t>
      </w:r>
    </w:p>
    <w:p w14:paraId="584DB3F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2.其次，评标委员会直接确定排名第一的投标人为</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w:t>
      </w:r>
    </w:p>
    <w:p w14:paraId="37FCF75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（五）完成评标报告</w:t>
      </w:r>
    </w:p>
    <w:p w14:paraId="7EA9E027">
      <w:pPr>
        <w:pStyle w:val="18"/>
        <w:spacing w:line="400" w:lineRule="exact"/>
        <w:ind w:firstLine="420" w:firstLineChars="200"/>
        <w:jc w:val="left"/>
        <w:rPr>
          <w:rFonts w:hint="eastAsia" w:hAnsi="宋体" w:cs="宋体"/>
          <w:color w:val="auto"/>
          <w:highlight w:val="none"/>
        </w:rPr>
      </w:pPr>
      <w:r>
        <w:rPr>
          <w:rFonts w:hint="eastAsia" w:hAnsi="宋体" w:cs="宋体"/>
          <w:color w:val="auto"/>
          <w:highlight w:val="none"/>
        </w:rPr>
        <w:t xml:space="preserve">评标委员会根据评审相关情况作出评标报告。 </w:t>
      </w:r>
    </w:p>
    <w:p w14:paraId="56093BAB">
      <w:pPr>
        <w:pStyle w:val="18"/>
        <w:spacing w:line="400" w:lineRule="exact"/>
        <w:ind w:firstLine="422" w:firstLineChars="200"/>
        <w:jc w:val="left"/>
        <w:rPr>
          <w:rFonts w:hint="eastAsia" w:hAnsi="宋体" w:cs="宋体"/>
          <w:b/>
          <w:bCs/>
          <w:color w:val="auto"/>
          <w:highlight w:val="none"/>
        </w:rPr>
      </w:pPr>
      <w:r>
        <w:rPr>
          <w:rFonts w:hint="eastAsia" w:hAnsi="宋体" w:cs="宋体"/>
          <w:b/>
          <w:bCs/>
          <w:color w:val="auto"/>
          <w:highlight w:val="none"/>
        </w:rPr>
        <w:t>二、确定的中标人放弃中标等情况的处理</w:t>
      </w:r>
    </w:p>
    <w:p w14:paraId="3B42E092">
      <w:pPr>
        <w:pStyle w:val="18"/>
        <w:spacing w:line="400" w:lineRule="exact"/>
        <w:ind w:firstLine="420" w:firstLineChars="200"/>
        <w:jc w:val="left"/>
        <w:rPr>
          <w:rFonts w:hint="eastAsia" w:hAnsi="宋体" w:cs="宋体"/>
          <w:color w:val="auto"/>
          <w:highlight w:val="none"/>
        </w:rPr>
      </w:pPr>
      <w:r>
        <w:rPr>
          <w:rFonts w:hint="eastAsia" w:hAnsi="宋体" w:cs="宋体"/>
          <w:color w:val="auto"/>
          <w:highlight w:val="none"/>
        </w:rPr>
        <w:t>1.当确定的中标人放弃中标，因不可抗力提出不能履行合同或者质疑投诉成立取消中标人资格的，均不再确定其余投标人作为中标人。</w:t>
      </w:r>
    </w:p>
    <w:p w14:paraId="0FAE0587">
      <w:pPr>
        <w:pStyle w:val="18"/>
        <w:spacing w:line="400" w:lineRule="exact"/>
        <w:ind w:firstLine="420" w:firstLineChars="200"/>
        <w:jc w:val="left"/>
        <w:rPr>
          <w:rFonts w:hint="eastAsia" w:hAnsi="宋体" w:cs="宋体"/>
          <w:color w:val="auto"/>
          <w:highlight w:val="none"/>
        </w:rPr>
      </w:pPr>
      <w:r>
        <w:rPr>
          <w:rFonts w:hint="eastAsia" w:hAnsi="宋体" w:cs="宋体"/>
          <w:color w:val="auto"/>
          <w:highlight w:val="none"/>
        </w:rPr>
        <w:t>2.因中标人原因导致定标后无法签订合同的，中标人应按本文件服务费规定支付招标服务费。</w:t>
      </w:r>
    </w:p>
    <w:p w14:paraId="2216C045">
      <w:pPr>
        <w:pStyle w:val="18"/>
        <w:spacing w:line="400" w:lineRule="exact"/>
        <w:ind w:firstLine="422" w:firstLineChars="200"/>
        <w:rPr>
          <w:rFonts w:hint="eastAsia" w:hAnsi="宋体" w:cs="宋体"/>
          <w:b/>
          <w:bCs/>
          <w:color w:val="auto"/>
          <w:highlight w:val="none"/>
        </w:rPr>
      </w:pPr>
      <w:r>
        <w:rPr>
          <w:rFonts w:hint="eastAsia" w:hAnsi="宋体" w:cs="宋体"/>
          <w:b/>
          <w:bCs/>
          <w:color w:val="auto"/>
          <w:highlight w:val="none"/>
        </w:rPr>
        <w:t>三、评审办法</w:t>
      </w:r>
    </w:p>
    <w:p w14:paraId="5DDAE1B2">
      <w:pPr>
        <w:pStyle w:val="18"/>
        <w:spacing w:line="400" w:lineRule="exact"/>
        <w:ind w:firstLine="422" w:firstLineChars="200"/>
        <w:rPr>
          <w:rFonts w:hint="eastAsia" w:hAnsi="宋体" w:cs="宋体"/>
          <w:b/>
          <w:bCs/>
          <w:color w:val="auto"/>
          <w:highlight w:val="none"/>
        </w:rPr>
      </w:pPr>
      <w:r>
        <w:rPr>
          <w:rFonts w:hint="eastAsia" w:hAnsi="宋体" w:cs="宋体"/>
          <w:b/>
          <w:bCs/>
          <w:color w:val="auto"/>
          <w:highlight w:val="none"/>
        </w:rPr>
        <w:t>1.技术标符合性评审</w:t>
      </w:r>
    </w:p>
    <w:p w14:paraId="31114035">
      <w:pPr>
        <w:pStyle w:val="18"/>
        <w:spacing w:line="400" w:lineRule="exact"/>
        <w:ind w:firstLine="420" w:firstLineChars="200"/>
        <w:rPr>
          <w:rFonts w:hint="eastAsia" w:hAnsi="宋体" w:cs="宋体"/>
          <w:color w:val="auto"/>
          <w:highlight w:val="none"/>
        </w:rPr>
      </w:pPr>
      <w:r>
        <w:rPr>
          <w:rFonts w:hint="eastAsia" w:hAnsi="宋体" w:cs="宋体"/>
          <w:color w:val="auto"/>
          <w:highlight w:val="none"/>
        </w:rPr>
        <w:t xml:space="preserve">1.1 </w:t>
      </w:r>
      <w:r>
        <w:rPr>
          <w:rFonts w:hint="eastAsia" w:hAnsi="宋体" w:cs="宋体"/>
          <w:bCs/>
          <w:color w:val="auto"/>
          <w:highlight w:val="none"/>
        </w:rPr>
        <w:t>根据招标文件第五章投标文件的有效性的规定，是否属于无效标或废标；</w:t>
      </w:r>
    </w:p>
    <w:p w14:paraId="7DD90339">
      <w:pPr>
        <w:pStyle w:val="18"/>
        <w:spacing w:line="400" w:lineRule="exact"/>
        <w:ind w:firstLine="420" w:firstLineChars="200"/>
        <w:rPr>
          <w:rFonts w:hint="eastAsia" w:hAnsi="宋体" w:cs="宋体"/>
          <w:color w:val="auto"/>
          <w:highlight w:val="none"/>
        </w:rPr>
      </w:pPr>
      <w:r>
        <w:rPr>
          <w:rFonts w:hint="eastAsia" w:hAnsi="宋体" w:cs="宋体"/>
          <w:color w:val="auto"/>
          <w:highlight w:val="none"/>
        </w:rPr>
        <w:t>1.2 检查投标文件的完整性，如营业执照，法定代表人授权书等资信情况、履约能力；</w:t>
      </w:r>
    </w:p>
    <w:p w14:paraId="095D96F9">
      <w:pPr>
        <w:pStyle w:val="18"/>
        <w:spacing w:line="400" w:lineRule="exact"/>
        <w:ind w:firstLine="420" w:firstLineChars="200"/>
        <w:rPr>
          <w:rFonts w:hint="eastAsia" w:hAnsi="宋体" w:cs="宋体"/>
          <w:color w:val="auto"/>
          <w:highlight w:val="none"/>
        </w:rPr>
      </w:pPr>
      <w:r>
        <w:rPr>
          <w:rFonts w:hint="eastAsia" w:hAnsi="宋体" w:cs="宋体"/>
          <w:color w:val="auto"/>
          <w:highlight w:val="none"/>
        </w:rPr>
        <w:t>1.3 投标人提供的技术参数是否满足本招标项目要求；</w:t>
      </w:r>
    </w:p>
    <w:p w14:paraId="66758C45">
      <w:pPr>
        <w:pStyle w:val="18"/>
        <w:spacing w:line="400" w:lineRule="exact"/>
        <w:ind w:firstLine="420" w:firstLineChars="200"/>
        <w:rPr>
          <w:rFonts w:hint="eastAsia" w:hAnsi="宋体" w:cs="宋体"/>
          <w:color w:val="auto"/>
          <w:highlight w:val="none"/>
        </w:rPr>
      </w:pPr>
      <w:r>
        <w:rPr>
          <w:rFonts w:hint="eastAsia" w:hAnsi="宋体" w:cs="宋体"/>
          <w:color w:val="auto"/>
          <w:highlight w:val="none"/>
        </w:rPr>
        <w:t>1.4 售后服务及有关承诺是否承诺。</w:t>
      </w:r>
    </w:p>
    <w:p w14:paraId="46932DA6">
      <w:pPr>
        <w:pStyle w:val="18"/>
        <w:spacing w:line="400" w:lineRule="exact"/>
        <w:ind w:firstLine="420" w:firstLineChars="200"/>
        <w:rPr>
          <w:rFonts w:hint="eastAsia" w:hAnsi="宋体" w:cs="宋体"/>
          <w:color w:val="auto"/>
          <w:highlight w:val="none"/>
        </w:rPr>
      </w:pPr>
      <w:r>
        <w:rPr>
          <w:rFonts w:hint="eastAsia" w:hAnsi="宋体" w:cs="宋体"/>
          <w:color w:val="auto"/>
          <w:highlight w:val="none"/>
        </w:rPr>
        <w:t>符合以上要求为技术标入围单位，技术标入围单位进入商务标评审。</w:t>
      </w:r>
    </w:p>
    <w:p w14:paraId="174B1971">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2.商务标评审</w:t>
      </w:r>
    </w:p>
    <w:p w14:paraId="371BB940">
      <w:pPr>
        <w:adjustRightInd w:val="0"/>
        <w:snapToGrid w:val="0"/>
        <w:spacing w:line="400" w:lineRule="exact"/>
        <w:ind w:firstLine="422" w:firstLineChars="200"/>
        <w:jc w:val="left"/>
        <w:rPr>
          <w:rFonts w:hint="eastAsia" w:ascii="宋体" w:hAnsi="宋体" w:cs="宋体"/>
          <w:color w:val="auto"/>
          <w:szCs w:val="21"/>
          <w:highlight w:val="none"/>
        </w:rPr>
      </w:pPr>
      <w:r>
        <w:rPr>
          <w:rFonts w:hint="eastAsia" w:ascii="宋体" w:hAnsi="宋体" w:cs="宋体"/>
          <w:b/>
          <w:bCs/>
          <w:color w:val="auto"/>
          <w:szCs w:val="21"/>
          <w:highlight w:val="none"/>
        </w:rPr>
        <w:t>2.1甄别异常报价：</w:t>
      </w:r>
      <w:r>
        <w:rPr>
          <w:rFonts w:hint="eastAsia" w:ascii="宋体" w:hAnsi="宋体" w:cs="宋体"/>
          <w:color w:val="auto"/>
          <w:szCs w:val="21"/>
          <w:highlight w:val="none"/>
        </w:rPr>
        <w:t>有下列情况之一的投标报价不进入评标价计算环节：</w:t>
      </w:r>
    </w:p>
    <w:p w14:paraId="3D9EA4B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eq \o\ac(○,1)</w:instrText>
      </w:r>
      <w:r>
        <w:rPr>
          <w:rFonts w:hint="eastAsia" w:ascii="宋体" w:hAnsi="宋体" w:cs="宋体"/>
          <w:color w:val="auto"/>
          <w:szCs w:val="21"/>
          <w:highlight w:val="none"/>
        </w:rPr>
        <w:fldChar w:fldCharType="end"/>
      </w:r>
      <w:r>
        <w:rPr>
          <w:rFonts w:hint="eastAsia" w:ascii="宋体" w:hAnsi="宋体" w:cs="宋体"/>
          <w:color w:val="auto"/>
          <w:szCs w:val="21"/>
          <w:highlight w:val="none"/>
        </w:rPr>
        <w:t>技术标未入围单位的投标报价；</w:t>
      </w:r>
    </w:p>
    <w:p w14:paraId="0A22D45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eq \o\ac(○,2)</w:instrText>
      </w:r>
      <w:r>
        <w:rPr>
          <w:rFonts w:hint="eastAsia" w:ascii="宋体" w:hAnsi="宋体" w:cs="宋体"/>
          <w:color w:val="auto"/>
          <w:szCs w:val="21"/>
          <w:highlight w:val="none"/>
        </w:rPr>
        <w:fldChar w:fldCharType="end"/>
      </w:r>
      <w:r>
        <w:rPr>
          <w:rFonts w:hint="eastAsia" w:ascii="宋体" w:hAnsi="宋体" w:cs="宋体"/>
          <w:color w:val="auto"/>
          <w:szCs w:val="21"/>
          <w:highlight w:val="none"/>
        </w:rPr>
        <w:t>投标报价高于采购预算；</w:t>
      </w:r>
    </w:p>
    <w:p w14:paraId="75397DE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eq \o\ac(○,3)</w:instrText>
      </w:r>
      <w:r>
        <w:rPr>
          <w:rFonts w:hint="eastAsia" w:ascii="宋体" w:hAnsi="宋体" w:cs="宋体"/>
          <w:color w:val="auto"/>
          <w:szCs w:val="21"/>
          <w:highlight w:val="none"/>
        </w:rPr>
        <w:fldChar w:fldCharType="end"/>
      </w:r>
      <w:r>
        <w:rPr>
          <w:rFonts w:hint="eastAsia" w:ascii="宋体" w:hAnsi="宋体" w:cs="宋体"/>
          <w:color w:val="auto"/>
          <w:szCs w:val="21"/>
          <w:highlight w:val="none"/>
        </w:rPr>
        <w:t>投标报价高于最高限价；</w:t>
      </w:r>
    </w:p>
    <w:p w14:paraId="399FCE6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eq \o\ac(○,4)</w:instrText>
      </w:r>
      <w:r>
        <w:rPr>
          <w:rFonts w:hint="eastAsia" w:ascii="宋体" w:hAnsi="宋体" w:cs="宋体"/>
          <w:color w:val="auto"/>
          <w:szCs w:val="21"/>
          <w:highlight w:val="none"/>
        </w:rPr>
        <w:fldChar w:fldCharType="end"/>
      </w:r>
      <w:r>
        <w:rPr>
          <w:rFonts w:hint="eastAsia" w:ascii="宋体" w:hAnsi="宋体" w:cs="宋体"/>
          <w:color w:val="auto"/>
          <w:szCs w:val="21"/>
          <w:highlight w:val="none"/>
        </w:rPr>
        <w:t>如评标委员会一致认为最低投标报价或某些分项明显不合理，有降低质量、不能诚信履约的可能时，评标委员会有权通知投标人限期进行解释。如投标人未在规定期限内</w:t>
      </w:r>
      <w:r>
        <w:rPr>
          <w:rFonts w:hint="eastAsia" w:ascii="宋体" w:hAnsi="宋体" w:cs="宋体"/>
          <w:color w:val="auto"/>
          <w:szCs w:val="21"/>
          <w:highlight w:val="none"/>
          <w:lang w:eastAsia="zh-CN"/>
        </w:rPr>
        <w:t>作出</w:t>
      </w:r>
      <w:r>
        <w:rPr>
          <w:rFonts w:hint="eastAsia" w:ascii="宋体" w:hAnsi="宋体" w:cs="宋体"/>
          <w:color w:val="auto"/>
          <w:szCs w:val="21"/>
          <w:highlight w:val="none"/>
        </w:rPr>
        <w:t>解释，或所作解释不合理，经评标委员会取得一致意见后，可列为异常报价，确定该投标为无效标。</w:t>
      </w:r>
    </w:p>
    <w:p w14:paraId="42BE03FC">
      <w:pPr>
        <w:spacing w:line="400" w:lineRule="exact"/>
        <w:ind w:firstLine="422" w:firstLineChars="200"/>
        <w:rPr>
          <w:rFonts w:hint="eastAsia" w:ascii="宋体" w:hAnsi="宋体" w:cs="宋体"/>
          <w:b/>
          <w:bCs/>
          <w:color w:val="auto"/>
          <w:szCs w:val="21"/>
          <w:highlight w:val="none"/>
        </w:rPr>
      </w:pPr>
      <w:r>
        <w:rPr>
          <w:rFonts w:hint="eastAsia" w:hAnsi="宋体" w:cs="宋体"/>
          <w:b/>
          <w:bCs/>
          <w:color w:val="auto"/>
          <w:highlight w:val="none"/>
        </w:rPr>
        <w:t>2.2评</w:t>
      </w:r>
      <w:r>
        <w:rPr>
          <w:rFonts w:hint="eastAsia" w:hAnsi="宋体" w:cs="宋体"/>
          <w:b/>
          <w:color w:val="auto"/>
          <w:highlight w:val="none"/>
        </w:rPr>
        <w:t>标价计算</w:t>
      </w:r>
      <w:r>
        <w:rPr>
          <w:rFonts w:hint="eastAsia" w:hAnsi="宋体" w:cs="宋体"/>
          <w:b/>
          <w:bCs/>
          <w:color w:val="auto"/>
          <w:highlight w:val="none"/>
        </w:rPr>
        <w:t>：</w:t>
      </w:r>
      <w:r>
        <w:rPr>
          <w:rFonts w:hint="eastAsia" w:ascii="宋体" w:hAnsi="宋体" w:cs="宋体"/>
          <w:color w:val="auto"/>
          <w:szCs w:val="21"/>
          <w:highlight w:val="none"/>
        </w:rPr>
        <w:t>提供增值税专用发票的投标人取（投标总价</w:t>
      </w:r>
      <w:r>
        <w:rPr>
          <w:rFonts w:hint="eastAsia" w:ascii="宋体" w:hAnsi="宋体" w:cs="宋体"/>
          <w:color w:val="auto"/>
          <w:szCs w:val="21"/>
          <w:highlight w:val="none"/>
          <w:lang w:eastAsia="zh-CN"/>
        </w:rPr>
        <w:t>－</w:t>
      </w:r>
      <w:r>
        <w:rPr>
          <w:rFonts w:hint="eastAsia" w:ascii="宋体" w:hAnsi="宋体" w:cs="宋体"/>
          <w:color w:val="auto"/>
          <w:szCs w:val="21"/>
          <w:highlight w:val="none"/>
        </w:rPr>
        <w:t>税额）作为评标价，提供普通发票的投标人取投标总价为评标价。</w:t>
      </w:r>
    </w:p>
    <w:p w14:paraId="0EABA7BA">
      <w:pPr>
        <w:spacing w:line="400" w:lineRule="exact"/>
        <w:ind w:firstLine="422" w:firstLineChars="200"/>
        <w:rPr>
          <w:color w:val="auto"/>
          <w:highlight w:val="none"/>
        </w:rPr>
      </w:pPr>
      <w:r>
        <w:rPr>
          <w:rFonts w:hint="eastAsia" w:ascii="宋体" w:hAnsi="宋体" w:cs="宋体"/>
          <w:b/>
          <w:bCs/>
          <w:color w:val="auto"/>
          <w:highlight w:val="none"/>
        </w:rPr>
        <w:t>3.推荐中标候选人，完成评标报告。</w:t>
      </w:r>
    </w:p>
    <w:p w14:paraId="6A4E417E">
      <w:pPr>
        <w:pStyle w:val="94"/>
        <w:spacing w:line="400" w:lineRule="exact"/>
        <w:rPr>
          <w:rFonts w:hint="eastAsia" w:ascii="宋体" w:hAnsi="宋体" w:cs="宋体"/>
          <w:b/>
          <w:bCs/>
          <w:color w:val="auto"/>
          <w:highlight w:val="none"/>
        </w:rPr>
      </w:pPr>
    </w:p>
    <w:p w14:paraId="57335E15">
      <w:pPr>
        <w:pStyle w:val="94"/>
        <w:spacing w:line="400" w:lineRule="exact"/>
        <w:rPr>
          <w:color w:val="auto"/>
          <w:highlight w:val="none"/>
        </w:rPr>
      </w:pPr>
      <w:r>
        <w:rPr>
          <w:rFonts w:hint="eastAsia" w:ascii="宋体" w:hAnsi="宋体" w:cs="宋体"/>
          <w:b/>
          <w:bCs/>
          <w:color w:val="auto"/>
          <w:highlight w:val="none"/>
        </w:rPr>
        <w:t>四、评标小组不向落标方解释落标原因</w:t>
      </w:r>
      <w:r>
        <w:rPr>
          <w:rFonts w:hint="eastAsia" w:hAnsi="宋体"/>
          <w:b/>
          <w:bCs/>
          <w:color w:val="auto"/>
          <w:highlight w:val="none"/>
        </w:rPr>
        <w:t>。</w:t>
      </w:r>
    </w:p>
    <w:p w14:paraId="6C84B691">
      <w:pPr>
        <w:pStyle w:val="94"/>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1"/>
        <w:rPr>
          <w:rFonts w:hint="eastAsia" w:hAnsi="宋体"/>
          <w:b/>
          <w:bCs/>
          <w:color w:val="auto"/>
          <w:highlight w:val="none"/>
        </w:rPr>
      </w:pPr>
    </w:p>
    <w:p w14:paraId="6BC7ECE5">
      <w:pPr>
        <w:rPr>
          <w:rFonts w:hint="eastAsia" w:hAnsi="宋体"/>
          <w:b/>
          <w:bCs/>
          <w:color w:val="auto"/>
          <w:highlight w:val="none"/>
        </w:rPr>
      </w:pPr>
      <w:r>
        <w:rPr>
          <w:rFonts w:hint="eastAsia" w:hAnsi="宋体"/>
          <w:b/>
          <w:bCs/>
          <w:color w:val="auto"/>
          <w:highlight w:val="none"/>
        </w:rPr>
        <w:br w:type="page"/>
      </w:r>
    </w:p>
    <w:p w14:paraId="3CC4A9AC">
      <w:pPr>
        <w:pStyle w:val="94"/>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1"/>
        <w:rPr>
          <w:rFonts w:hint="eastAsia" w:hAnsi="宋体"/>
          <w:b/>
          <w:bCs/>
          <w:color w:val="auto"/>
          <w:highlight w:val="none"/>
        </w:rPr>
      </w:pPr>
    </w:p>
    <w:p w14:paraId="6DA986C5">
      <w:pPr>
        <w:pStyle w:val="2"/>
        <w:keepNext/>
        <w:keepLines/>
        <w:pageBreakBefore w:val="0"/>
        <w:widowControl w:val="0"/>
        <w:tabs>
          <w:tab w:val="left" w:pos="360"/>
        </w:tabs>
        <w:kinsoku/>
        <w:wordWrap/>
        <w:overflowPunct/>
        <w:topLinePunct w:val="0"/>
        <w:autoSpaceDE/>
        <w:autoSpaceDN/>
        <w:bidi w:val="0"/>
        <w:adjustRightInd/>
        <w:snapToGrid/>
        <w:spacing w:line="240" w:lineRule="exact"/>
        <w:jc w:val="center"/>
        <w:textAlignment w:val="auto"/>
        <w:rPr>
          <w:rFonts w:hint="eastAsia"/>
          <w:color w:val="auto"/>
          <w:sz w:val="36"/>
          <w:highlight w:val="none"/>
        </w:rPr>
      </w:pPr>
      <w:bookmarkStart w:id="78" w:name="_Toc15073"/>
      <w:r>
        <w:rPr>
          <w:rFonts w:hint="eastAsia"/>
          <w:color w:val="auto"/>
          <w:sz w:val="36"/>
          <w:highlight w:val="none"/>
          <w:lang w:val="en-US" w:eastAsia="zh-CN"/>
        </w:rPr>
        <w:t xml:space="preserve">第七章 </w:t>
      </w:r>
      <w:r>
        <w:rPr>
          <w:rFonts w:hint="eastAsia"/>
          <w:color w:val="auto"/>
          <w:sz w:val="36"/>
          <w:highlight w:val="none"/>
        </w:rPr>
        <w:t>合同</w:t>
      </w:r>
      <w:bookmarkEnd w:id="78"/>
    </w:p>
    <w:p w14:paraId="6A1E4CA3">
      <w:pPr>
        <w:pStyle w:val="18"/>
        <w:numPr>
          <w:ilvl w:val="0"/>
          <w:numId w:val="0"/>
        </w:numPr>
        <w:spacing w:line="500" w:lineRule="exact"/>
        <w:ind w:right="-512" w:rightChars="-244"/>
        <w:jc w:val="both"/>
        <w:rPr>
          <w:rFonts w:hint="eastAsia" w:ascii="宋体" w:hAnsi="宋体" w:eastAsia="宋体" w:cs="宋体"/>
          <w:b/>
          <w:color w:val="auto"/>
          <w:sz w:val="21"/>
          <w:szCs w:val="21"/>
          <w:highlight w:val="none"/>
        </w:rPr>
      </w:pPr>
    </w:p>
    <w:p w14:paraId="64115C8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甲方：浙江中国小商品城集团股份有限公司银都雅悦酒店</w:t>
      </w:r>
    </w:p>
    <w:p w14:paraId="376FA84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地址：</w:t>
      </w:r>
    </w:p>
    <w:p w14:paraId="6A1BAE5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纳税人识别号：</w:t>
      </w:r>
    </w:p>
    <w:p w14:paraId="2B1DA80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乙方：</w:t>
      </w:r>
    </w:p>
    <w:p w14:paraId="3719092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纳税人识别号：</w:t>
      </w:r>
    </w:p>
    <w:p w14:paraId="4211647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为进一步提升公司食堂员工用餐体验及菜品质量和服务水平，优化员工合理餐饮需求，实现员工食堂服务水平的全面升级</w:t>
      </w:r>
      <w:r>
        <w:rPr>
          <w:rFonts w:hint="eastAsia" w:ascii="宋体" w:hAnsi="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甲方通过招募乙方厨师团队用于员工食堂的内部管理提升和就餐服务工作。根据《中华人民共和国民法典》和上级政府部门的有关规定，甲乙双方经平等协商一致，甲方将员工食堂内部管理、劳务服务承包给乙方，双方自愿签订本合同书，共同遵守本合同条款。</w:t>
      </w:r>
    </w:p>
    <w:p w14:paraId="21AC9B7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一、服务项目</w:t>
      </w:r>
    </w:p>
    <w:p w14:paraId="273E79A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本协议的服务项目为：</w:t>
      </w:r>
      <w:r>
        <w:rPr>
          <w:rFonts w:hint="eastAsia" w:ascii="宋体" w:hAnsi="宋体" w:eastAsia="宋体" w:cs="宋体"/>
          <w:b w:val="0"/>
          <w:bCs/>
          <w:color w:val="auto"/>
          <w:sz w:val="21"/>
          <w:szCs w:val="21"/>
          <w:highlight w:val="none"/>
          <w:lang w:val="en-US" w:eastAsia="zh-CN"/>
        </w:rPr>
        <w:t>雅悦酒店</w:t>
      </w:r>
      <w:r>
        <w:rPr>
          <w:rFonts w:hint="eastAsia" w:ascii="宋体" w:hAnsi="宋体" w:eastAsia="宋体" w:cs="宋体"/>
          <w:b w:val="0"/>
          <w:bCs/>
          <w:color w:val="auto"/>
          <w:sz w:val="21"/>
          <w:szCs w:val="21"/>
          <w:highlight w:val="none"/>
        </w:rPr>
        <w:t>员工食堂</w:t>
      </w:r>
      <w:r>
        <w:rPr>
          <w:rFonts w:hint="eastAsia" w:ascii="宋体" w:hAnsi="宋体" w:eastAsia="宋体" w:cs="宋体"/>
          <w:b w:val="0"/>
          <w:bCs/>
          <w:color w:val="auto"/>
          <w:sz w:val="21"/>
          <w:szCs w:val="21"/>
          <w:highlight w:val="none"/>
          <w:lang w:val="en-US" w:eastAsia="zh-CN"/>
        </w:rPr>
        <w:t>劳务外包</w:t>
      </w:r>
    </w:p>
    <w:p w14:paraId="60BBC40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二、外包合同期限</w:t>
      </w:r>
    </w:p>
    <w:p w14:paraId="437040F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合同有效期壹年，自202</w:t>
      </w:r>
      <w:r>
        <w:rPr>
          <w:rFonts w:hint="eastAsia" w:ascii="宋体" w:hAnsi="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rPr>
        <w:t>年</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rPr>
        <w:t>月</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rPr>
        <w:t>日起至2026年</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rPr>
        <w:t>月</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rPr>
        <w:t>日止。合同期间任何一方有异议，需提前1个月以书面形式告知对方并</w:t>
      </w:r>
      <w:r>
        <w:rPr>
          <w:rFonts w:hint="eastAsia" w:ascii="宋体" w:hAnsi="宋体" w:cs="宋体"/>
          <w:b w:val="0"/>
          <w:bCs/>
          <w:color w:val="auto"/>
          <w:sz w:val="21"/>
          <w:szCs w:val="21"/>
          <w:highlight w:val="none"/>
          <w:lang w:eastAsia="zh-CN"/>
        </w:rPr>
        <w:t>做</w:t>
      </w:r>
      <w:r>
        <w:rPr>
          <w:rFonts w:hint="eastAsia" w:ascii="宋体" w:hAnsi="宋体" w:eastAsia="宋体" w:cs="宋体"/>
          <w:b w:val="0"/>
          <w:bCs/>
          <w:color w:val="auto"/>
          <w:sz w:val="21"/>
          <w:szCs w:val="21"/>
          <w:highlight w:val="none"/>
        </w:rPr>
        <w:t>协商解决。</w:t>
      </w:r>
    </w:p>
    <w:p w14:paraId="17AD204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三、服务内容、时间、标准</w:t>
      </w:r>
    </w:p>
    <w:p w14:paraId="11BC7E3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服务内容：乙方每天保证供应早餐、中餐</w:t>
      </w:r>
      <w:r>
        <w:rPr>
          <w:rFonts w:hint="eastAsia" w:ascii="宋体" w:hAnsi="宋体" w:cs="宋体"/>
          <w:b w:val="0"/>
          <w:bCs/>
          <w:color w:val="auto"/>
          <w:sz w:val="21"/>
          <w:szCs w:val="21"/>
          <w:highlight w:val="none"/>
          <w:lang w:eastAsia="zh-CN"/>
        </w:rPr>
        <w:t>、</w:t>
      </w:r>
      <w:r>
        <w:rPr>
          <w:rFonts w:hint="eastAsia" w:ascii="宋体" w:hAnsi="宋体" w:cs="宋体"/>
          <w:b w:val="0"/>
          <w:bCs/>
          <w:color w:val="auto"/>
          <w:sz w:val="21"/>
          <w:szCs w:val="21"/>
          <w:highlight w:val="none"/>
          <w:lang w:val="en-US" w:eastAsia="zh-CN"/>
        </w:rPr>
        <w:t>晚餐三</w:t>
      </w:r>
      <w:r>
        <w:rPr>
          <w:rFonts w:hint="eastAsia" w:ascii="宋体" w:hAnsi="宋体" w:eastAsia="宋体" w:cs="宋体"/>
          <w:b w:val="0"/>
          <w:bCs/>
          <w:color w:val="auto"/>
          <w:sz w:val="21"/>
          <w:szCs w:val="21"/>
          <w:highlight w:val="none"/>
        </w:rPr>
        <w:t>餐，早餐品类不得少于8种，以包子、馒头、稀饭、面条为主，需不定期更换品类；中</w:t>
      </w:r>
      <w:r>
        <w:rPr>
          <w:rFonts w:hint="eastAsia" w:ascii="宋体" w:hAnsi="宋体" w:eastAsia="宋体" w:cs="宋体"/>
          <w:b w:val="0"/>
          <w:bCs/>
          <w:color w:val="auto"/>
          <w:sz w:val="21"/>
          <w:szCs w:val="21"/>
          <w:highlight w:val="none"/>
          <w:lang w:val="en-US" w:eastAsia="zh-CN"/>
        </w:rPr>
        <w:t>/晚</w:t>
      </w:r>
      <w:r>
        <w:rPr>
          <w:rFonts w:hint="eastAsia" w:ascii="宋体" w:hAnsi="宋体" w:eastAsia="宋体" w:cs="宋体"/>
          <w:b w:val="0"/>
          <w:bCs/>
          <w:color w:val="auto"/>
          <w:sz w:val="21"/>
          <w:szCs w:val="21"/>
          <w:highlight w:val="none"/>
        </w:rPr>
        <w:t>餐保证四荤</w:t>
      </w:r>
      <w:r>
        <w:rPr>
          <w:rFonts w:hint="eastAsia" w:ascii="宋体" w:hAnsi="宋体" w:eastAsia="宋体" w:cs="宋体"/>
          <w:b w:val="0"/>
          <w:bCs/>
          <w:color w:val="auto"/>
          <w:sz w:val="21"/>
          <w:szCs w:val="21"/>
          <w:highlight w:val="none"/>
          <w:lang w:val="en-US" w:eastAsia="zh-CN"/>
        </w:rPr>
        <w:t>四</w:t>
      </w:r>
      <w:r>
        <w:rPr>
          <w:rFonts w:hint="eastAsia" w:ascii="宋体" w:hAnsi="宋体" w:eastAsia="宋体" w:cs="宋体"/>
          <w:b w:val="0"/>
          <w:bCs/>
          <w:color w:val="auto"/>
          <w:sz w:val="21"/>
          <w:szCs w:val="21"/>
          <w:highlight w:val="none"/>
        </w:rPr>
        <w:t>素。</w:t>
      </w:r>
    </w:p>
    <w:p w14:paraId="69E20AA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卫生管理与环境保护：乙方需切实做好食堂内部的环境卫生工作，确保食堂内外保持整洁卫生。垃圾污物应放置于指定地点，不得随意丢弃。乙方应依据相关规定，自觉接受卫生管理部门对食堂工作的检查与监督。厨房用品须严格遵循一洗、二过、三消毒的操作规范。 </w:t>
      </w:r>
    </w:p>
    <w:p w14:paraId="6E2E6C3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服务时间：服务时间根据甲方要求确定，其中节假日需按服务要求安排值班。</w:t>
      </w:r>
    </w:p>
    <w:p w14:paraId="4A25540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服务标准：乙方应根据甲方实际情况制定相应的服务标准（并由甲方审核同意），甲方按照《食堂管理办法》按季度予以考核，考核细则详见员工食堂检查表及相应考核制度。</w:t>
      </w:r>
    </w:p>
    <w:p w14:paraId="7B1A96D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四、服务人员及变更</w:t>
      </w:r>
    </w:p>
    <w:p w14:paraId="2AE9CA7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乙方应根据甲方的岗位要求配备工作人员（以下简称“外包员工”），</w:t>
      </w:r>
      <w:r>
        <w:rPr>
          <w:rFonts w:hint="eastAsia" w:ascii="宋体" w:hAnsi="宋体" w:eastAsia="宋体" w:cs="宋体"/>
          <w:color w:val="auto"/>
          <w:kern w:val="2"/>
          <w:sz w:val="21"/>
          <w:szCs w:val="21"/>
          <w:highlight w:val="none"/>
          <w:lang w:val="en-US" w:eastAsia="zh-CN" w:bidi="ar-SA"/>
        </w:rPr>
        <w:t>保证在甲方的服务人员不少于6人</w:t>
      </w:r>
      <w:r>
        <w:rPr>
          <w:rFonts w:hint="eastAsia" w:ascii="宋体" w:hAnsi="宋体" w:eastAsia="宋体" w:cs="宋体"/>
          <w:b w:val="0"/>
          <w:bCs/>
          <w:color w:val="auto"/>
          <w:sz w:val="21"/>
          <w:szCs w:val="21"/>
          <w:highlight w:val="none"/>
        </w:rPr>
        <w:t>，分别为厨师长1名、</w:t>
      </w:r>
      <w:r>
        <w:rPr>
          <w:rFonts w:hint="eastAsia" w:ascii="宋体" w:hAnsi="宋体" w:cs="宋体"/>
          <w:b w:val="0"/>
          <w:bCs/>
          <w:color w:val="auto"/>
          <w:sz w:val="21"/>
          <w:szCs w:val="21"/>
          <w:highlight w:val="none"/>
          <w:lang w:val="en-US" w:eastAsia="zh-CN"/>
        </w:rPr>
        <w:t>副</w:t>
      </w:r>
      <w:r>
        <w:rPr>
          <w:rFonts w:hint="eastAsia" w:ascii="宋体" w:hAnsi="宋体" w:eastAsia="宋体" w:cs="宋体"/>
          <w:b w:val="0"/>
          <w:bCs/>
          <w:color w:val="auto"/>
          <w:sz w:val="21"/>
          <w:szCs w:val="21"/>
          <w:highlight w:val="none"/>
        </w:rPr>
        <w:t>厨</w:t>
      </w:r>
      <w:r>
        <w:rPr>
          <w:rFonts w:hint="eastAsia" w:ascii="宋体" w:hAnsi="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名、</w:t>
      </w:r>
      <w:r>
        <w:rPr>
          <w:rFonts w:hint="eastAsia" w:ascii="宋体" w:hAnsi="宋体" w:cs="宋体"/>
          <w:b w:val="0"/>
          <w:bCs/>
          <w:color w:val="auto"/>
          <w:sz w:val="21"/>
          <w:szCs w:val="21"/>
          <w:highlight w:val="none"/>
          <w:lang w:val="en-US" w:eastAsia="zh-CN"/>
        </w:rPr>
        <w:t>面点师1名，</w:t>
      </w:r>
      <w:r>
        <w:rPr>
          <w:rFonts w:hint="eastAsia" w:ascii="宋体" w:hAnsi="宋体" w:eastAsia="宋体" w:cs="宋体"/>
          <w:b w:val="0"/>
          <w:bCs/>
          <w:color w:val="auto"/>
          <w:sz w:val="21"/>
          <w:szCs w:val="21"/>
          <w:highlight w:val="none"/>
        </w:rPr>
        <w:t>杂工</w:t>
      </w:r>
      <w:r>
        <w:rPr>
          <w:rFonts w:hint="eastAsia" w:ascii="宋体" w:hAnsi="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名。厨房工作人员需服从甲方，同时按照甲方要求安排部署工作任务，并进行不定期的查岗、考勤，发现问题及时解决，根据合同约定从事食堂各岗位的工作。</w:t>
      </w:r>
    </w:p>
    <w:p w14:paraId="7CE7542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五、服务费用标准  </w:t>
      </w:r>
    </w:p>
    <w:p w14:paraId="3B034C1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eastAsia="zh-CN"/>
        </w:rPr>
        <w:t>（一）</w:t>
      </w:r>
      <w:r>
        <w:rPr>
          <w:rFonts w:hint="eastAsia" w:ascii="宋体" w:hAnsi="宋体" w:eastAsia="宋体" w:cs="宋体"/>
          <w:b w:val="0"/>
          <w:bCs/>
          <w:color w:val="auto"/>
          <w:sz w:val="21"/>
          <w:szCs w:val="21"/>
          <w:highlight w:val="none"/>
        </w:rPr>
        <w:t>每年服务费用为</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万元整（人民币，含税价）。</w:t>
      </w:r>
    </w:p>
    <w:p w14:paraId="48ABFE6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（二）各岗位服务费已包含工作人员工资、加班费、高温费等各项福利、津贴、解除劳动关系的补偿金、社保、意外险、管理费、税费、住宿补贴等所有费用，甲方无需再向乙方支付其他任何费用。</w:t>
      </w:r>
    </w:p>
    <w:p w14:paraId="2434121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cs="宋体"/>
          <w:b w:val="0"/>
          <w:bCs/>
          <w:color w:val="auto"/>
          <w:sz w:val="21"/>
          <w:szCs w:val="21"/>
          <w:highlight w:val="none"/>
          <w:lang w:val="en-US" w:eastAsia="zh-CN"/>
        </w:rPr>
        <w:t>三</w:t>
      </w:r>
      <w:r>
        <w:rPr>
          <w:rFonts w:hint="eastAsia" w:ascii="宋体" w:hAnsi="宋体" w:eastAsia="宋体" w:cs="宋体"/>
          <w:b w:val="0"/>
          <w:bCs/>
          <w:color w:val="auto"/>
          <w:sz w:val="21"/>
          <w:szCs w:val="21"/>
          <w:highlight w:val="none"/>
        </w:rPr>
        <w:t>）费用支付方式：乙方需按时提供合法有效的增值税普票，甲方采用每月汇款的形式进行结算。年度总费用</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rPr>
        <w:t>万元，每月按</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rPr>
        <w:t>元作为押金扣除，即每月应汇款</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rPr>
        <w:t>万元。押金将在每年合同到期后两个月内，根据考核情况并在乙方提供相应发票后支付。</w:t>
      </w:r>
    </w:p>
    <w:p w14:paraId="038B3B7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cs="宋体"/>
          <w:b w:val="0"/>
          <w:bCs/>
          <w:color w:val="auto"/>
          <w:sz w:val="21"/>
          <w:szCs w:val="21"/>
          <w:highlight w:val="none"/>
          <w:lang w:val="en-US" w:eastAsia="zh-CN"/>
        </w:rPr>
        <w:t>四</w:t>
      </w:r>
      <w:r>
        <w:rPr>
          <w:rFonts w:hint="eastAsia" w:ascii="宋体" w:hAnsi="宋体" w:eastAsia="宋体" w:cs="宋体"/>
          <w:b w:val="0"/>
          <w:bCs/>
          <w:color w:val="auto"/>
          <w:sz w:val="21"/>
          <w:szCs w:val="21"/>
          <w:highlight w:val="none"/>
        </w:rPr>
        <w:t>）支付时间及金额：先服务后付费，甲方在乙方开具发票后，15个工作日内将上月服务费汇至乙方指定的账户，如遇国家法定节假日顺延。</w:t>
      </w:r>
    </w:p>
    <w:p w14:paraId="4048A02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cs="宋体"/>
          <w:b w:val="0"/>
          <w:bCs/>
          <w:color w:val="auto"/>
          <w:sz w:val="21"/>
          <w:szCs w:val="21"/>
          <w:highlight w:val="none"/>
          <w:lang w:val="en-US" w:eastAsia="zh-CN"/>
        </w:rPr>
        <w:t>五</w:t>
      </w:r>
      <w:r>
        <w:rPr>
          <w:rFonts w:hint="eastAsia" w:ascii="宋体" w:hAnsi="宋体" w:eastAsia="宋体" w:cs="宋体"/>
          <w:b w:val="0"/>
          <w:bCs/>
          <w:color w:val="auto"/>
          <w:sz w:val="21"/>
          <w:szCs w:val="21"/>
          <w:highlight w:val="none"/>
        </w:rPr>
        <w:t>）收款单位：</w:t>
      </w:r>
    </w:p>
    <w:p w14:paraId="1C66773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银行账号：</w:t>
      </w:r>
    </w:p>
    <w:p w14:paraId="5821907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开户行：</w:t>
      </w:r>
    </w:p>
    <w:p w14:paraId="29C7A82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六、甲方的权利义务</w:t>
      </w:r>
    </w:p>
    <w:p w14:paraId="7CCC8A5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（一）甲方有权安排专人对乙方工作人员的日常工作开展监督、检查以及指导，有权下达具体工作任务。若发现乙方人员不适应甲方工作环境或岗位要求，甲方有权要求乙方调换人员。</w:t>
      </w:r>
    </w:p>
    <w:p w14:paraId="47D85E1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（二）蔬菜、粮油、鲜肉、禽、蛋、水产等由甲方指定的蔬菜、物资配送公司配送，甲、乙双方共同验收并签字。</w:t>
      </w:r>
    </w:p>
    <w:p w14:paraId="3D01DE6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三）甲方有权对食堂菜肴质量、数量、卫生服务等情况进行监督检查。若发现菜肴变质等质量问题，每次从当月合同款中扣除500元；若一个月内因菜品问题被5位及以上客人投诉且查证属实，每次扣除当月合同款200元。若质量问题超过3次或投诉累计超过5次且乙方未改进（以书面通知为准），甲方有权终止合同。</w:t>
      </w:r>
    </w:p>
    <w:p w14:paraId="67349ED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（四）甲方依据项目场地的实际状况与需求，为乙方人员提供必要的工作设备、场地及其他工作条件，确保乙方人员能够正常开展工作。</w:t>
      </w:r>
    </w:p>
    <w:p w14:paraId="032FA06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（五）在乙方服务人员正式上岗前，甲方需向其详细阐明本单位的相关规定、规章制度与工作要求，乙方人员应严格遵守并服从甲方管理。</w:t>
      </w:r>
    </w:p>
    <w:p w14:paraId="0AF0233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六）若因乙方或乙方人员的过错、违反双方约定，致使甲方遭受经济损失或产生社会负面影响，甲方有权追究乙方及其服务人员的责任。甲方有权要求乙方进行相应经济赔偿，并以公开声明等方式消除不良影响。若情节严重，甲方有权提前终止本合作协议 。</w:t>
      </w:r>
    </w:p>
    <w:p w14:paraId="0987813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（七）甲方有责任教育本单位员工尊重乙方工作人员，支持并配合乙方人员履行职责，保障乙方人员在工作期间的合法权益。</w:t>
      </w:r>
    </w:p>
    <w:p w14:paraId="236909F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（八）在乙方及乙方工作人员严格遵守餐厅服务标准以及甲方相关规章制度的前提下，甲方尊重乙方的内部人事、培训等管理事务，不做无端干涉。</w:t>
      </w:r>
    </w:p>
    <w:p w14:paraId="409A4F1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七、乙方权利义务</w:t>
      </w:r>
    </w:p>
    <w:p w14:paraId="00B159A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（一）乙方必须是依照相关法律法规注册登记的合法法人主体。乙方派遣至甲方的服务人员需符合国家法律法规要求，具备相应的业务素养、卫生健康证、专业技能与职业资格，满足甲方岗位工作需求。</w:t>
      </w:r>
    </w:p>
    <w:p w14:paraId="63341B3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（二）乙方负责对派驻人员进行合理的工作调整与排班安排，确保食堂服务工作的正常有序运转，满足甲方的就餐服务需求。</w:t>
      </w:r>
    </w:p>
    <w:p w14:paraId="204E709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三）乙方按照约定派遣符合条件的服务人员至甲方。负责办理所有用工手续，包括但不限于岗前健康体检、依法缴纳各项社会保险等。同时，乙方需将服务人员的人事档案、劳动关系证明、相关职业资格证件等资料提供给甲方备案。</w:t>
      </w:r>
    </w:p>
    <w:p w14:paraId="5154A78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四）乙方负责对员工开展全面的岗前培训、持续的上岗后教育以及日常管理工作。监督服务人员严格按照岗位职责要求开展工作，建立完善的考勤、考核与薪酬福利制度。乙方工作人员需遵守甲方的各项规章制度，认真履行工作职责，保质保量完成工作任务，并接受甲方的监督检查与业务指导。</w:t>
      </w:r>
    </w:p>
    <w:p w14:paraId="0C1DDE0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五）乙方应按时发放所有工资福利待遇并为派驻人员依法缴纳养老、失业、医疗、工伤、意外伤害险等社会保险，并全面承担用人单位的责任和义务。提供符合工作要求的统一服装。乙方对甲方提供的工作用具及各类设施设备应妥善保管、合理使用，若因人为原因造成损坏或丢失，需照价赔偿。</w:t>
      </w:r>
    </w:p>
    <w:p w14:paraId="499701E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（六）双方对合作过程中知悉的对方商业秘密、业务资料、人员信息等各类资料和信息严格履行保密义务，未经对方书面同意，不得以任何形式向第三方披露。</w:t>
      </w:r>
    </w:p>
    <w:p w14:paraId="5B54055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（七）乙方工作人员工作期间应统一着装，保持良好的仪容仪表与精神风貌，展现专业的服务形象。</w:t>
      </w:r>
    </w:p>
    <w:p w14:paraId="07C894F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（八）乙方根据甲方的就餐人数、口味需求等，科学合理安排菜品的种类与数量，优化烹饪流程，减少食材浪费。积极配合甲方定期开展的菜品质量、数量及浪费情况检查工作 ，对提出的问题及时整改。坚持勤俭节约的方针，节能控电，避免浪费，承诺对菜品进行严格的成本控制，积极配合甲方做好食堂的成本核算管理，协助甲方控制好盈亏平衡点。</w:t>
      </w:r>
    </w:p>
    <w:p w14:paraId="7064C55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九）乙方积极配合甲方做好食堂安全管理、卫生创建等相关工作，制定并落实防火、防滑、防食物中毒等安全措施。若因乙方的疏忽或过失导致安全事故，造成甲方员工人身伤害或财产损失，乙方承担全部责任。</w:t>
      </w:r>
    </w:p>
    <w:p w14:paraId="63D4924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（十）乙方员工与乙方建立劳动关系，办理符合国家规定的用工手续，若乙方人员与乙方发生劳动用工纠纷、管理争议等均由乙方自行妥善解决，与甲方无涉，且不得影响甲方食堂的正常运营。</w:t>
      </w:r>
    </w:p>
    <w:p w14:paraId="09CB2BB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八、合同的变更和解除</w:t>
      </w:r>
    </w:p>
    <w:p w14:paraId="5B2458F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（一）经甲乙双方友好协商并达成一致意见，可对本合同的相关条款进行变更，或提前解除本合同。双方应签订书面协议，明确变更或解除的具体内容、生效时间等事项 ，以确保双方权益得到妥善处理。</w:t>
      </w:r>
    </w:p>
    <w:p w14:paraId="2D778B3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二）若乙方未经甲方书面同意，擅自将本合同约定的权利和义务全部或部分转让给第三方，甲方有权解除本合同。乙方的这一行为严重违背合同约定，损害甲方的信任与预期合作利益，甲方解除合同后，乙方需承担因此给甲方造成的全部损失。</w:t>
      </w:r>
    </w:p>
    <w:p w14:paraId="1592640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三）因不可抗力事件，如自然灾害、政府行为、社会异常事件等，导致本合同无法继续履行或无法实现合同目的，甲方有权解除合同。在这种情况下，双方互不承担违约责任，但应及时通知对方并提供相关证明。</w:t>
      </w:r>
    </w:p>
    <w:p w14:paraId="2500BC8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（四）有以下情形之一的，乙方可以解除本合同：</w:t>
      </w:r>
    </w:p>
    <w:p w14:paraId="582975B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若甲方无正当理由，未按照合同约定按时支付外包费用，且逾期超过30日，乙方有权解除本合同。甲方逾期支付费用的行为严重影响乙方正常运营，损害乙方合法权益，乙方解除合同后，甲方应支付已产生的费用，并按照合同约定承担违约责任 。</w:t>
      </w:r>
    </w:p>
    <w:p w14:paraId="36027A9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2.同甲方因不可抗力解除合同的情形，因不可抗力致使合同无法履行或无法实现合同目的，乙方有权解除合同，双方互不承担违约责任，但需及时履行通知与证明义务。</w:t>
      </w:r>
    </w:p>
    <w:p w14:paraId="29721B6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九、双方的违约责任</w:t>
      </w:r>
    </w:p>
    <w:p w14:paraId="1A827FA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（一）因对方的原因，解除本合同的，有过失的一方应向对方支付违约金，违约金按壹个月的服务费用总价计算。</w:t>
      </w:r>
    </w:p>
    <w:p w14:paraId="1AEC8CA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（二）乙方不能按合同足日足量派驻服务人员，影响甲方正常工作的，由乙方承担违约责任，支付违约金。</w:t>
      </w:r>
    </w:p>
    <w:p w14:paraId="6E4D84D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（三）甲方指派乙方人员从事本合同约定以外的工作，由此造成乙方人员、甲乙双方或第三方的经济赔偿责任，由甲方承担。</w:t>
      </w:r>
    </w:p>
    <w:p w14:paraId="582ADE9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（四）因乙方原因造成甲方设备、工具丢失、损毁，生产资料丢失、损毁，客户利益受损等情形，乙方承担赔偿责任（正常物料损耗不在此范围）。</w:t>
      </w:r>
    </w:p>
    <w:p w14:paraId="667351F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五）若乙方提供的餐饮服务满意度连续两个月低于80%（以甲方组织的员工满意度调查结果为准），甲方有权要求乙方限期整改。若整改后次月满意度仍未达到80%，甲方将扣除当月外包费用的10%作为赔偿；若连续三个月满意度低于80%，甲方有权解除合同。</w:t>
      </w:r>
    </w:p>
    <w:p w14:paraId="3DC0FD3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六）一旦发生因乙方原因导致的食品安全事故（经权威部门认定），乙方需承担全部法律责任以及因此给甲方造成的所有损失，包括但不限于医疗费用、赔偿费用、罚款等。同时，甲方有权立即解除合同，并要求乙方按照合同总金额的10%支付违约金。如乙方未能保持食堂环境、餐具等符合卫生标准，每被甲方检查发现一次违规情况，甲方将对乙方做出</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元处罚，相关监管部门检查发现一次违规情况，甲方将对乙方做出</w:t>
      </w:r>
      <w:r>
        <w:rPr>
          <w:rFonts w:hint="eastAsia" w:ascii="宋体" w:hAnsi="宋体" w:eastAsia="宋体" w:cs="宋体"/>
          <w:b w:val="0"/>
          <w:bCs/>
          <w:color w:val="auto"/>
          <w:sz w:val="21"/>
          <w:szCs w:val="21"/>
          <w:highlight w:val="none"/>
          <w:lang w:val="en-US" w:eastAsia="zh-CN"/>
        </w:rPr>
        <w:t xml:space="preserve"> 元</w:t>
      </w:r>
      <w:r>
        <w:rPr>
          <w:rFonts w:hint="eastAsia" w:ascii="宋体" w:hAnsi="宋体" w:eastAsia="宋体" w:cs="宋体"/>
          <w:b w:val="0"/>
          <w:bCs/>
          <w:color w:val="auto"/>
          <w:sz w:val="21"/>
          <w:szCs w:val="21"/>
          <w:highlight w:val="none"/>
        </w:rPr>
        <w:t xml:space="preserve">处罚，并立即整改。 </w:t>
      </w:r>
    </w:p>
    <w:p w14:paraId="46A739E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七）乙方负责保障食堂工作人员在工作期间的人身安全，并提供必要的劳动保护用品与安全培训。若因乙方安全管理不善导致工作人员发生工伤事故或其他安全事件，乙方需承担全部医疗费用、赔偿费用以及相应法律责任，同时，每发生一次此类事件，甲方将对乙方做出</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元处罚，若对甲方正常运营造成严重影响，甲方有权视情况解除合同。</w:t>
      </w:r>
    </w:p>
    <w:p w14:paraId="2E72EC3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十、其他相关约定</w:t>
      </w:r>
    </w:p>
    <w:p w14:paraId="1B90661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（一）合同期内，甲、乙双方均不得将合同范围内的就餐服务工作全部或部分管理权授予第三方。</w:t>
      </w:r>
    </w:p>
    <w:p w14:paraId="238353C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（二）乙方人员与甲方无劳动、雇佣等关系。</w:t>
      </w:r>
    </w:p>
    <w:p w14:paraId="5FFC052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（三）双方对通讯地址及联系电话的确认（同样适用于诉讼的送达）。</w:t>
      </w:r>
    </w:p>
    <w:p w14:paraId="08F4118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（四）一方需要变更上述通讯地址及联系电话的，应提前15日书面通知对方，未及时通知产生的一切后果由过错方承担。</w:t>
      </w:r>
    </w:p>
    <w:p w14:paraId="65AFDEE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十一、清廉合作承诺</w:t>
      </w:r>
    </w:p>
    <w:p w14:paraId="06AF0A4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为秉持廉洁、诚信原则进行合作洽谈及签订相关协议，维护廉洁、诚信、共赢的合作关系，双方同意就此次合作开展廉洁监督。双方郑重承诺：在合作洽谈、合同签订及履行等相关过程中，不会对合作经办人或相关业务负责人有赠送现金或实物等任何违反廉洁自律规定的行为，并自觉接受对方监督。</w:t>
      </w:r>
    </w:p>
    <w:p w14:paraId="606DBF5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十二、本合同未尽事宜</w:t>
      </w:r>
    </w:p>
    <w:p w14:paraId="03D142B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本合同未尽事宜，双方协商解决，协商后达成的补充协议与合同具有同等法律效力。</w:t>
      </w:r>
    </w:p>
    <w:p w14:paraId="1C9714A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十三、争议解决方案</w:t>
      </w:r>
    </w:p>
    <w:p w14:paraId="5017B6D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因履行本合同发生的争议，由双方协商解决，协商不成的，一方有权向甲方所在地的人民法院提起诉讼。</w:t>
      </w:r>
    </w:p>
    <w:p w14:paraId="545EACF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十四、合同的生效条件</w:t>
      </w:r>
    </w:p>
    <w:p w14:paraId="2554106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本合同甲乙双方代表签字并加盖公章后生效。</w:t>
      </w:r>
    </w:p>
    <w:p w14:paraId="56E39EB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本合同一式叁份，甲方执贰份，乙方执壹份</w:t>
      </w:r>
      <w:r>
        <w:rPr>
          <w:rFonts w:hint="eastAsia" w:ascii="宋体" w:hAnsi="宋体" w:cs="宋体"/>
          <w:b w:val="0"/>
          <w:bCs/>
          <w:color w:val="auto"/>
          <w:sz w:val="21"/>
          <w:szCs w:val="21"/>
          <w:highlight w:val="none"/>
          <w:lang w:eastAsia="zh-CN"/>
        </w:rPr>
        <w:t>，</w:t>
      </w:r>
      <w:r>
        <w:rPr>
          <w:rFonts w:hint="eastAsia" w:ascii="宋体" w:hAnsi="宋体" w:cs="宋体"/>
          <w:b w:val="0"/>
          <w:bCs/>
          <w:color w:val="auto"/>
          <w:sz w:val="21"/>
          <w:szCs w:val="21"/>
          <w:highlight w:val="none"/>
          <w:lang w:val="en-US" w:eastAsia="zh-CN"/>
        </w:rPr>
        <w:t>金华义产拍卖有限公司执一份，均具同等法律效应</w:t>
      </w:r>
      <w:r>
        <w:rPr>
          <w:rFonts w:hint="eastAsia" w:ascii="宋体" w:hAnsi="宋体" w:eastAsia="宋体" w:cs="宋体"/>
          <w:b w:val="0"/>
          <w:bCs/>
          <w:color w:val="auto"/>
          <w:sz w:val="21"/>
          <w:szCs w:val="21"/>
          <w:highlight w:val="none"/>
        </w:rPr>
        <w:t>。</w:t>
      </w:r>
    </w:p>
    <w:p w14:paraId="3565BDE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以下无正文，此页为盖章页。 </w:t>
      </w:r>
    </w:p>
    <w:p w14:paraId="7EE6452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甲方（盖章）：                   乙方（盖章）：</w:t>
      </w:r>
    </w:p>
    <w:p w14:paraId="382654C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甲方代表（签字）</w:t>
      </w:r>
      <w:r>
        <w:rPr>
          <w:rFonts w:hint="eastAsia" w:ascii="宋体" w:hAnsi="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 xml:space="preserve">               </w:t>
      </w:r>
      <w:r>
        <w:rPr>
          <w:rFonts w:hint="eastAsia" w:ascii="宋体" w:hAnsi="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乙方代表（签字）：</w:t>
      </w:r>
    </w:p>
    <w:p w14:paraId="4E53514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highlight w:val="none"/>
          <w:lang w:bidi="ar-SA"/>
        </w:rPr>
      </w:pPr>
      <w:r>
        <w:rPr>
          <w:rFonts w:hint="eastAsia" w:ascii="宋体" w:hAnsi="宋体" w:eastAsia="宋体" w:cs="宋体"/>
          <w:b w:val="0"/>
          <w:bCs/>
          <w:color w:val="auto"/>
          <w:sz w:val="21"/>
          <w:szCs w:val="21"/>
          <w:highlight w:val="none"/>
        </w:rPr>
        <w:t xml:space="preserve">    年   月   日                      年   月    日</w:t>
      </w:r>
    </w:p>
    <w:p w14:paraId="66816C47">
      <w:pPr>
        <w:pStyle w:val="2"/>
        <w:keepNext w:val="0"/>
        <w:keepLines w:val="0"/>
        <w:pageBreakBefore/>
        <w:widowControl w:val="0"/>
        <w:kinsoku/>
        <w:wordWrap/>
        <w:overflowPunct/>
        <w:topLinePunct w:val="0"/>
        <w:autoSpaceDE/>
        <w:autoSpaceDN/>
        <w:bidi w:val="0"/>
        <w:adjustRightInd/>
        <w:snapToGrid/>
        <w:spacing w:before="0" w:after="0" w:line="360" w:lineRule="auto"/>
        <w:ind w:firstLine="2891" w:firstLineChars="800"/>
        <w:jc w:val="left"/>
        <w:textAlignment w:val="auto"/>
        <w:rPr>
          <w:rFonts w:hint="eastAsia" w:ascii="宋体" w:hAnsi="宋体" w:eastAsia="宋体" w:cs="Times New Roman"/>
          <w:color w:val="auto"/>
          <w:sz w:val="36"/>
          <w:szCs w:val="36"/>
          <w:highlight w:val="none"/>
        </w:rPr>
      </w:pPr>
      <w:bookmarkStart w:id="79" w:name="_Toc11084"/>
      <w:r>
        <w:rPr>
          <w:rFonts w:hint="eastAsia" w:ascii="宋体" w:hAnsi="宋体" w:eastAsia="宋体" w:cs="Times New Roman"/>
          <w:color w:val="auto"/>
          <w:sz w:val="36"/>
          <w:szCs w:val="36"/>
          <w:highlight w:val="none"/>
        </w:rPr>
        <w:t>第</w:t>
      </w:r>
      <w:r>
        <w:rPr>
          <w:rFonts w:hint="eastAsia" w:ascii="宋体" w:hAnsi="宋体" w:cs="Times New Roman"/>
          <w:color w:val="auto"/>
          <w:sz w:val="36"/>
          <w:szCs w:val="36"/>
          <w:highlight w:val="none"/>
          <w:lang w:val="en-US" w:eastAsia="zh-CN"/>
        </w:rPr>
        <w:t>八</w:t>
      </w:r>
      <w:r>
        <w:rPr>
          <w:rFonts w:hint="eastAsia" w:ascii="宋体" w:hAnsi="宋体" w:eastAsia="宋体" w:cs="Times New Roman"/>
          <w:color w:val="auto"/>
          <w:sz w:val="36"/>
          <w:szCs w:val="36"/>
          <w:highlight w:val="none"/>
        </w:rPr>
        <w:t>章  投标文件部分格式</w:t>
      </w:r>
      <w:bookmarkEnd w:id="79"/>
    </w:p>
    <w:p w14:paraId="3E844352">
      <w:pPr>
        <w:pStyle w:val="3"/>
        <w:pageBreakBefore w:val="0"/>
        <w:widowControl w:val="0"/>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80" w:name="_Toc15989"/>
      <w:r>
        <w:rPr>
          <w:rFonts w:hint="eastAsia" w:ascii="宋体" w:hAnsi="宋体" w:eastAsia="宋体" w:cs="宋体"/>
          <w:color w:val="auto"/>
          <w:sz w:val="21"/>
          <w:szCs w:val="21"/>
          <w:highlight w:val="none"/>
        </w:rPr>
        <w:t>一、资格响应文件、商务技术响应文件部分格式</w:t>
      </w:r>
      <w:bookmarkEnd w:id="80"/>
    </w:p>
    <w:p w14:paraId="2A6FDE87">
      <w:pPr>
        <w:tabs>
          <w:tab w:val="left" w:pos="1050"/>
        </w:tabs>
        <w:spacing w:line="520" w:lineRule="exact"/>
        <w:ind w:left="528"/>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hAnsi="宋体" w:cs="宋体"/>
          <w:b w:val="0"/>
          <w:bCs/>
          <w:color w:val="auto"/>
          <w:sz w:val="21"/>
          <w:szCs w:val="21"/>
          <w:highlight w:val="none"/>
          <w:lang w:val="en-US" w:eastAsia="zh-CN"/>
        </w:rPr>
        <w:t>法定代表人</w:t>
      </w:r>
      <w:r>
        <w:rPr>
          <w:rFonts w:hint="eastAsia" w:ascii="宋体" w:hAnsi="宋体" w:eastAsia="宋体" w:cs="宋体"/>
          <w:b w:val="0"/>
          <w:bCs/>
          <w:color w:val="auto"/>
          <w:sz w:val="21"/>
          <w:szCs w:val="21"/>
          <w:highlight w:val="none"/>
        </w:rPr>
        <w:t>授权委托书及被授权人身份证</w:t>
      </w:r>
      <w:r>
        <w:rPr>
          <w:rFonts w:hint="eastAsia" w:ascii="宋体" w:hAnsi="宋体" w:eastAsia="宋体" w:cs="宋体"/>
          <w:color w:val="auto"/>
          <w:sz w:val="21"/>
          <w:szCs w:val="21"/>
          <w:highlight w:val="none"/>
          <w:lang w:eastAsia="zh-CN"/>
        </w:rPr>
        <w:t>复印件</w:t>
      </w:r>
      <w:r>
        <w:rPr>
          <w:rFonts w:hint="eastAsia" w:ascii="宋体" w:hAnsi="宋体" w:eastAsia="宋体" w:cs="宋体"/>
          <w:b w:val="0"/>
          <w:bCs/>
          <w:color w:val="auto"/>
          <w:sz w:val="21"/>
          <w:szCs w:val="21"/>
          <w:highlight w:val="none"/>
        </w:rPr>
        <w:t>［适用于非法定代表人参加投标的</w:t>
      </w:r>
      <w:r>
        <w:rPr>
          <w:rFonts w:hint="eastAsia" w:ascii="宋体" w:hAnsi="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说明：法定代表人以营业执照载明的人员为准］；</w:t>
      </w:r>
      <w:r>
        <w:rPr>
          <w:rFonts w:hint="eastAsia" w:ascii="宋体" w:hAnsi="宋体" w:eastAsia="宋体" w:cs="宋体"/>
          <w:color w:val="auto"/>
          <w:sz w:val="21"/>
          <w:szCs w:val="21"/>
          <w:highlight w:val="none"/>
          <w:lang w:eastAsia="zh-CN"/>
        </w:rPr>
        <w:t>或法定代表人身份证复印件［适用于法定代表人参加投标的］</w:t>
      </w:r>
    </w:p>
    <w:p w14:paraId="4D7DD62D">
      <w:pPr>
        <w:tabs>
          <w:tab w:val="left" w:pos="1050"/>
        </w:tabs>
        <w:spacing w:line="520" w:lineRule="exact"/>
        <w:ind w:left="5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2.义乌市国企采购项目投标承诺书</w:t>
      </w:r>
    </w:p>
    <w:p w14:paraId="618AC51E">
      <w:pPr>
        <w:tabs>
          <w:tab w:val="left" w:pos="1050"/>
        </w:tabs>
        <w:spacing w:line="520" w:lineRule="exact"/>
        <w:ind w:left="528"/>
        <w:rPr>
          <w:rFonts w:hint="eastAsia" w:ascii="宋体" w:hAnsi="宋体" w:eastAsia="宋体" w:cs="宋体"/>
          <w:color w:val="auto"/>
          <w:sz w:val="21"/>
          <w:szCs w:val="21"/>
          <w:highlight w:val="none"/>
          <w:lang w:eastAsia="zh-CN" w:bidi="ar-SA"/>
        </w:rPr>
      </w:pPr>
      <w:r>
        <w:rPr>
          <w:rFonts w:hint="eastAsia" w:ascii="宋体" w:hAnsi="宋体" w:eastAsia="宋体" w:cs="宋体"/>
          <w:color w:val="auto"/>
          <w:sz w:val="21"/>
          <w:szCs w:val="21"/>
          <w:highlight w:val="none"/>
          <w:lang w:val="en-US" w:eastAsia="zh-CN" w:bidi="ar-SA"/>
        </w:rPr>
        <w:t>3</w:t>
      </w:r>
      <w:r>
        <w:rPr>
          <w:rFonts w:hint="eastAsia" w:ascii="宋体" w:hAnsi="宋体" w:eastAsia="宋体" w:cs="宋体"/>
          <w:color w:val="auto"/>
          <w:sz w:val="21"/>
          <w:szCs w:val="21"/>
          <w:highlight w:val="none"/>
          <w:lang w:eastAsia="zh-CN" w:bidi="ar-SA"/>
        </w:rPr>
        <w:t>.</w:t>
      </w:r>
      <w:r>
        <w:rPr>
          <w:rFonts w:hint="eastAsia" w:hAnsi="宋体"/>
          <w:color w:val="auto"/>
          <w:highlight w:val="none"/>
        </w:rPr>
        <w:t>服务方案（含菜</w:t>
      </w:r>
      <w:r>
        <w:rPr>
          <w:rFonts w:hint="eastAsia" w:hAnsi="宋体"/>
          <w:color w:val="auto"/>
          <w:highlight w:val="none"/>
          <w:lang w:val="en-US" w:eastAsia="zh-CN"/>
        </w:rPr>
        <w:t>单</w:t>
      </w:r>
      <w:r>
        <w:rPr>
          <w:rFonts w:hint="eastAsia" w:hAnsi="宋体"/>
          <w:color w:val="auto"/>
          <w:highlight w:val="none"/>
        </w:rPr>
        <w:t>设计、菜单更新计划等）</w:t>
      </w:r>
    </w:p>
    <w:p w14:paraId="09B05257">
      <w:pPr>
        <w:tabs>
          <w:tab w:val="left" w:pos="1050"/>
        </w:tabs>
        <w:spacing w:line="520" w:lineRule="exact"/>
        <w:ind w:left="5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SA"/>
        </w:rPr>
        <w:t>4.</w:t>
      </w:r>
      <w:r>
        <w:rPr>
          <w:rFonts w:hint="eastAsia" w:hAnsi="宋体"/>
          <w:color w:val="auto"/>
          <w:highlight w:val="none"/>
        </w:rPr>
        <w:t>人员配置方案（拟派遣人员简历、资质证书、健康证、技能证明等）</w:t>
      </w:r>
    </w:p>
    <w:p w14:paraId="1219D392">
      <w:pPr>
        <w:tabs>
          <w:tab w:val="left" w:pos="1050"/>
        </w:tabs>
        <w:spacing w:line="520" w:lineRule="exact"/>
        <w:ind w:left="528"/>
        <w:rPr>
          <w:rFonts w:hint="eastAsia" w:ascii="宋体" w:hAnsi="宋体" w:eastAsia="宋体" w:cs="宋体"/>
          <w:color w:val="auto"/>
          <w:sz w:val="21"/>
          <w:szCs w:val="21"/>
          <w:highlight w:val="none"/>
        </w:rPr>
      </w:pPr>
    </w:p>
    <w:p w14:paraId="48F112B4">
      <w:pPr>
        <w:tabs>
          <w:tab w:val="left" w:pos="1050"/>
        </w:tabs>
        <w:spacing w:line="520" w:lineRule="exact"/>
        <w:ind w:left="528"/>
        <w:rPr>
          <w:rFonts w:hint="eastAsia" w:ascii="宋体" w:hAnsi="宋体" w:eastAsia="宋体" w:cs="宋体"/>
          <w:color w:val="auto"/>
          <w:sz w:val="21"/>
          <w:szCs w:val="21"/>
          <w:highlight w:val="none"/>
        </w:rPr>
      </w:pPr>
    </w:p>
    <w:p w14:paraId="4B15C9DC">
      <w:pPr>
        <w:pStyle w:val="3"/>
        <w:pageBreakBefore w:val="0"/>
        <w:widowControl w:val="0"/>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81" w:name="_Toc28013"/>
      <w:r>
        <w:rPr>
          <w:rFonts w:hint="eastAsia" w:ascii="宋体" w:hAnsi="宋体" w:eastAsia="宋体" w:cs="宋体"/>
          <w:color w:val="auto"/>
          <w:sz w:val="21"/>
          <w:szCs w:val="21"/>
          <w:highlight w:val="none"/>
        </w:rPr>
        <w:t>二、报价响应文件部分格式</w:t>
      </w:r>
      <w:bookmarkEnd w:id="81"/>
    </w:p>
    <w:p w14:paraId="3B5C1B15">
      <w:pPr>
        <w:tabs>
          <w:tab w:val="left" w:pos="1080"/>
        </w:tabs>
        <w:spacing w:line="520" w:lineRule="exact"/>
        <w:ind w:left="5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开标一览表格式</w:t>
      </w:r>
    </w:p>
    <w:p w14:paraId="5418149B">
      <w:pPr>
        <w:spacing w:line="340" w:lineRule="exact"/>
        <w:rPr>
          <w:rFonts w:hint="eastAsia" w:ascii="宋体" w:hAnsi="宋体" w:eastAsia="宋体" w:cs="宋体"/>
          <w:color w:val="auto"/>
          <w:sz w:val="21"/>
          <w:szCs w:val="21"/>
          <w:highlight w:val="none"/>
        </w:rPr>
      </w:pPr>
    </w:p>
    <w:p w14:paraId="39BBCBE1">
      <w:pPr>
        <w:spacing w:line="340" w:lineRule="exact"/>
        <w:rPr>
          <w:rFonts w:hint="eastAsia" w:ascii="宋体" w:hAnsi="宋体" w:eastAsia="宋体" w:cs="宋体"/>
          <w:color w:val="auto"/>
          <w:sz w:val="21"/>
          <w:szCs w:val="21"/>
          <w:highlight w:val="none"/>
        </w:rPr>
      </w:pPr>
    </w:p>
    <w:p w14:paraId="19384CDB">
      <w:pPr>
        <w:pStyle w:val="3"/>
        <w:pageBreakBefore w:val="0"/>
        <w:widowControl w:val="0"/>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82" w:name="_Toc9757"/>
      <w:r>
        <w:rPr>
          <w:rFonts w:hint="eastAsia" w:ascii="宋体" w:hAnsi="宋体" w:eastAsia="宋体" w:cs="宋体"/>
          <w:color w:val="auto"/>
          <w:sz w:val="21"/>
          <w:szCs w:val="21"/>
          <w:highlight w:val="none"/>
        </w:rPr>
        <w:t>三、质疑函范本</w:t>
      </w:r>
      <w:bookmarkEnd w:id="82"/>
    </w:p>
    <w:p w14:paraId="3A0486A5">
      <w:pPr>
        <w:spacing w:line="340" w:lineRule="exact"/>
        <w:rPr>
          <w:rFonts w:hint="eastAsia" w:ascii="宋体" w:hAnsi="宋体" w:eastAsia="宋体" w:cs="宋体"/>
          <w:color w:val="auto"/>
          <w:sz w:val="21"/>
          <w:szCs w:val="21"/>
          <w:highlight w:val="none"/>
        </w:rPr>
      </w:pPr>
    </w:p>
    <w:p w14:paraId="3AF52D4F">
      <w:pPr>
        <w:spacing w:line="340" w:lineRule="exact"/>
        <w:rPr>
          <w:rFonts w:hint="eastAsia" w:ascii="宋体" w:hAnsi="宋体" w:eastAsia="宋体" w:cs="宋体"/>
          <w:color w:val="auto"/>
          <w:sz w:val="21"/>
          <w:szCs w:val="21"/>
          <w:highlight w:val="none"/>
        </w:rPr>
      </w:pPr>
    </w:p>
    <w:p w14:paraId="57E44946">
      <w:pPr>
        <w:spacing w:line="340" w:lineRule="exact"/>
        <w:rPr>
          <w:rFonts w:ascii="宋体" w:cs="宋体"/>
          <w:color w:val="auto"/>
          <w:sz w:val="24"/>
          <w:highlight w:val="none"/>
        </w:rPr>
      </w:pPr>
    </w:p>
    <w:p w14:paraId="6D317895">
      <w:pPr>
        <w:spacing w:line="340" w:lineRule="exact"/>
        <w:rPr>
          <w:rFonts w:ascii="宋体" w:cs="宋体"/>
          <w:color w:val="auto"/>
          <w:sz w:val="24"/>
          <w:highlight w:val="none"/>
        </w:rPr>
      </w:pPr>
    </w:p>
    <w:p w14:paraId="20D0AE48">
      <w:pPr>
        <w:spacing w:line="340" w:lineRule="exact"/>
        <w:rPr>
          <w:rFonts w:ascii="宋体" w:cs="宋体"/>
          <w:color w:val="auto"/>
          <w:sz w:val="24"/>
          <w:highlight w:val="none"/>
        </w:rPr>
      </w:pPr>
    </w:p>
    <w:p w14:paraId="434C0570">
      <w:pPr>
        <w:spacing w:line="340" w:lineRule="exact"/>
        <w:rPr>
          <w:rFonts w:ascii="宋体" w:cs="宋体"/>
          <w:color w:val="auto"/>
          <w:sz w:val="24"/>
          <w:highlight w:val="none"/>
        </w:rPr>
      </w:pPr>
    </w:p>
    <w:p w14:paraId="7113BEF9">
      <w:pPr>
        <w:spacing w:line="340" w:lineRule="exact"/>
        <w:rPr>
          <w:rFonts w:ascii="宋体" w:cs="宋体"/>
          <w:color w:val="auto"/>
          <w:sz w:val="24"/>
          <w:highlight w:val="none"/>
        </w:rPr>
      </w:pPr>
    </w:p>
    <w:p w14:paraId="252F24BC">
      <w:pPr>
        <w:spacing w:line="340" w:lineRule="exact"/>
        <w:rPr>
          <w:rFonts w:ascii="宋体" w:cs="宋体"/>
          <w:color w:val="auto"/>
          <w:sz w:val="24"/>
          <w:highlight w:val="none"/>
        </w:rPr>
      </w:pPr>
    </w:p>
    <w:p w14:paraId="053BD801">
      <w:pPr>
        <w:spacing w:line="340" w:lineRule="exact"/>
        <w:rPr>
          <w:rFonts w:ascii="宋体" w:cs="宋体"/>
          <w:color w:val="auto"/>
          <w:sz w:val="24"/>
          <w:highlight w:val="none"/>
        </w:rPr>
      </w:pPr>
    </w:p>
    <w:p w14:paraId="7E04AF97">
      <w:pPr>
        <w:spacing w:line="340" w:lineRule="exact"/>
        <w:rPr>
          <w:rFonts w:ascii="宋体" w:cs="宋体"/>
          <w:color w:val="auto"/>
          <w:sz w:val="24"/>
          <w:highlight w:val="none"/>
        </w:rPr>
      </w:pPr>
    </w:p>
    <w:p w14:paraId="489FAF70">
      <w:pPr>
        <w:spacing w:line="340" w:lineRule="exact"/>
        <w:rPr>
          <w:rFonts w:ascii="宋体" w:cs="宋体"/>
          <w:color w:val="auto"/>
          <w:sz w:val="24"/>
          <w:highlight w:val="none"/>
        </w:rPr>
      </w:pPr>
    </w:p>
    <w:p w14:paraId="1BEBA08A">
      <w:pPr>
        <w:spacing w:line="340" w:lineRule="exact"/>
        <w:rPr>
          <w:rFonts w:ascii="宋体" w:cs="宋体"/>
          <w:color w:val="auto"/>
          <w:sz w:val="24"/>
          <w:highlight w:val="none"/>
        </w:rPr>
      </w:pPr>
    </w:p>
    <w:p w14:paraId="1CCC3045">
      <w:pPr>
        <w:pageBreakBefore w:val="0"/>
        <w:widowControl w:val="0"/>
        <w:kinsoku/>
        <w:wordWrap/>
        <w:overflowPunct/>
        <w:topLinePunct w:val="0"/>
        <w:autoSpaceDE/>
        <w:autoSpaceDN/>
        <w:bidi w:val="0"/>
        <w:spacing w:before="120" w:after="120" w:line="360" w:lineRule="auto"/>
        <w:outlineLvl w:val="9"/>
        <w:rPr>
          <w:rFonts w:hint="eastAsia" w:ascii="宋体" w:hAnsi="宋体" w:eastAsia="宋体" w:cs="宋体"/>
          <w:color w:val="auto"/>
          <w:sz w:val="21"/>
          <w:szCs w:val="21"/>
          <w:highlight w:val="none"/>
        </w:rPr>
      </w:pPr>
    </w:p>
    <w:p w14:paraId="68A04B0F">
      <w:pPr>
        <w:rPr>
          <w:rFonts w:hint="eastAsia" w:ascii="宋体" w:hAnsi="宋体"/>
          <w:color w:val="auto"/>
          <w:sz w:val="52"/>
          <w:highlight w:val="none"/>
          <w:u w:val="single"/>
        </w:rPr>
      </w:pPr>
      <w:r>
        <w:rPr>
          <w:rFonts w:hint="eastAsia" w:ascii="宋体" w:hAnsi="宋体"/>
          <w:b/>
          <w:bCs/>
          <w:color w:val="auto"/>
          <w:sz w:val="28"/>
          <w:highlight w:val="none"/>
        </w:rPr>
        <w:br w:type="page"/>
      </w:r>
      <w:r>
        <w:rPr>
          <w:rFonts w:hint="eastAsia" w:ascii="宋体" w:hAnsi="宋体"/>
          <w:b/>
          <w:bCs/>
          <w:color w:val="auto"/>
          <w:sz w:val="28"/>
          <w:highlight w:val="none"/>
        </w:rPr>
        <w:t>封面格式</w:t>
      </w:r>
    </w:p>
    <w:p w14:paraId="275E6656">
      <w:pPr>
        <w:jc w:val="right"/>
        <w:rPr>
          <w:rFonts w:hint="eastAsia" w:ascii="宋体" w:hAnsi="宋体"/>
          <w:b/>
          <w:color w:val="auto"/>
          <w:sz w:val="30"/>
          <w:szCs w:val="30"/>
          <w:highlight w:val="none"/>
        </w:rPr>
      </w:pPr>
      <w:r>
        <w:rPr>
          <w:rFonts w:hint="eastAsia" w:ascii="宋体" w:hAnsi="宋体"/>
          <w:b/>
          <w:color w:val="auto"/>
          <w:sz w:val="30"/>
          <w:szCs w:val="30"/>
          <w:highlight w:val="none"/>
        </w:rPr>
        <w:t>正本（副本）</w:t>
      </w:r>
    </w:p>
    <w:p w14:paraId="401AFF0F">
      <w:pPr>
        <w:jc w:val="center"/>
        <w:rPr>
          <w:rFonts w:hint="eastAsia" w:ascii="宋体" w:hAnsi="宋体"/>
          <w:color w:val="auto"/>
          <w:sz w:val="24"/>
          <w:highlight w:val="none"/>
          <w:u w:val="single"/>
        </w:rPr>
      </w:pPr>
    </w:p>
    <w:p w14:paraId="43294D03">
      <w:pPr>
        <w:jc w:val="center"/>
        <w:rPr>
          <w:rFonts w:hint="eastAsia" w:ascii="宋体" w:hAnsi="宋体"/>
          <w:color w:val="auto"/>
          <w:sz w:val="24"/>
          <w:highlight w:val="none"/>
          <w:u w:val="single"/>
        </w:rPr>
      </w:pPr>
    </w:p>
    <w:p w14:paraId="75B1C17A">
      <w:pPr>
        <w:jc w:val="center"/>
        <w:rPr>
          <w:rFonts w:ascii="宋体" w:hAnsi="宋体"/>
          <w:color w:val="auto"/>
          <w:sz w:val="52"/>
          <w:highlight w:val="none"/>
        </w:rPr>
      </w:pPr>
      <w:r>
        <w:rPr>
          <w:rFonts w:hint="eastAsia" w:ascii="宋体" w:hAnsi="宋体"/>
          <w:color w:val="auto"/>
          <w:sz w:val="52"/>
          <w:highlight w:val="none"/>
          <w:u w:val="single"/>
        </w:rPr>
        <w:t xml:space="preserve">                        </w:t>
      </w:r>
      <w:r>
        <w:rPr>
          <w:rFonts w:hint="eastAsia" w:ascii="宋体" w:hAnsi="宋体"/>
          <w:color w:val="auto"/>
          <w:sz w:val="52"/>
          <w:highlight w:val="none"/>
        </w:rPr>
        <w:t>项目</w:t>
      </w:r>
    </w:p>
    <w:p w14:paraId="2A75A025">
      <w:pPr>
        <w:rPr>
          <w:rFonts w:hint="eastAsia" w:ascii="宋体" w:hAnsi="宋体"/>
          <w:color w:val="auto"/>
          <w:sz w:val="52"/>
          <w:highlight w:val="none"/>
        </w:rPr>
      </w:pPr>
    </w:p>
    <w:p w14:paraId="5D11EBBD">
      <w:pPr>
        <w:jc w:val="center"/>
        <w:rPr>
          <w:rFonts w:hint="eastAsia" w:ascii="宋体" w:hAnsi="宋体"/>
          <w:b/>
          <w:bCs/>
          <w:color w:val="auto"/>
          <w:sz w:val="72"/>
          <w:highlight w:val="none"/>
        </w:rPr>
      </w:pPr>
      <w:r>
        <w:rPr>
          <w:rFonts w:hint="eastAsia" w:ascii="宋体" w:hAnsi="宋体"/>
          <w:b/>
          <w:bCs/>
          <w:color w:val="auto"/>
          <w:sz w:val="72"/>
          <w:highlight w:val="none"/>
        </w:rPr>
        <w:t>投标文件</w:t>
      </w:r>
    </w:p>
    <w:p w14:paraId="5B1B5FD8">
      <w:pPr>
        <w:jc w:val="center"/>
        <w:rPr>
          <w:rFonts w:hint="eastAsia" w:ascii="宋体" w:hAnsi="宋体"/>
          <w:b/>
          <w:bCs/>
          <w:color w:val="auto"/>
          <w:sz w:val="28"/>
          <w:highlight w:val="none"/>
        </w:rPr>
      </w:pPr>
      <w:r>
        <w:rPr>
          <w:rFonts w:hint="eastAsia" w:ascii="宋体" w:hAnsi="宋体"/>
          <w:b/>
          <w:bCs/>
          <w:color w:val="auto"/>
          <w:sz w:val="28"/>
          <w:highlight w:val="none"/>
        </w:rPr>
        <w:t>（采购编号）</w:t>
      </w:r>
    </w:p>
    <w:p w14:paraId="68137C23">
      <w:pPr>
        <w:jc w:val="center"/>
        <w:rPr>
          <w:rFonts w:hint="eastAsia" w:ascii="宋体" w:hAnsi="宋体"/>
          <w:b/>
          <w:bCs/>
          <w:color w:val="auto"/>
          <w:sz w:val="28"/>
          <w:highlight w:val="none"/>
        </w:rPr>
      </w:pPr>
    </w:p>
    <w:p w14:paraId="7B928ECF">
      <w:pPr>
        <w:jc w:val="center"/>
        <w:rPr>
          <w:rFonts w:hint="eastAsia" w:ascii="宋体" w:hAnsi="宋体"/>
          <w:b/>
          <w:bCs/>
          <w:color w:val="auto"/>
          <w:sz w:val="28"/>
          <w:highlight w:val="none"/>
        </w:rPr>
      </w:pPr>
    </w:p>
    <w:p w14:paraId="71697543">
      <w:pPr>
        <w:jc w:val="center"/>
        <w:rPr>
          <w:rFonts w:hint="eastAsia" w:ascii="宋体" w:hAnsi="宋体"/>
          <w:b/>
          <w:bCs/>
          <w:color w:val="auto"/>
          <w:sz w:val="28"/>
          <w:highlight w:val="none"/>
        </w:rPr>
      </w:pPr>
    </w:p>
    <w:p w14:paraId="76E6897C">
      <w:pPr>
        <w:jc w:val="center"/>
        <w:rPr>
          <w:rFonts w:hint="eastAsia" w:ascii="宋体" w:hAnsi="宋体"/>
          <w:b/>
          <w:bCs/>
          <w:color w:val="auto"/>
          <w:sz w:val="28"/>
          <w:highlight w:val="none"/>
        </w:rPr>
      </w:pPr>
    </w:p>
    <w:p w14:paraId="56C5DB2F">
      <w:pPr>
        <w:rPr>
          <w:rFonts w:hint="eastAsia" w:ascii="宋体" w:hAnsi="宋体"/>
          <w:b/>
          <w:bCs/>
          <w:color w:val="auto"/>
          <w:sz w:val="28"/>
          <w:highlight w:val="none"/>
        </w:rPr>
      </w:pPr>
    </w:p>
    <w:p w14:paraId="6F038AA2">
      <w:pPr>
        <w:jc w:val="center"/>
        <w:rPr>
          <w:rFonts w:hint="eastAsia" w:ascii="宋体" w:hAnsi="宋体"/>
          <w:b/>
          <w:bCs/>
          <w:color w:val="auto"/>
          <w:sz w:val="28"/>
          <w:highlight w:val="none"/>
        </w:rPr>
      </w:pPr>
    </w:p>
    <w:p w14:paraId="6337DA40">
      <w:pPr>
        <w:spacing w:line="900" w:lineRule="exact"/>
        <w:ind w:firstLine="320" w:firstLineChars="100"/>
        <w:rPr>
          <w:rFonts w:hint="eastAsia" w:ascii="宋体" w:hAnsi="宋体"/>
          <w:color w:val="auto"/>
          <w:sz w:val="32"/>
          <w:highlight w:val="none"/>
          <w:u w:val="single"/>
        </w:rPr>
      </w:pPr>
      <w:r>
        <w:rPr>
          <w:rFonts w:hint="eastAsia" w:ascii="宋体" w:hAnsi="宋体"/>
          <w:color w:val="auto"/>
          <w:sz w:val="32"/>
          <w:highlight w:val="none"/>
        </w:rPr>
        <w:t>投标文件内容：</w:t>
      </w:r>
      <w:r>
        <w:rPr>
          <w:rFonts w:hint="eastAsia" w:ascii="宋体" w:hAnsi="宋体"/>
          <w:color w:val="auto"/>
          <w:sz w:val="32"/>
          <w:highlight w:val="none"/>
          <w:u w:val="single"/>
        </w:rPr>
        <w:t xml:space="preserve">           （资格、商务技术或报价响应文件）                    </w:t>
      </w:r>
    </w:p>
    <w:p w14:paraId="3CD7C14D">
      <w:pPr>
        <w:spacing w:line="900" w:lineRule="exact"/>
        <w:ind w:firstLine="313" w:firstLineChars="98"/>
        <w:rPr>
          <w:rFonts w:hint="eastAsia" w:ascii="宋体" w:hAnsi="宋体"/>
          <w:color w:val="auto"/>
          <w:sz w:val="32"/>
          <w:highlight w:val="none"/>
          <w:u w:val="single"/>
        </w:rPr>
      </w:pPr>
      <w:r>
        <w:rPr>
          <w:rFonts w:hint="eastAsia" w:ascii="宋体" w:hAnsi="宋体"/>
          <w:color w:val="auto"/>
          <w:sz w:val="32"/>
          <w:highlight w:val="none"/>
        </w:rPr>
        <w:t>投   标   人：</w:t>
      </w:r>
      <w:r>
        <w:rPr>
          <w:rFonts w:hint="eastAsia" w:ascii="宋体" w:hAnsi="宋体"/>
          <w:color w:val="auto"/>
          <w:sz w:val="32"/>
          <w:highlight w:val="none"/>
          <w:u w:val="single"/>
        </w:rPr>
        <w:t xml:space="preserve">                              （电子签章）  </w:t>
      </w:r>
    </w:p>
    <w:p w14:paraId="52CC132C">
      <w:pPr>
        <w:spacing w:line="900" w:lineRule="exact"/>
        <w:ind w:left="-4" w:leftChars="-2" w:firstLine="320" w:firstLineChars="100"/>
        <w:rPr>
          <w:rFonts w:hint="eastAsia" w:ascii="宋体" w:hAnsi="宋体"/>
          <w:color w:val="auto"/>
          <w:sz w:val="32"/>
          <w:highlight w:val="none"/>
          <w:u w:val="single"/>
        </w:rPr>
      </w:pPr>
      <w:r>
        <w:rPr>
          <w:rFonts w:hint="eastAsia" w:ascii="宋体" w:hAnsi="宋体"/>
          <w:color w:val="auto"/>
          <w:sz w:val="32"/>
          <w:highlight w:val="none"/>
        </w:rPr>
        <w:t>法定代表人或其委托代理人：</w:t>
      </w:r>
      <w:r>
        <w:rPr>
          <w:rFonts w:hint="eastAsia" w:ascii="宋体" w:hAnsi="宋体"/>
          <w:color w:val="auto"/>
          <w:sz w:val="32"/>
          <w:highlight w:val="none"/>
          <w:u w:val="single"/>
        </w:rPr>
        <w:t xml:space="preserve">                （签字或盖章） </w:t>
      </w:r>
    </w:p>
    <w:p w14:paraId="2FA1C41F">
      <w:pPr>
        <w:spacing w:line="900" w:lineRule="exact"/>
        <w:ind w:firstLine="160" w:firstLineChars="50"/>
        <w:rPr>
          <w:rFonts w:hint="eastAsia" w:ascii="宋体" w:hAnsi="宋体"/>
          <w:color w:val="auto"/>
          <w:sz w:val="32"/>
          <w:highlight w:val="none"/>
        </w:rPr>
      </w:pPr>
      <w:r>
        <w:rPr>
          <w:rFonts w:hint="eastAsia" w:ascii="宋体" w:hAnsi="宋体"/>
          <w:color w:val="auto"/>
          <w:sz w:val="32"/>
          <w:highlight w:val="none"/>
        </w:rPr>
        <w:t xml:space="preserve"> 日 期：</w:t>
      </w:r>
      <w:r>
        <w:rPr>
          <w:rFonts w:hint="eastAsia" w:ascii="宋体" w:hAnsi="宋体"/>
          <w:color w:val="auto"/>
          <w:sz w:val="32"/>
          <w:highlight w:val="none"/>
          <w:u w:val="single"/>
        </w:rPr>
        <w:t xml:space="preserve">            </w:t>
      </w:r>
      <w:r>
        <w:rPr>
          <w:rFonts w:hint="eastAsia" w:ascii="宋体" w:hAnsi="宋体"/>
          <w:color w:val="auto"/>
          <w:sz w:val="32"/>
          <w:highlight w:val="none"/>
        </w:rPr>
        <w:t>年</w:t>
      </w:r>
      <w:r>
        <w:rPr>
          <w:rFonts w:hint="eastAsia" w:ascii="宋体" w:hAnsi="宋体"/>
          <w:color w:val="auto"/>
          <w:sz w:val="32"/>
          <w:highlight w:val="none"/>
          <w:u w:val="single"/>
        </w:rPr>
        <w:t xml:space="preserve">            </w:t>
      </w:r>
      <w:r>
        <w:rPr>
          <w:rFonts w:hint="eastAsia" w:ascii="宋体" w:hAnsi="宋体"/>
          <w:color w:val="auto"/>
          <w:sz w:val="32"/>
          <w:highlight w:val="none"/>
        </w:rPr>
        <w:t>月</w:t>
      </w:r>
      <w:r>
        <w:rPr>
          <w:rFonts w:hint="eastAsia" w:ascii="宋体" w:hAnsi="宋体"/>
          <w:color w:val="auto"/>
          <w:sz w:val="32"/>
          <w:highlight w:val="none"/>
          <w:u w:val="single"/>
        </w:rPr>
        <w:t xml:space="preserve">               </w:t>
      </w:r>
      <w:r>
        <w:rPr>
          <w:rFonts w:hint="eastAsia" w:ascii="宋体" w:hAnsi="宋体"/>
          <w:color w:val="auto"/>
          <w:sz w:val="32"/>
          <w:highlight w:val="none"/>
        </w:rPr>
        <w:t>日</w:t>
      </w:r>
    </w:p>
    <w:p w14:paraId="321458E9">
      <w:pPr>
        <w:spacing w:line="360" w:lineRule="auto"/>
        <w:jc w:val="center"/>
        <w:outlineLvl w:val="2"/>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法定代表人授权书（格式）</w:t>
      </w:r>
    </w:p>
    <w:p w14:paraId="68CD96F8">
      <w:pPr>
        <w:spacing w:line="480" w:lineRule="auto"/>
        <w:jc w:val="center"/>
        <w:rPr>
          <w:rFonts w:hint="eastAsia" w:ascii="宋体" w:hAnsi="宋体" w:cs="宋体"/>
          <w:b/>
          <w:color w:val="auto"/>
          <w:sz w:val="48"/>
          <w:highlight w:val="none"/>
        </w:rPr>
      </w:pPr>
    </w:p>
    <w:p w14:paraId="01539799">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3ACD5CF0">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14:paraId="2EDC1CE1">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采购人名称）                </w:t>
      </w:r>
    </w:p>
    <w:p w14:paraId="671E9794">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招标代理机构名称）         </w:t>
      </w:r>
      <w:r>
        <w:rPr>
          <w:rFonts w:hint="eastAsia" w:ascii="宋体" w:hAnsi="宋体" w:cs="宋体"/>
          <w:color w:val="auto"/>
          <w:sz w:val="24"/>
          <w:highlight w:val="none"/>
        </w:rPr>
        <w:t xml:space="preserve">    </w:t>
      </w:r>
    </w:p>
    <w:p w14:paraId="72B7093F">
      <w:pPr>
        <w:spacing w:line="360" w:lineRule="auto"/>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rPr>
        <w:t>注册于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（注册地址）的</w:t>
      </w:r>
      <w:r>
        <w:rPr>
          <w:rFonts w:hint="eastAsia" w:ascii="宋体" w:hAnsi="宋体" w:cs="宋体"/>
          <w:color w:val="auto"/>
          <w:sz w:val="24"/>
          <w:highlight w:val="none"/>
          <w:u w:val="single"/>
        </w:rPr>
        <w:t xml:space="preserve">                                         </w:t>
      </w:r>
    </w:p>
    <w:p w14:paraId="1555A611">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（投标人名称），系中华人民共和国合法企业；本人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授权人姓名）  系该公司的法定代表人（或负责人）。现特授权本单位的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（被授权人姓名）（</w:t>
      </w:r>
      <w:r>
        <w:rPr>
          <w:rFonts w:hint="eastAsia" w:ascii="宋体" w:hAnsi="宋体" w:cs="宋体"/>
          <w:color w:val="auto"/>
          <w:sz w:val="24"/>
          <w:highlight w:val="none"/>
          <w:u w:val="single"/>
        </w:rPr>
        <w:t>身份证号码：         ）</w:t>
      </w:r>
      <w:r>
        <w:rPr>
          <w:rFonts w:hint="eastAsia" w:ascii="宋体" w:hAnsi="宋体" w:cs="宋体"/>
          <w:color w:val="auto"/>
          <w:sz w:val="24"/>
          <w:highlight w:val="none"/>
        </w:rPr>
        <w:t>为我公司合法代理人，全权代表我公司办理就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项目的投标、开标、签约等具体工作，并签署全部有关的文件、协议及合同。</w:t>
      </w:r>
    </w:p>
    <w:p w14:paraId="740383C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我公司对被授权人的签名负全部责任。</w:t>
      </w:r>
    </w:p>
    <w:p w14:paraId="0A40165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在撤销授权的书面通知以前，本授权书一直有效。被授权人签署的所有文件（在授权书有效期内签署的）不因授权的撤销而失效。被授权人无转委托。特此声明。</w:t>
      </w:r>
    </w:p>
    <w:p w14:paraId="4D142DC9">
      <w:pPr>
        <w:spacing w:line="360" w:lineRule="auto"/>
        <w:rPr>
          <w:rFonts w:hint="eastAsia" w:ascii="宋体" w:hAnsi="宋体" w:cs="宋体"/>
          <w:color w:val="auto"/>
          <w:sz w:val="24"/>
          <w:highlight w:val="none"/>
        </w:rPr>
      </w:pPr>
      <w:r>
        <w:rPr>
          <w:rFonts w:hint="eastAsia" w:ascii="宋体" w:hAnsi="宋体" w:cs="宋体"/>
          <w:color w:val="auto"/>
          <w:sz w:val="24"/>
          <w:highlight w:val="none"/>
        </w:rPr>
        <w:t>被授权人身份证复印件：</w:t>
      </w:r>
    </w:p>
    <w:p w14:paraId="0D80E8FF">
      <w:pPr>
        <w:spacing w:line="360" w:lineRule="auto"/>
        <w:rPr>
          <w:rFonts w:hint="eastAsia" w:ascii="宋体" w:hAnsi="宋体" w:cs="宋体"/>
          <w:color w:val="auto"/>
          <w:sz w:val="24"/>
          <w:highlight w:val="none"/>
        </w:rPr>
      </w:pPr>
    </w:p>
    <w:p w14:paraId="44BD0163">
      <w:pPr>
        <w:spacing w:line="360" w:lineRule="auto"/>
        <w:rPr>
          <w:rFonts w:hint="eastAsia" w:ascii="宋体" w:hAnsi="宋体" w:cs="宋体"/>
          <w:color w:val="auto"/>
          <w:sz w:val="24"/>
          <w:highlight w:val="none"/>
        </w:rPr>
      </w:pPr>
    </w:p>
    <w:p w14:paraId="587D9095">
      <w:pPr>
        <w:spacing w:line="360" w:lineRule="auto"/>
        <w:rPr>
          <w:rFonts w:hint="eastAsia" w:ascii="宋体" w:hAnsi="宋体" w:cs="宋体"/>
          <w:color w:val="auto"/>
          <w:sz w:val="24"/>
          <w:highlight w:val="none"/>
        </w:rPr>
      </w:pPr>
    </w:p>
    <w:p w14:paraId="40DB9DF3">
      <w:pPr>
        <w:spacing w:line="800" w:lineRule="exact"/>
        <w:rPr>
          <w:rFonts w:hint="eastAsia" w:ascii="宋体" w:hAnsi="宋体" w:cs="宋体"/>
          <w:color w:val="auto"/>
          <w:sz w:val="24"/>
          <w:highlight w:val="none"/>
        </w:rPr>
      </w:pPr>
      <w:r>
        <w:rPr>
          <w:rFonts w:hint="eastAsia" w:ascii="宋体" w:hAnsi="宋体" w:cs="宋体"/>
          <w:color w:val="auto"/>
          <w:sz w:val="24"/>
          <w:highlight w:val="none"/>
        </w:rPr>
        <w:t>投标人（盖</w:t>
      </w:r>
      <w:r>
        <w:rPr>
          <w:rFonts w:hint="eastAsia" w:ascii="宋体" w:hAnsi="宋体" w:cs="宋体"/>
          <w:color w:val="auto"/>
          <w:sz w:val="24"/>
          <w:highlight w:val="none"/>
          <w:lang w:val="en-US" w:eastAsia="zh-CN"/>
        </w:rPr>
        <w:t>电子签章</w:t>
      </w:r>
      <w:r>
        <w:rPr>
          <w:rFonts w:hint="eastAsia" w:ascii="宋体" w:hAnsi="宋体" w:cs="宋体"/>
          <w:color w:val="auto"/>
          <w:sz w:val="24"/>
          <w:highlight w:val="none"/>
        </w:rPr>
        <w:t>）：</w:t>
      </w:r>
    </w:p>
    <w:p w14:paraId="259631F1">
      <w:pPr>
        <w:spacing w:line="800" w:lineRule="exact"/>
        <w:rPr>
          <w:rFonts w:hint="eastAsia" w:ascii="宋体" w:hAnsi="宋体" w:cs="宋体"/>
          <w:color w:val="auto"/>
          <w:sz w:val="24"/>
          <w:highlight w:val="none"/>
          <w:u w:val="single"/>
        </w:rPr>
      </w:pPr>
      <w:r>
        <w:rPr>
          <w:rFonts w:hint="eastAsia" w:ascii="宋体" w:hAnsi="宋体" w:cs="宋体"/>
          <w:color w:val="auto"/>
          <w:sz w:val="24"/>
          <w:highlight w:val="none"/>
        </w:rPr>
        <w:t>授权人签名：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职        务：</w:t>
      </w:r>
      <w:r>
        <w:rPr>
          <w:rFonts w:hint="eastAsia" w:ascii="宋体" w:hAnsi="宋体" w:cs="宋体"/>
          <w:color w:val="auto"/>
          <w:sz w:val="24"/>
          <w:highlight w:val="none"/>
          <w:u w:val="single"/>
        </w:rPr>
        <w:t xml:space="preserve">                </w:t>
      </w:r>
    </w:p>
    <w:p w14:paraId="7FDFFF34">
      <w:pPr>
        <w:spacing w:line="800" w:lineRule="exact"/>
        <w:rPr>
          <w:rFonts w:hint="eastAsia" w:ascii="宋体" w:hAnsi="宋体" w:cs="宋体"/>
          <w:color w:val="auto"/>
          <w:sz w:val="24"/>
          <w:highlight w:val="none"/>
        </w:rPr>
      </w:pPr>
      <w:r>
        <w:rPr>
          <w:rFonts w:hint="eastAsia" w:ascii="宋体" w:hAnsi="宋体" w:cs="宋体"/>
          <w:color w:val="auto"/>
          <w:sz w:val="24"/>
          <w:highlight w:val="none"/>
        </w:rPr>
        <w:t>被授权人签名：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36482574">
      <w:pPr>
        <w:spacing w:line="360" w:lineRule="auto"/>
        <w:rPr>
          <w:rFonts w:hint="eastAsia" w:ascii="宋体" w:hAnsi="宋体" w:cs="宋体"/>
          <w:color w:val="auto"/>
          <w:sz w:val="24"/>
          <w:highlight w:val="none"/>
        </w:rPr>
      </w:pPr>
    </w:p>
    <w:p w14:paraId="0383E978">
      <w:pPr>
        <w:spacing w:line="360" w:lineRule="auto"/>
        <w:rPr>
          <w:rFonts w:hint="eastAsia" w:ascii="宋体" w:hAnsi="宋体" w:cs="宋体"/>
          <w:color w:val="auto"/>
          <w:sz w:val="24"/>
          <w:highlight w:val="none"/>
        </w:rPr>
      </w:pPr>
      <w:r>
        <w:rPr>
          <w:rFonts w:hint="eastAsia" w:ascii="宋体" w:hAnsi="宋体" w:cs="宋体"/>
          <w:color w:val="auto"/>
          <w:sz w:val="24"/>
          <w:highlight w:val="none"/>
        </w:rPr>
        <w:t>注：该表格适用于非法定代表人作为</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代表参加投标的。</w:t>
      </w:r>
    </w:p>
    <w:p w14:paraId="13F2C37A">
      <w:pPr>
        <w:jc w:val="center"/>
        <w:rPr>
          <w:rFonts w:hint="eastAsia" w:ascii="宋体" w:hAnsi="宋体" w:cs="宋体"/>
          <w:b/>
          <w:bCs/>
          <w:color w:val="auto"/>
          <w:sz w:val="36"/>
          <w:highlight w:val="none"/>
        </w:rPr>
      </w:pPr>
    </w:p>
    <w:p w14:paraId="14B26EC2">
      <w:pPr>
        <w:spacing w:line="360" w:lineRule="auto"/>
        <w:jc w:val="center"/>
        <w:outlineLvl w:val="2"/>
        <w:rPr>
          <w:rFonts w:hint="eastAsia" w:ascii="宋体" w:hAnsi="宋体" w:eastAsia="宋体" w:cs="宋体"/>
          <w:b/>
          <w:color w:val="auto"/>
          <w:sz w:val="32"/>
          <w:szCs w:val="32"/>
          <w:highlight w:val="none"/>
        </w:rPr>
      </w:pPr>
      <w:r>
        <w:rPr>
          <w:rFonts w:hint="eastAsia" w:ascii="宋体" w:hAnsi="宋体" w:cs="宋体"/>
          <w:b/>
          <w:bCs/>
          <w:color w:val="auto"/>
          <w:sz w:val="36"/>
          <w:szCs w:val="36"/>
          <w:highlight w:val="none"/>
        </w:rPr>
        <w:br w:type="page"/>
      </w:r>
      <w:r>
        <w:rPr>
          <w:rFonts w:hint="eastAsia" w:ascii="宋体" w:hAnsi="宋体" w:eastAsia="宋体" w:cs="宋体"/>
          <w:b/>
          <w:color w:val="auto"/>
          <w:sz w:val="32"/>
          <w:szCs w:val="32"/>
          <w:highlight w:val="none"/>
        </w:rPr>
        <w:t>义乌市国企采购项目投标承诺书</w:t>
      </w:r>
    </w:p>
    <w:p w14:paraId="2D58B45B">
      <w:pPr>
        <w:pStyle w:val="18"/>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我单位已认真阅读了本项目的招标公告、招标文件、技术要求、图纸、招标补充（答疑）文件及相关资料，对其全部内容和要求有实质性了解，并对这些内容表示理解且无任何异议，接受其全部内容及要求，承诺本单位的投标文件已经完全响应并符合其全部条件和要求，愿意参加投标并愿意中标；</w:t>
      </w:r>
    </w:p>
    <w:p w14:paraId="67F1D951">
      <w:pPr>
        <w:pStyle w:val="18"/>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2.自愿接受义乌市</w:t>
      </w:r>
      <w:r>
        <w:rPr>
          <w:rFonts w:hint="eastAsia" w:hAnsi="宋体" w:cs="宋体"/>
          <w:color w:val="auto"/>
          <w:sz w:val="24"/>
          <w:szCs w:val="24"/>
          <w:highlight w:val="none"/>
          <w:lang w:val="en-US" w:eastAsia="zh-CN"/>
        </w:rPr>
        <w:t>国资办</w:t>
      </w:r>
      <w:r>
        <w:rPr>
          <w:rFonts w:hint="eastAsia" w:hAnsi="宋体" w:cs="宋体"/>
          <w:color w:val="auto"/>
          <w:sz w:val="24"/>
          <w:szCs w:val="24"/>
          <w:highlight w:val="none"/>
        </w:rPr>
        <w:t>（以下简称市</w:t>
      </w:r>
      <w:r>
        <w:rPr>
          <w:rFonts w:hint="eastAsia" w:hAnsi="宋体" w:cs="宋体"/>
          <w:color w:val="auto"/>
          <w:sz w:val="24"/>
          <w:szCs w:val="24"/>
          <w:highlight w:val="none"/>
          <w:lang w:val="en-US" w:eastAsia="zh-CN"/>
        </w:rPr>
        <w:t>国资办</w:t>
      </w:r>
      <w:r>
        <w:rPr>
          <w:rFonts w:hint="eastAsia" w:hAnsi="宋体" w:cs="宋体"/>
          <w:color w:val="auto"/>
          <w:sz w:val="24"/>
          <w:szCs w:val="24"/>
          <w:highlight w:val="none"/>
        </w:rPr>
        <w:t>）的管理，并严格遵守市</w:t>
      </w:r>
      <w:r>
        <w:rPr>
          <w:rFonts w:hint="eastAsia" w:hAnsi="宋体" w:cs="宋体"/>
          <w:color w:val="auto"/>
          <w:sz w:val="24"/>
          <w:szCs w:val="24"/>
          <w:highlight w:val="none"/>
          <w:lang w:val="en-US" w:eastAsia="zh-CN"/>
        </w:rPr>
        <w:t>国资办</w:t>
      </w:r>
      <w:r>
        <w:rPr>
          <w:rFonts w:hint="eastAsia" w:hAnsi="宋体" w:cs="宋体"/>
          <w:color w:val="auto"/>
          <w:sz w:val="24"/>
          <w:szCs w:val="24"/>
          <w:highlight w:val="none"/>
        </w:rPr>
        <w:t>制定的招投标管理制度、规范和纪律。</w:t>
      </w:r>
    </w:p>
    <w:p w14:paraId="63394AD8">
      <w:pPr>
        <w:pStyle w:val="18"/>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单位承诺参与本次投标的资格符合《义乌市国有企业采购管理办法（试行）》的规定，并承诺近三年内，在经营活动中没有重大违法记录，承诺财务状况良好，并已依法按时缴纳税收和社会保障资金。我单位承诺具备履行本项目合同所必需的设备和专业技术能力。</w:t>
      </w:r>
    </w:p>
    <w:p w14:paraId="06C10C46">
      <w:pPr>
        <w:pStyle w:val="18"/>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4.积极主动配合市</w:t>
      </w:r>
      <w:r>
        <w:rPr>
          <w:rFonts w:hint="eastAsia" w:hAnsi="宋体" w:cs="宋体"/>
          <w:color w:val="auto"/>
          <w:sz w:val="24"/>
          <w:szCs w:val="24"/>
          <w:highlight w:val="none"/>
          <w:lang w:val="en-US" w:eastAsia="zh-CN"/>
        </w:rPr>
        <w:t>国资办</w:t>
      </w:r>
      <w:r>
        <w:rPr>
          <w:rFonts w:hint="eastAsia" w:hAnsi="宋体" w:cs="宋体"/>
          <w:color w:val="auto"/>
          <w:sz w:val="24"/>
          <w:szCs w:val="24"/>
          <w:highlight w:val="none"/>
        </w:rPr>
        <w:t>的调查。及时、如实、全面地回答市</w:t>
      </w:r>
      <w:r>
        <w:rPr>
          <w:rFonts w:hint="eastAsia" w:hAnsi="宋体" w:cs="宋体"/>
          <w:color w:val="auto"/>
          <w:sz w:val="24"/>
          <w:szCs w:val="24"/>
          <w:highlight w:val="none"/>
          <w:lang w:val="en-US" w:eastAsia="zh-CN"/>
        </w:rPr>
        <w:t>国资办</w:t>
      </w:r>
      <w:r>
        <w:rPr>
          <w:rFonts w:hint="eastAsia" w:hAnsi="宋体" w:cs="宋体"/>
          <w:color w:val="auto"/>
          <w:sz w:val="24"/>
          <w:szCs w:val="24"/>
          <w:highlight w:val="none"/>
        </w:rPr>
        <w:t>提出的问题，并在调查笔录中签字确认。如拒绝签字确认的，则视为我单位及有关工作人员认可调查笔录中的全部内容，并对最终的调查结果无任何异议，且自愿放弃一切救济途径。</w:t>
      </w:r>
    </w:p>
    <w:p w14:paraId="29CA762F">
      <w:pPr>
        <w:pStyle w:val="18"/>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5.不转让、出借、涂改、伪造资质（资格）证书或者以其他方式允许其他单位（个人）以我单位（本人）名义承接业务。</w:t>
      </w:r>
    </w:p>
    <w:p w14:paraId="641E49D3">
      <w:pPr>
        <w:pStyle w:val="18"/>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6.不与采购人或者其他投标人相互串通投标，围标，不以行贿等不正当手段谋取中标。</w:t>
      </w:r>
    </w:p>
    <w:p w14:paraId="4E2B17FE">
      <w:pPr>
        <w:pStyle w:val="18"/>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7.在招标、投标、报名、开标、评标、询标、中标、签订合同、合同备案等招投标全过程中提供的资料均真实、有效，不弄虚作假。</w:t>
      </w:r>
    </w:p>
    <w:p w14:paraId="27D68AE2">
      <w:pPr>
        <w:pStyle w:val="18"/>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8.我方已详细审核全部招标文件，包括修改文件</w:t>
      </w:r>
      <w:r>
        <w:rPr>
          <w:rFonts w:hint="eastAsia" w:hAnsi="宋体" w:cs="宋体"/>
          <w:color w:val="auto"/>
          <w:sz w:val="24"/>
          <w:szCs w:val="24"/>
          <w:highlight w:val="none"/>
          <w:lang w:eastAsia="zh-CN"/>
        </w:rPr>
        <w:t>（</w:t>
      </w:r>
      <w:r>
        <w:rPr>
          <w:rFonts w:hint="eastAsia" w:hAnsi="宋体" w:cs="宋体"/>
          <w:color w:val="auto"/>
          <w:sz w:val="24"/>
          <w:szCs w:val="24"/>
          <w:highlight w:val="none"/>
        </w:rPr>
        <w:t>如果有的话</w:t>
      </w:r>
      <w:r>
        <w:rPr>
          <w:rFonts w:hint="eastAsia" w:hAnsi="宋体" w:cs="宋体"/>
          <w:color w:val="auto"/>
          <w:sz w:val="24"/>
          <w:szCs w:val="24"/>
          <w:highlight w:val="none"/>
          <w:lang w:eastAsia="zh-CN"/>
        </w:rPr>
        <w:t>）</w:t>
      </w:r>
      <w:r>
        <w:rPr>
          <w:rFonts w:hint="eastAsia" w:hAnsi="宋体" w:cs="宋体"/>
          <w:color w:val="auto"/>
          <w:sz w:val="24"/>
          <w:szCs w:val="24"/>
          <w:highlight w:val="none"/>
        </w:rPr>
        <w:t>，及有关附件，我方同意放弃提出含糊不清或误解的权力。 </w:t>
      </w:r>
    </w:p>
    <w:p w14:paraId="4959CDEB">
      <w:pPr>
        <w:pStyle w:val="18"/>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9.投标文件中未明确的内容按招标文件执行。</w:t>
      </w:r>
    </w:p>
    <w:p w14:paraId="4930A586">
      <w:pPr>
        <w:pStyle w:val="18"/>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10.我方同意所递交的投标文件在招标期内有效，在此期间内我方有可能中标，我方将受此约束。</w:t>
      </w:r>
    </w:p>
    <w:p w14:paraId="335E0B8C">
      <w:pPr>
        <w:pStyle w:val="18"/>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11.我方相信贵方的招标结果是公正、合法的，无论我方中标还是落标，我方将接受这一结果。 </w:t>
      </w:r>
    </w:p>
    <w:p w14:paraId="5ED1275B">
      <w:pPr>
        <w:pStyle w:val="18"/>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12.一旦我方中标，我方将严格依照招标文件中的相关规定与招标方签订合同。</w:t>
      </w:r>
    </w:p>
    <w:p w14:paraId="6A8AF1AD">
      <w:pPr>
        <w:pStyle w:val="18"/>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13.不低于企业成本价投标，不恶意过高报价，不扰乱招投标的正常秩序。</w:t>
      </w:r>
    </w:p>
    <w:p w14:paraId="3FF79D17">
      <w:pPr>
        <w:pStyle w:val="18"/>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14.按照法律法规和本项目招标文件规定的程序和方式进行异议和投诉，不越级投诉，不无理投诉。如捏造事实、伪造材料或者以非法手段取得证明材料进行投诉，给他人造成损失的，依法承担赔偿责任。</w:t>
      </w:r>
    </w:p>
    <w:p w14:paraId="6E84A9C5">
      <w:pPr>
        <w:pStyle w:val="18"/>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上述承诺事项已认真逐项核对，均</w:t>
      </w:r>
      <w:r>
        <w:rPr>
          <w:rFonts w:hint="eastAsia" w:hAnsi="宋体" w:cs="宋体"/>
          <w:color w:val="auto"/>
          <w:sz w:val="24"/>
          <w:szCs w:val="24"/>
          <w:highlight w:val="none"/>
          <w:lang w:val="en-US" w:eastAsia="zh-CN"/>
        </w:rPr>
        <w:t>代表</w:t>
      </w:r>
      <w:r>
        <w:rPr>
          <w:rFonts w:hint="eastAsia" w:hAnsi="宋体" w:cs="宋体"/>
          <w:color w:val="auto"/>
          <w:sz w:val="24"/>
          <w:szCs w:val="24"/>
          <w:highlight w:val="none"/>
        </w:rPr>
        <w:t>我单位真实意见，愿承担任何责任。若有任何弄虚作假内容或未遵守上述约定的，经查实后，愿意放弃投标及中标资格。如我单位违反上述承诺事项，无条件接受市</w:t>
      </w:r>
      <w:r>
        <w:rPr>
          <w:rFonts w:hint="eastAsia" w:hAnsi="宋体" w:cs="宋体"/>
          <w:color w:val="auto"/>
          <w:sz w:val="24"/>
          <w:szCs w:val="24"/>
          <w:highlight w:val="none"/>
          <w:lang w:val="en-US" w:eastAsia="zh-CN"/>
        </w:rPr>
        <w:t>国资办</w:t>
      </w:r>
      <w:r>
        <w:rPr>
          <w:rFonts w:hint="eastAsia" w:hAnsi="宋体" w:cs="宋体"/>
          <w:color w:val="auto"/>
          <w:sz w:val="24"/>
          <w:szCs w:val="24"/>
          <w:highlight w:val="none"/>
        </w:rPr>
        <w:t>或相关监管部门作出的任何管理和处理决定，并自愿承担一切不利的后果。</w:t>
      </w:r>
    </w:p>
    <w:p w14:paraId="246ECB77">
      <w:pPr>
        <w:rPr>
          <w:rFonts w:hint="eastAsia"/>
          <w:color w:val="auto"/>
          <w:sz w:val="24"/>
          <w:szCs w:val="24"/>
          <w:highlight w:val="none"/>
        </w:rPr>
      </w:pPr>
    </w:p>
    <w:p w14:paraId="49812F3C">
      <w:pPr>
        <w:pStyle w:val="18"/>
        <w:spacing w:line="380" w:lineRule="exact"/>
        <w:rPr>
          <w:rFonts w:hint="eastAsia" w:hAnsi="宋体" w:cs="宋体"/>
          <w:color w:val="auto"/>
          <w:sz w:val="24"/>
          <w:szCs w:val="24"/>
          <w:highlight w:val="none"/>
        </w:rPr>
      </w:pPr>
      <w:r>
        <w:rPr>
          <w:rFonts w:hint="eastAsia" w:hAnsi="宋体" w:cs="宋体"/>
          <w:color w:val="auto"/>
          <w:sz w:val="24"/>
          <w:szCs w:val="24"/>
          <w:highlight w:val="none"/>
        </w:rPr>
        <w:t>投标人（电子签章）：法定代表人或其授权的委托代理人（签字或盖章）：   年   月   日</w:t>
      </w:r>
    </w:p>
    <w:p w14:paraId="763ECE7A">
      <w:pPr>
        <w:rPr>
          <w:rFonts w:hint="eastAsia" w:ascii="宋体" w:hAnsi="宋体" w:cs="宋体"/>
          <w:b/>
          <w:color w:val="auto"/>
          <w:sz w:val="36"/>
          <w:szCs w:val="36"/>
          <w:highlight w:val="none"/>
        </w:rPr>
      </w:pPr>
      <w:r>
        <w:rPr>
          <w:rFonts w:hint="eastAsia" w:ascii="宋体" w:hAnsi="宋体" w:cs="宋体"/>
          <w:b/>
          <w:color w:val="auto"/>
          <w:sz w:val="36"/>
          <w:szCs w:val="36"/>
          <w:highlight w:val="none"/>
        </w:rPr>
        <w:br w:type="page"/>
      </w:r>
    </w:p>
    <w:p w14:paraId="1D57573B">
      <w:pPr>
        <w:spacing w:line="360" w:lineRule="auto"/>
        <w:jc w:val="center"/>
        <w:rPr>
          <w:rFonts w:hint="eastAsia"/>
          <w:b/>
          <w:bCs/>
          <w:color w:val="auto"/>
          <w:sz w:val="36"/>
          <w:highlight w:val="none"/>
        </w:rPr>
      </w:pPr>
      <w:r>
        <w:rPr>
          <w:rFonts w:hint="eastAsia"/>
          <w:b/>
          <w:bCs/>
          <w:color w:val="auto"/>
          <w:sz w:val="36"/>
          <w:highlight w:val="none"/>
        </w:rPr>
        <w:t>服务方案（含菜</w:t>
      </w:r>
      <w:r>
        <w:rPr>
          <w:rFonts w:hint="eastAsia"/>
          <w:b/>
          <w:bCs/>
          <w:color w:val="auto"/>
          <w:sz w:val="36"/>
          <w:highlight w:val="none"/>
          <w:lang w:val="en-US" w:eastAsia="zh-CN"/>
        </w:rPr>
        <w:t>单</w:t>
      </w:r>
      <w:r>
        <w:rPr>
          <w:rFonts w:hint="eastAsia"/>
          <w:b/>
          <w:bCs/>
          <w:color w:val="auto"/>
          <w:sz w:val="36"/>
          <w:highlight w:val="none"/>
        </w:rPr>
        <w:t>设计、菜单更新计划等）</w:t>
      </w:r>
    </w:p>
    <w:p w14:paraId="38E7EBB1">
      <w:pPr>
        <w:tabs>
          <w:tab w:val="left" w:pos="360"/>
        </w:tabs>
        <w:spacing w:line="360" w:lineRule="auto"/>
        <w:ind w:left="357" w:hanging="357"/>
        <w:jc w:val="center"/>
        <w:rPr>
          <w:rFonts w:hint="eastAsia"/>
          <w:b/>
          <w:bCs/>
          <w:color w:val="auto"/>
          <w:sz w:val="36"/>
          <w:highlight w:val="none"/>
        </w:rPr>
      </w:pPr>
    </w:p>
    <w:p w14:paraId="49004BC3">
      <w:pPr>
        <w:pStyle w:val="18"/>
        <w:spacing w:line="420" w:lineRule="exact"/>
        <w:rPr>
          <w:rFonts w:hint="eastAsia" w:cs="宋体"/>
          <w:color w:val="auto"/>
          <w:highlight w:val="none"/>
          <w:lang w:bidi="ar-SA"/>
        </w:rPr>
      </w:pPr>
      <w:r>
        <w:rPr>
          <w:rFonts w:hint="eastAsia" w:cs="宋体"/>
          <w:color w:val="auto"/>
          <w:highlight w:val="none"/>
          <w:lang w:bidi="ar-SA"/>
        </w:rPr>
        <w:t>致：</w:t>
      </w:r>
      <w:r>
        <w:rPr>
          <w:rFonts w:hint="eastAsia" w:cs="宋体"/>
          <w:b/>
          <w:color w:val="auto"/>
          <w:highlight w:val="none"/>
          <w:u w:val="single"/>
          <w:lang w:eastAsia="zh-CN" w:bidi="ar-SA"/>
        </w:rPr>
        <w:t>浙江中国小商品城集团股份有限公司银都雅悦酒店</w:t>
      </w:r>
      <w:r>
        <w:rPr>
          <w:rFonts w:hint="eastAsia" w:cs="宋体"/>
          <w:b/>
          <w:color w:val="auto"/>
          <w:highlight w:val="none"/>
          <w:u w:val="single"/>
          <w:lang w:bidi="ar-SA"/>
        </w:rPr>
        <w:t xml:space="preserve">           </w:t>
      </w:r>
    </w:p>
    <w:p w14:paraId="73F6998F">
      <w:pPr>
        <w:pStyle w:val="18"/>
        <w:spacing w:line="420" w:lineRule="exact"/>
        <w:ind w:firstLine="413" w:firstLineChars="196"/>
        <w:rPr>
          <w:rFonts w:hint="eastAsia" w:cs="宋体"/>
          <w:b/>
          <w:color w:val="auto"/>
          <w:highlight w:val="none"/>
          <w:u w:val="single"/>
          <w:lang w:bidi="ar-SA"/>
        </w:rPr>
      </w:pPr>
      <w:r>
        <w:rPr>
          <w:rFonts w:hint="eastAsia" w:cs="宋体"/>
          <w:b/>
          <w:color w:val="auto"/>
          <w:highlight w:val="none"/>
          <w:u w:val="single"/>
          <w:lang w:eastAsia="zh-CN" w:bidi="ar-SA"/>
        </w:rPr>
        <w:t>金华义产拍卖有限公司</w:t>
      </w:r>
      <w:r>
        <w:rPr>
          <w:rFonts w:hint="eastAsia" w:cs="宋体"/>
          <w:b/>
          <w:color w:val="auto"/>
          <w:highlight w:val="none"/>
          <w:u w:val="single"/>
          <w:lang w:bidi="ar-SA"/>
        </w:rPr>
        <w:t xml:space="preserve">    </w:t>
      </w:r>
    </w:p>
    <w:p w14:paraId="583A727C">
      <w:pPr>
        <w:tabs>
          <w:tab w:val="left" w:pos="360"/>
        </w:tabs>
        <w:spacing w:line="460" w:lineRule="exact"/>
        <w:ind w:left="359" w:leftChars="171" w:firstLine="105" w:firstLineChars="50"/>
        <w:rPr>
          <w:rFonts w:hint="eastAsia" w:ascii="宋体" w:cs="宋体"/>
          <w:color w:val="auto"/>
          <w:szCs w:val="21"/>
          <w:highlight w:val="none"/>
          <w:lang w:bidi="ar-SA"/>
        </w:rPr>
      </w:pPr>
      <w:r>
        <w:rPr>
          <w:rFonts w:hint="eastAsia" w:ascii="宋体" w:cs="宋体"/>
          <w:color w:val="auto"/>
          <w:szCs w:val="21"/>
          <w:highlight w:val="none"/>
          <w:lang w:bidi="ar-SA"/>
        </w:rPr>
        <w:t>根据已收到的</w:t>
      </w:r>
      <w:r>
        <w:rPr>
          <w:rFonts w:hint="eastAsia" w:ascii="宋体" w:cs="宋体"/>
          <w:color w:val="auto"/>
          <w:szCs w:val="21"/>
          <w:highlight w:val="none"/>
          <w:u w:val="single"/>
          <w:lang w:bidi="ar-SA"/>
        </w:rPr>
        <w:t xml:space="preserve">                                    </w:t>
      </w:r>
      <w:r>
        <w:rPr>
          <w:rFonts w:hint="eastAsia" w:ascii="宋体" w:cs="宋体"/>
          <w:color w:val="auto"/>
          <w:szCs w:val="21"/>
          <w:highlight w:val="none"/>
          <w:lang w:bidi="ar-SA"/>
        </w:rPr>
        <w:t>项目招标文件（编号</w:t>
      </w:r>
    </w:p>
    <w:p w14:paraId="2D01EC42">
      <w:pPr>
        <w:tabs>
          <w:tab w:val="left" w:pos="360"/>
        </w:tabs>
        <w:spacing w:line="460" w:lineRule="exact"/>
        <w:rPr>
          <w:rFonts w:hint="eastAsia" w:ascii="宋体" w:cs="宋体"/>
          <w:color w:val="auto"/>
          <w:szCs w:val="21"/>
          <w:highlight w:val="none"/>
          <w:lang w:bidi="ar-SA"/>
        </w:rPr>
      </w:pPr>
      <w:r>
        <w:rPr>
          <w:rFonts w:hint="eastAsia" w:ascii="宋体" w:cs="宋体"/>
          <w:color w:val="auto"/>
          <w:szCs w:val="21"/>
          <w:highlight w:val="none"/>
          <w:lang w:bidi="ar-SA"/>
        </w:rPr>
        <w:t>为：</w:t>
      </w:r>
      <w:r>
        <w:rPr>
          <w:rFonts w:hint="eastAsia" w:ascii="宋体" w:cs="宋体"/>
          <w:color w:val="auto"/>
          <w:szCs w:val="21"/>
          <w:highlight w:val="none"/>
          <w:u w:val="single"/>
          <w:lang w:bidi="ar-SA"/>
        </w:rPr>
        <w:t xml:space="preserve">                ）</w:t>
      </w:r>
      <w:r>
        <w:rPr>
          <w:rFonts w:hint="eastAsia" w:ascii="宋体" w:cs="宋体"/>
          <w:color w:val="auto"/>
          <w:szCs w:val="21"/>
          <w:highlight w:val="none"/>
          <w:lang w:bidi="ar-SA"/>
        </w:rPr>
        <w:t>，我单位经考察现场和</w:t>
      </w:r>
      <w:r>
        <w:rPr>
          <w:rFonts w:hint="eastAsia" w:ascii="宋体" w:cs="宋体"/>
          <w:bCs/>
          <w:color w:val="auto"/>
          <w:szCs w:val="21"/>
          <w:highlight w:val="none"/>
          <w:lang w:bidi="ar-SA"/>
        </w:rPr>
        <w:t>认真阅读</w:t>
      </w:r>
      <w:r>
        <w:rPr>
          <w:rFonts w:hint="eastAsia" w:ascii="宋体" w:cs="宋体"/>
          <w:color w:val="auto"/>
          <w:szCs w:val="21"/>
          <w:highlight w:val="none"/>
          <w:lang w:bidi="ar-SA"/>
        </w:rPr>
        <w:t>了招标文件的</w:t>
      </w:r>
      <w:r>
        <w:rPr>
          <w:rFonts w:hint="eastAsia" w:ascii="宋体" w:cs="宋体"/>
          <w:bCs/>
          <w:color w:val="auto"/>
          <w:szCs w:val="21"/>
          <w:highlight w:val="none"/>
          <w:lang w:bidi="ar-SA"/>
        </w:rPr>
        <w:t>投标须知、项目要求、报价要求、合同条件、规定格式等招标文件所有的内容</w:t>
      </w:r>
      <w:r>
        <w:rPr>
          <w:rFonts w:hint="eastAsia" w:ascii="宋体" w:cs="宋体"/>
          <w:color w:val="auto"/>
          <w:szCs w:val="21"/>
          <w:highlight w:val="none"/>
          <w:lang w:bidi="ar-SA"/>
        </w:rPr>
        <w:t>，根据国家有关规定并结合本企业的实际情况，决定完全接受招标文件所提出的各项要求，完全遵循招标文件中的各项规定，现向采购人</w:t>
      </w:r>
      <w:r>
        <w:rPr>
          <w:rFonts w:hint="eastAsia" w:ascii="宋体" w:cs="宋体"/>
          <w:color w:val="auto"/>
          <w:szCs w:val="21"/>
          <w:highlight w:val="none"/>
          <w:lang w:val="en-US" w:eastAsia="zh-CN" w:bidi="ar-SA"/>
        </w:rPr>
        <w:t>提供如下方案</w:t>
      </w:r>
      <w:r>
        <w:rPr>
          <w:rFonts w:hint="eastAsia" w:ascii="宋体" w:cs="宋体"/>
          <w:color w:val="auto"/>
          <w:szCs w:val="21"/>
          <w:highlight w:val="none"/>
          <w:lang w:bidi="ar-SA"/>
        </w:rPr>
        <w:t>：</w:t>
      </w:r>
    </w:p>
    <w:p w14:paraId="028D4ADC">
      <w:pPr>
        <w:tabs>
          <w:tab w:val="left" w:pos="360"/>
        </w:tabs>
        <w:spacing w:line="460" w:lineRule="atLeast"/>
        <w:rPr>
          <w:rFonts w:hint="eastAsia" w:ascii="宋体" w:cs="宋体"/>
          <w:bCs/>
          <w:color w:val="auto"/>
          <w:spacing w:val="-6"/>
          <w:szCs w:val="21"/>
          <w:highlight w:val="none"/>
          <w:lang w:bidi="ar-SA"/>
        </w:rPr>
      </w:pPr>
    </w:p>
    <w:p w14:paraId="54E3F6E3">
      <w:pPr>
        <w:tabs>
          <w:tab w:val="left" w:pos="360"/>
        </w:tabs>
        <w:spacing w:line="460" w:lineRule="atLeast"/>
        <w:rPr>
          <w:rFonts w:hint="eastAsia" w:ascii="宋体" w:cs="宋体"/>
          <w:bCs/>
          <w:color w:val="auto"/>
          <w:spacing w:val="-6"/>
          <w:szCs w:val="21"/>
          <w:highlight w:val="none"/>
          <w:lang w:bidi="ar-SA"/>
        </w:rPr>
      </w:pPr>
    </w:p>
    <w:p w14:paraId="0B301A9E">
      <w:pPr>
        <w:tabs>
          <w:tab w:val="left" w:pos="360"/>
        </w:tabs>
        <w:spacing w:line="460" w:lineRule="atLeast"/>
        <w:rPr>
          <w:rFonts w:hint="eastAsia" w:ascii="宋体" w:cs="宋体"/>
          <w:bCs/>
          <w:color w:val="auto"/>
          <w:spacing w:val="-6"/>
          <w:szCs w:val="21"/>
          <w:highlight w:val="none"/>
          <w:lang w:bidi="ar-SA"/>
        </w:rPr>
      </w:pPr>
    </w:p>
    <w:p w14:paraId="0F69A2FB">
      <w:pPr>
        <w:tabs>
          <w:tab w:val="left" w:pos="360"/>
        </w:tabs>
        <w:spacing w:line="460" w:lineRule="atLeast"/>
        <w:rPr>
          <w:rFonts w:hint="eastAsia" w:ascii="宋体" w:cs="宋体"/>
          <w:bCs/>
          <w:color w:val="auto"/>
          <w:spacing w:val="-6"/>
          <w:szCs w:val="21"/>
          <w:highlight w:val="none"/>
          <w:lang w:bidi="ar-SA"/>
        </w:rPr>
      </w:pPr>
    </w:p>
    <w:p w14:paraId="1B4A1D6A">
      <w:pPr>
        <w:tabs>
          <w:tab w:val="left" w:pos="360"/>
        </w:tabs>
        <w:spacing w:line="600" w:lineRule="exact"/>
        <w:ind w:firstLine="2520" w:firstLineChars="1200"/>
        <w:jc w:val="right"/>
        <w:rPr>
          <w:rFonts w:hint="eastAsia" w:ascii="宋体" w:cs="宋体"/>
          <w:color w:val="auto"/>
          <w:szCs w:val="21"/>
          <w:highlight w:val="none"/>
          <w:lang w:bidi="ar-SA"/>
        </w:rPr>
      </w:pPr>
      <w:r>
        <w:rPr>
          <w:rFonts w:hint="eastAsia" w:ascii="宋体" w:cs="宋体"/>
          <w:bCs/>
          <w:color w:val="auto"/>
          <w:szCs w:val="21"/>
          <w:highlight w:val="none"/>
          <w:lang w:bidi="ar-SA"/>
        </w:rPr>
        <w:t>投标人：（</w:t>
      </w:r>
      <w:r>
        <w:rPr>
          <w:rFonts w:hint="eastAsia" w:ascii="宋体" w:cs="宋体"/>
          <w:bCs/>
          <w:color w:val="auto"/>
          <w:szCs w:val="21"/>
          <w:highlight w:val="none"/>
          <w:lang w:val="en-US" w:eastAsia="zh-CN" w:bidi="ar-SA"/>
        </w:rPr>
        <w:t>电子签章</w:t>
      </w:r>
      <w:r>
        <w:rPr>
          <w:rFonts w:hint="eastAsia" w:ascii="宋体" w:cs="宋体"/>
          <w:bCs/>
          <w:color w:val="auto"/>
          <w:szCs w:val="21"/>
          <w:highlight w:val="none"/>
          <w:lang w:bidi="ar-SA"/>
        </w:rPr>
        <w:t>）</w:t>
      </w:r>
    </w:p>
    <w:p w14:paraId="38052912">
      <w:pPr>
        <w:tabs>
          <w:tab w:val="left" w:pos="360"/>
        </w:tabs>
        <w:spacing w:line="600" w:lineRule="exact"/>
        <w:ind w:firstLine="2310" w:firstLineChars="1100"/>
        <w:jc w:val="right"/>
        <w:rPr>
          <w:rFonts w:hint="eastAsia" w:ascii="宋体" w:cs="宋体"/>
          <w:color w:val="auto"/>
          <w:szCs w:val="21"/>
          <w:highlight w:val="none"/>
          <w:lang w:bidi="ar-SA"/>
        </w:rPr>
      </w:pPr>
      <w:r>
        <w:rPr>
          <w:rFonts w:hint="eastAsia" w:ascii="宋体" w:cs="宋体"/>
          <w:color w:val="auto"/>
          <w:szCs w:val="21"/>
          <w:highlight w:val="none"/>
          <w:lang w:bidi="ar-SA"/>
        </w:rPr>
        <w:t>全权代表：（签字或盖章）</w:t>
      </w:r>
    </w:p>
    <w:p w14:paraId="5301CD6A">
      <w:pPr>
        <w:tabs>
          <w:tab w:val="left" w:pos="360"/>
        </w:tabs>
        <w:spacing w:line="600" w:lineRule="exact"/>
        <w:jc w:val="right"/>
        <w:rPr>
          <w:rFonts w:hint="eastAsia" w:ascii="宋体" w:cs="宋体"/>
          <w:color w:val="auto"/>
          <w:szCs w:val="21"/>
          <w:highlight w:val="none"/>
          <w:lang w:bidi="ar-SA"/>
        </w:rPr>
      </w:pPr>
      <w:r>
        <w:rPr>
          <w:rFonts w:hint="eastAsia" w:ascii="宋体" w:cs="宋体"/>
          <w:color w:val="auto"/>
          <w:szCs w:val="21"/>
          <w:highlight w:val="none"/>
          <w:lang w:bidi="ar-SA"/>
        </w:rPr>
        <w:t xml:space="preserve">                   日期：</w:t>
      </w:r>
    </w:p>
    <w:p w14:paraId="574E23DF">
      <w:pPr>
        <w:tabs>
          <w:tab w:val="left" w:pos="360"/>
        </w:tabs>
        <w:spacing w:line="460" w:lineRule="exact"/>
        <w:rPr>
          <w:rFonts w:hint="eastAsia" w:ascii="宋体" w:cs="宋体"/>
          <w:color w:val="auto"/>
          <w:szCs w:val="21"/>
          <w:highlight w:val="none"/>
          <w:lang w:bidi="ar-SA"/>
        </w:rPr>
      </w:pPr>
    </w:p>
    <w:p w14:paraId="58C1F3D5">
      <w:pPr>
        <w:tabs>
          <w:tab w:val="left" w:pos="360"/>
        </w:tabs>
        <w:spacing w:line="460" w:lineRule="exact"/>
        <w:rPr>
          <w:rFonts w:hint="eastAsia" w:ascii="宋体" w:cs="宋体"/>
          <w:color w:val="auto"/>
          <w:szCs w:val="21"/>
          <w:highlight w:val="none"/>
          <w:lang w:bidi="ar-SA"/>
        </w:rPr>
      </w:pPr>
    </w:p>
    <w:p w14:paraId="7ACAA6A8">
      <w:pPr>
        <w:tabs>
          <w:tab w:val="left" w:pos="360"/>
        </w:tabs>
        <w:spacing w:line="460" w:lineRule="exact"/>
        <w:rPr>
          <w:rFonts w:hint="eastAsia" w:ascii="宋体" w:cs="宋体"/>
          <w:color w:val="auto"/>
          <w:szCs w:val="21"/>
          <w:highlight w:val="none"/>
          <w:lang w:bidi="ar-SA"/>
        </w:rPr>
      </w:pPr>
    </w:p>
    <w:p w14:paraId="2F6A0133">
      <w:pPr>
        <w:tabs>
          <w:tab w:val="left" w:pos="360"/>
        </w:tabs>
        <w:spacing w:line="460" w:lineRule="exact"/>
        <w:rPr>
          <w:rFonts w:hint="eastAsia" w:ascii="宋体" w:cs="宋体"/>
          <w:color w:val="auto"/>
          <w:szCs w:val="21"/>
          <w:highlight w:val="none"/>
          <w:lang w:bidi="ar-SA"/>
        </w:rPr>
      </w:pPr>
      <w:r>
        <w:rPr>
          <w:rFonts w:hint="eastAsia" w:ascii="宋体" w:cs="宋体"/>
          <w:color w:val="auto"/>
          <w:szCs w:val="21"/>
          <w:highlight w:val="none"/>
          <w:lang w:bidi="ar-SA"/>
        </w:rPr>
        <w:t>本附件在不改变表式内容的情况下可自行制作。</w:t>
      </w:r>
    </w:p>
    <w:p w14:paraId="0C89118B">
      <w:pPr>
        <w:jc w:val="center"/>
        <w:rPr>
          <w:rFonts w:hint="eastAsia"/>
          <w:b/>
          <w:bCs/>
          <w:color w:val="auto"/>
          <w:sz w:val="36"/>
          <w:highlight w:val="none"/>
        </w:rPr>
      </w:pPr>
    </w:p>
    <w:p w14:paraId="6DE77840">
      <w:pPr>
        <w:rPr>
          <w:rFonts w:hint="eastAsia"/>
          <w:b/>
          <w:bCs/>
          <w:color w:val="auto"/>
          <w:sz w:val="36"/>
          <w:highlight w:val="none"/>
        </w:rPr>
      </w:pPr>
    </w:p>
    <w:p w14:paraId="7CB9FD3C">
      <w:pPr>
        <w:jc w:val="center"/>
        <w:rPr>
          <w:rFonts w:hint="eastAsia"/>
          <w:b/>
          <w:bCs/>
          <w:color w:val="auto"/>
          <w:sz w:val="36"/>
          <w:highlight w:val="none"/>
        </w:rPr>
      </w:pPr>
      <w:r>
        <w:rPr>
          <w:rFonts w:hint="eastAsia"/>
          <w:b/>
          <w:bCs/>
          <w:color w:val="auto"/>
          <w:sz w:val="36"/>
          <w:highlight w:val="none"/>
          <w:lang w:val="zh-CN" w:eastAsia="zh-CN"/>
        </w:rPr>
        <w:br w:type="page"/>
      </w:r>
      <w:r>
        <w:rPr>
          <w:rFonts w:hint="eastAsia"/>
          <w:b/>
          <w:bCs/>
          <w:color w:val="auto"/>
          <w:sz w:val="36"/>
          <w:highlight w:val="none"/>
          <w:lang w:val="zh-CN" w:eastAsia="zh-CN"/>
        </w:rPr>
        <w:t>人员配置方案（拟派遣人员简历、资质证书、健康证、技能证明等）</w:t>
      </w:r>
    </w:p>
    <w:p w14:paraId="63754B80">
      <w:pPr>
        <w:tabs>
          <w:tab w:val="left" w:pos="360"/>
        </w:tabs>
        <w:spacing w:line="360" w:lineRule="auto"/>
        <w:rPr>
          <w:rFonts w:hint="eastAsia"/>
          <w:b/>
          <w:bCs/>
          <w:color w:val="auto"/>
          <w:highlight w:val="none"/>
        </w:rPr>
      </w:pPr>
      <w:r>
        <w:rPr>
          <w:rFonts w:hint="eastAsia"/>
          <w:bCs/>
          <w:color w:val="auto"/>
          <w:szCs w:val="21"/>
          <w:highlight w:val="none"/>
        </w:rPr>
        <w:t>投标人（公章）：</w:t>
      </w:r>
      <w:r>
        <w:rPr>
          <w:rFonts w:hint="eastAsia"/>
          <w:bCs/>
          <w:color w:val="auto"/>
          <w:sz w:val="24"/>
          <w:szCs w:val="28"/>
          <w:highlight w:val="none"/>
          <w:u w:val="single"/>
        </w:rPr>
        <w:t xml:space="preserve">                          </w:t>
      </w:r>
    </w:p>
    <w:tbl>
      <w:tblPr>
        <w:tblStyle w:val="38"/>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900"/>
        <w:gridCol w:w="1440"/>
        <w:gridCol w:w="1460"/>
        <w:gridCol w:w="2680"/>
        <w:gridCol w:w="1542"/>
      </w:tblGrid>
      <w:tr w14:paraId="1601C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548" w:type="dxa"/>
            <w:noWrap w:val="0"/>
            <w:vAlign w:val="center"/>
          </w:tcPr>
          <w:p w14:paraId="66510F9C">
            <w:pPr>
              <w:tabs>
                <w:tab w:val="left" w:pos="360"/>
              </w:tabs>
              <w:spacing w:line="460" w:lineRule="exact"/>
              <w:jc w:val="center"/>
              <w:rPr>
                <w:rFonts w:hint="eastAsia"/>
                <w:color w:val="auto"/>
                <w:szCs w:val="21"/>
                <w:highlight w:val="none"/>
              </w:rPr>
            </w:pPr>
            <w:r>
              <w:rPr>
                <w:rFonts w:hint="eastAsia"/>
                <w:color w:val="auto"/>
                <w:szCs w:val="21"/>
                <w:highlight w:val="none"/>
              </w:rPr>
              <w:t>姓名</w:t>
            </w:r>
          </w:p>
        </w:tc>
        <w:tc>
          <w:tcPr>
            <w:tcW w:w="900" w:type="dxa"/>
            <w:noWrap w:val="0"/>
            <w:vAlign w:val="center"/>
          </w:tcPr>
          <w:p w14:paraId="481D6F7D">
            <w:pPr>
              <w:tabs>
                <w:tab w:val="left" w:pos="360"/>
              </w:tabs>
              <w:spacing w:line="460" w:lineRule="exact"/>
              <w:jc w:val="center"/>
              <w:rPr>
                <w:rFonts w:hint="eastAsia"/>
                <w:color w:val="auto"/>
                <w:szCs w:val="21"/>
                <w:highlight w:val="none"/>
              </w:rPr>
            </w:pPr>
            <w:r>
              <w:rPr>
                <w:rFonts w:hint="eastAsia"/>
                <w:color w:val="auto"/>
                <w:szCs w:val="21"/>
                <w:highlight w:val="none"/>
              </w:rPr>
              <w:t>性别</w:t>
            </w:r>
          </w:p>
        </w:tc>
        <w:tc>
          <w:tcPr>
            <w:tcW w:w="1440" w:type="dxa"/>
            <w:noWrap w:val="0"/>
            <w:vAlign w:val="center"/>
          </w:tcPr>
          <w:p w14:paraId="658F83EC">
            <w:pPr>
              <w:tabs>
                <w:tab w:val="left" w:pos="360"/>
              </w:tabs>
              <w:spacing w:line="460" w:lineRule="exact"/>
              <w:jc w:val="center"/>
              <w:rPr>
                <w:rFonts w:hint="eastAsia"/>
                <w:color w:val="auto"/>
                <w:szCs w:val="21"/>
                <w:highlight w:val="none"/>
              </w:rPr>
            </w:pPr>
            <w:r>
              <w:rPr>
                <w:rFonts w:hint="eastAsia"/>
                <w:color w:val="auto"/>
                <w:szCs w:val="21"/>
                <w:highlight w:val="none"/>
              </w:rPr>
              <w:t>职称</w:t>
            </w:r>
          </w:p>
        </w:tc>
        <w:tc>
          <w:tcPr>
            <w:tcW w:w="1460" w:type="dxa"/>
            <w:noWrap w:val="0"/>
            <w:vAlign w:val="center"/>
          </w:tcPr>
          <w:p w14:paraId="7D51F7B4">
            <w:pPr>
              <w:tabs>
                <w:tab w:val="left" w:pos="360"/>
              </w:tabs>
              <w:spacing w:line="460" w:lineRule="exact"/>
              <w:jc w:val="center"/>
              <w:rPr>
                <w:rFonts w:hint="eastAsia"/>
                <w:color w:val="auto"/>
                <w:szCs w:val="21"/>
                <w:highlight w:val="none"/>
              </w:rPr>
            </w:pPr>
            <w:r>
              <w:rPr>
                <w:rFonts w:hint="eastAsia"/>
                <w:color w:val="auto"/>
                <w:szCs w:val="21"/>
                <w:highlight w:val="none"/>
              </w:rPr>
              <w:t>从事岗位</w:t>
            </w:r>
          </w:p>
        </w:tc>
        <w:tc>
          <w:tcPr>
            <w:tcW w:w="2680" w:type="dxa"/>
            <w:noWrap w:val="0"/>
            <w:vAlign w:val="center"/>
          </w:tcPr>
          <w:p w14:paraId="51E2A233">
            <w:pPr>
              <w:tabs>
                <w:tab w:val="left" w:pos="360"/>
              </w:tabs>
              <w:spacing w:line="460" w:lineRule="exact"/>
              <w:jc w:val="center"/>
              <w:rPr>
                <w:rFonts w:hint="eastAsia"/>
                <w:color w:val="auto"/>
                <w:szCs w:val="21"/>
                <w:highlight w:val="none"/>
              </w:rPr>
            </w:pPr>
            <w:r>
              <w:rPr>
                <w:rFonts w:hint="eastAsia"/>
                <w:color w:val="auto"/>
                <w:szCs w:val="21"/>
                <w:highlight w:val="none"/>
              </w:rPr>
              <w:t>联系电话</w:t>
            </w:r>
          </w:p>
        </w:tc>
        <w:tc>
          <w:tcPr>
            <w:tcW w:w="1542" w:type="dxa"/>
            <w:noWrap w:val="0"/>
            <w:vAlign w:val="center"/>
          </w:tcPr>
          <w:p w14:paraId="65BE9C58">
            <w:pPr>
              <w:tabs>
                <w:tab w:val="left" w:pos="360"/>
              </w:tabs>
              <w:jc w:val="center"/>
              <w:rPr>
                <w:rFonts w:hint="eastAsia"/>
                <w:color w:val="auto"/>
                <w:szCs w:val="21"/>
                <w:highlight w:val="none"/>
              </w:rPr>
            </w:pPr>
            <w:r>
              <w:rPr>
                <w:rFonts w:hint="eastAsia"/>
                <w:color w:val="auto"/>
                <w:szCs w:val="21"/>
                <w:highlight w:val="none"/>
              </w:rPr>
              <w:t>从事</w:t>
            </w:r>
          </w:p>
          <w:p w14:paraId="00DCB053">
            <w:pPr>
              <w:tabs>
                <w:tab w:val="left" w:pos="360"/>
              </w:tabs>
              <w:jc w:val="center"/>
              <w:rPr>
                <w:rFonts w:hint="eastAsia"/>
                <w:color w:val="auto"/>
                <w:szCs w:val="21"/>
                <w:highlight w:val="none"/>
              </w:rPr>
            </w:pPr>
            <w:r>
              <w:rPr>
                <w:rFonts w:hint="eastAsia"/>
                <w:color w:val="auto"/>
                <w:szCs w:val="21"/>
                <w:highlight w:val="none"/>
              </w:rPr>
              <w:t>工作时间</w:t>
            </w:r>
          </w:p>
        </w:tc>
      </w:tr>
      <w:tr w14:paraId="3D94E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548" w:type="dxa"/>
            <w:noWrap w:val="0"/>
            <w:vAlign w:val="center"/>
          </w:tcPr>
          <w:p w14:paraId="04964586">
            <w:pPr>
              <w:tabs>
                <w:tab w:val="left" w:pos="360"/>
              </w:tabs>
              <w:spacing w:line="460" w:lineRule="exact"/>
              <w:jc w:val="center"/>
              <w:rPr>
                <w:rFonts w:hint="eastAsia"/>
                <w:color w:val="auto"/>
                <w:sz w:val="24"/>
                <w:highlight w:val="none"/>
              </w:rPr>
            </w:pPr>
          </w:p>
        </w:tc>
        <w:tc>
          <w:tcPr>
            <w:tcW w:w="900" w:type="dxa"/>
            <w:noWrap w:val="0"/>
            <w:vAlign w:val="center"/>
          </w:tcPr>
          <w:p w14:paraId="5A652A4B">
            <w:pPr>
              <w:tabs>
                <w:tab w:val="left" w:pos="360"/>
              </w:tabs>
              <w:spacing w:line="460" w:lineRule="exact"/>
              <w:jc w:val="center"/>
              <w:rPr>
                <w:rFonts w:hint="eastAsia"/>
                <w:color w:val="auto"/>
                <w:sz w:val="24"/>
                <w:highlight w:val="none"/>
              </w:rPr>
            </w:pPr>
          </w:p>
        </w:tc>
        <w:tc>
          <w:tcPr>
            <w:tcW w:w="1440" w:type="dxa"/>
            <w:noWrap w:val="0"/>
            <w:vAlign w:val="center"/>
          </w:tcPr>
          <w:p w14:paraId="503E55FE">
            <w:pPr>
              <w:tabs>
                <w:tab w:val="left" w:pos="360"/>
              </w:tabs>
              <w:spacing w:line="460" w:lineRule="exact"/>
              <w:jc w:val="center"/>
              <w:rPr>
                <w:rFonts w:hint="eastAsia"/>
                <w:color w:val="auto"/>
                <w:sz w:val="24"/>
                <w:highlight w:val="none"/>
              </w:rPr>
            </w:pPr>
          </w:p>
        </w:tc>
        <w:tc>
          <w:tcPr>
            <w:tcW w:w="1460" w:type="dxa"/>
            <w:noWrap w:val="0"/>
            <w:vAlign w:val="center"/>
          </w:tcPr>
          <w:p w14:paraId="0C8301D3">
            <w:pPr>
              <w:tabs>
                <w:tab w:val="left" w:pos="360"/>
              </w:tabs>
              <w:spacing w:line="460" w:lineRule="exact"/>
              <w:jc w:val="center"/>
              <w:rPr>
                <w:rFonts w:hint="eastAsia"/>
                <w:color w:val="auto"/>
                <w:sz w:val="24"/>
                <w:highlight w:val="none"/>
              </w:rPr>
            </w:pPr>
          </w:p>
        </w:tc>
        <w:tc>
          <w:tcPr>
            <w:tcW w:w="2680" w:type="dxa"/>
            <w:noWrap w:val="0"/>
            <w:vAlign w:val="center"/>
          </w:tcPr>
          <w:p w14:paraId="5DDF4539">
            <w:pPr>
              <w:tabs>
                <w:tab w:val="left" w:pos="360"/>
              </w:tabs>
              <w:spacing w:line="460" w:lineRule="exact"/>
              <w:jc w:val="center"/>
              <w:rPr>
                <w:rFonts w:hint="eastAsia"/>
                <w:color w:val="auto"/>
                <w:sz w:val="24"/>
                <w:highlight w:val="none"/>
              </w:rPr>
            </w:pPr>
          </w:p>
        </w:tc>
        <w:tc>
          <w:tcPr>
            <w:tcW w:w="1542" w:type="dxa"/>
            <w:noWrap w:val="0"/>
            <w:vAlign w:val="center"/>
          </w:tcPr>
          <w:p w14:paraId="0C112E53">
            <w:pPr>
              <w:tabs>
                <w:tab w:val="left" w:pos="360"/>
              </w:tabs>
              <w:spacing w:line="460" w:lineRule="exact"/>
              <w:jc w:val="center"/>
              <w:rPr>
                <w:rFonts w:hint="eastAsia"/>
                <w:color w:val="auto"/>
                <w:sz w:val="24"/>
                <w:highlight w:val="none"/>
              </w:rPr>
            </w:pPr>
          </w:p>
        </w:tc>
      </w:tr>
      <w:tr w14:paraId="3E33E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548" w:type="dxa"/>
            <w:noWrap w:val="0"/>
            <w:vAlign w:val="center"/>
          </w:tcPr>
          <w:p w14:paraId="779E315F">
            <w:pPr>
              <w:tabs>
                <w:tab w:val="left" w:pos="360"/>
              </w:tabs>
              <w:spacing w:line="460" w:lineRule="exact"/>
              <w:jc w:val="center"/>
              <w:rPr>
                <w:rFonts w:hint="eastAsia"/>
                <w:color w:val="auto"/>
                <w:sz w:val="24"/>
                <w:highlight w:val="none"/>
              </w:rPr>
            </w:pPr>
          </w:p>
        </w:tc>
        <w:tc>
          <w:tcPr>
            <w:tcW w:w="900" w:type="dxa"/>
            <w:noWrap w:val="0"/>
            <w:vAlign w:val="center"/>
          </w:tcPr>
          <w:p w14:paraId="637C3DF7">
            <w:pPr>
              <w:tabs>
                <w:tab w:val="left" w:pos="360"/>
              </w:tabs>
              <w:spacing w:line="460" w:lineRule="exact"/>
              <w:jc w:val="center"/>
              <w:rPr>
                <w:rFonts w:hint="eastAsia"/>
                <w:color w:val="auto"/>
                <w:sz w:val="24"/>
                <w:highlight w:val="none"/>
              </w:rPr>
            </w:pPr>
          </w:p>
        </w:tc>
        <w:tc>
          <w:tcPr>
            <w:tcW w:w="1440" w:type="dxa"/>
            <w:noWrap w:val="0"/>
            <w:vAlign w:val="center"/>
          </w:tcPr>
          <w:p w14:paraId="782A42C9">
            <w:pPr>
              <w:tabs>
                <w:tab w:val="left" w:pos="360"/>
              </w:tabs>
              <w:spacing w:line="460" w:lineRule="exact"/>
              <w:jc w:val="center"/>
              <w:rPr>
                <w:rFonts w:hint="eastAsia"/>
                <w:color w:val="auto"/>
                <w:sz w:val="24"/>
                <w:highlight w:val="none"/>
              </w:rPr>
            </w:pPr>
          </w:p>
        </w:tc>
        <w:tc>
          <w:tcPr>
            <w:tcW w:w="1460" w:type="dxa"/>
            <w:noWrap w:val="0"/>
            <w:vAlign w:val="center"/>
          </w:tcPr>
          <w:p w14:paraId="5D2B7DB8">
            <w:pPr>
              <w:tabs>
                <w:tab w:val="left" w:pos="360"/>
              </w:tabs>
              <w:spacing w:line="460" w:lineRule="exact"/>
              <w:jc w:val="center"/>
              <w:rPr>
                <w:rFonts w:hint="eastAsia"/>
                <w:color w:val="auto"/>
                <w:sz w:val="24"/>
                <w:highlight w:val="none"/>
              </w:rPr>
            </w:pPr>
          </w:p>
        </w:tc>
        <w:tc>
          <w:tcPr>
            <w:tcW w:w="2680" w:type="dxa"/>
            <w:noWrap w:val="0"/>
            <w:vAlign w:val="center"/>
          </w:tcPr>
          <w:p w14:paraId="518FCD92">
            <w:pPr>
              <w:tabs>
                <w:tab w:val="left" w:pos="360"/>
              </w:tabs>
              <w:spacing w:line="460" w:lineRule="exact"/>
              <w:jc w:val="center"/>
              <w:rPr>
                <w:rFonts w:hint="eastAsia"/>
                <w:color w:val="auto"/>
                <w:sz w:val="24"/>
                <w:highlight w:val="none"/>
              </w:rPr>
            </w:pPr>
          </w:p>
        </w:tc>
        <w:tc>
          <w:tcPr>
            <w:tcW w:w="1542" w:type="dxa"/>
            <w:noWrap w:val="0"/>
            <w:vAlign w:val="center"/>
          </w:tcPr>
          <w:p w14:paraId="64DEB46D">
            <w:pPr>
              <w:tabs>
                <w:tab w:val="left" w:pos="360"/>
              </w:tabs>
              <w:spacing w:line="460" w:lineRule="exact"/>
              <w:jc w:val="center"/>
              <w:rPr>
                <w:rFonts w:hint="eastAsia"/>
                <w:color w:val="auto"/>
                <w:sz w:val="24"/>
                <w:highlight w:val="none"/>
              </w:rPr>
            </w:pPr>
          </w:p>
        </w:tc>
      </w:tr>
      <w:tr w14:paraId="23C47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548" w:type="dxa"/>
            <w:noWrap w:val="0"/>
            <w:vAlign w:val="center"/>
          </w:tcPr>
          <w:p w14:paraId="38F802A8">
            <w:pPr>
              <w:tabs>
                <w:tab w:val="left" w:pos="360"/>
              </w:tabs>
              <w:spacing w:line="460" w:lineRule="exact"/>
              <w:jc w:val="center"/>
              <w:rPr>
                <w:rFonts w:hint="eastAsia"/>
                <w:color w:val="auto"/>
                <w:sz w:val="24"/>
                <w:highlight w:val="none"/>
              </w:rPr>
            </w:pPr>
          </w:p>
        </w:tc>
        <w:tc>
          <w:tcPr>
            <w:tcW w:w="900" w:type="dxa"/>
            <w:noWrap w:val="0"/>
            <w:vAlign w:val="center"/>
          </w:tcPr>
          <w:p w14:paraId="29629682">
            <w:pPr>
              <w:tabs>
                <w:tab w:val="left" w:pos="360"/>
              </w:tabs>
              <w:spacing w:line="460" w:lineRule="exact"/>
              <w:jc w:val="center"/>
              <w:rPr>
                <w:rFonts w:hint="eastAsia"/>
                <w:color w:val="auto"/>
                <w:sz w:val="24"/>
                <w:highlight w:val="none"/>
              </w:rPr>
            </w:pPr>
          </w:p>
        </w:tc>
        <w:tc>
          <w:tcPr>
            <w:tcW w:w="1440" w:type="dxa"/>
            <w:noWrap w:val="0"/>
            <w:vAlign w:val="center"/>
          </w:tcPr>
          <w:p w14:paraId="21C54DB8">
            <w:pPr>
              <w:tabs>
                <w:tab w:val="left" w:pos="360"/>
              </w:tabs>
              <w:spacing w:line="460" w:lineRule="exact"/>
              <w:jc w:val="center"/>
              <w:rPr>
                <w:rFonts w:hint="eastAsia"/>
                <w:color w:val="auto"/>
                <w:sz w:val="24"/>
                <w:highlight w:val="none"/>
              </w:rPr>
            </w:pPr>
          </w:p>
        </w:tc>
        <w:tc>
          <w:tcPr>
            <w:tcW w:w="1460" w:type="dxa"/>
            <w:noWrap w:val="0"/>
            <w:vAlign w:val="center"/>
          </w:tcPr>
          <w:p w14:paraId="006AB6A0">
            <w:pPr>
              <w:tabs>
                <w:tab w:val="left" w:pos="360"/>
              </w:tabs>
              <w:spacing w:line="460" w:lineRule="exact"/>
              <w:jc w:val="center"/>
              <w:rPr>
                <w:rFonts w:hint="eastAsia"/>
                <w:color w:val="auto"/>
                <w:sz w:val="24"/>
                <w:highlight w:val="none"/>
              </w:rPr>
            </w:pPr>
          </w:p>
        </w:tc>
        <w:tc>
          <w:tcPr>
            <w:tcW w:w="2680" w:type="dxa"/>
            <w:noWrap w:val="0"/>
            <w:vAlign w:val="center"/>
          </w:tcPr>
          <w:p w14:paraId="4C42F1B9">
            <w:pPr>
              <w:tabs>
                <w:tab w:val="left" w:pos="360"/>
              </w:tabs>
              <w:spacing w:line="460" w:lineRule="exact"/>
              <w:jc w:val="center"/>
              <w:rPr>
                <w:rFonts w:hint="eastAsia"/>
                <w:color w:val="auto"/>
                <w:sz w:val="24"/>
                <w:highlight w:val="none"/>
              </w:rPr>
            </w:pPr>
          </w:p>
        </w:tc>
        <w:tc>
          <w:tcPr>
            <w:tcW w:w="1542" w:type="dxa"/>
            <w:noWrap w:val="0"/>
            <w:vAlign w:val="center"/>
          </w:tcPr>
          <w:p w14:paraId="52A62A1C">
            <w:pPr>
              <w:tabs>
                <w:tab w:val="left" w:pos="360"/>
              </w:tabs>
              <w:spacing w:line="460" w:lineRule="exact"/>
              <w:jc w:val="center"/>
              <w:rPr>
                <w:rFonts w:hint="eastAsia"/>
                <w:color w:val="auto"/>
                <w:sz w:val="24"/>
                <w:highlight w:val="none"/>
              </w:rPr>
            </w:pPr>
          </w:p>
        </w:tc>
      </w:tr>
      <w:tr w14:paraId="4F5A0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548" w:type="dxa"/>
            <w:noWrap w:val="0"/>
            <w:vAlign w:val="center"/>
          </w:tcPr>
          <w:p w14:paraId="62DD9AED">
            <w:pPr>
              <w:tabs>
                <w:tab w:val="left" w:pos="360"/>
              </w:tabs>
              <w:spacing w:line="460" w:lineRule="exact"/>
              <w:jc w:val="center"/>
              <w:rPr>
                <w:rFonts w:hint="eastAsia"/>
                <w:color w:val="auto"/>
                <w:sz w:val="24"/>
                <w:highlight w:val="none"/>
              </w:rPr>
            </w:pPr>
          </w:p>
        </w:tc>
        <w:tc>
          <w:tcPr>
            <w:tcW w:w="900" w:type="dxa"/>
            <w:noWrap w:val="0"/>
            <w:vAlign w:val="center"/>
          </w:tcPr>
          <w:p w14:paraId="17750843">
            <w:pPr>
              <w:tabs>
                <w:tab w:val="left" w:pos="360"/>
              </w:tabs>
              <w:spacing w:line="460" w:lineRule="exact"/>
              <w:jc w:val="center"/>
              <w:rPr>
                <w:rFonts w:hint="eastAsia"/>
                <w:color w:val="auto"/>
                <w:sz w:val="24"/>
                <w:highlight w:val="none"/>
              </w:rPr>
            </w:pPr>
          </w:p>
        </w:tc>
        <w:tc>
          <w:tcPr>
            <w:tcW w:w="1440" w:type="dxa"/>
            <w:noWrap w:val="0"/>
            <w:vAlign w:val="center"/>
          </w:tcPr>
          <w:p w14:paraId="0742BC06">
            <w:pPr>
              <w:tabs>
                <w:tab w:val="left" w:pos="360"/>
              </w:tabs>
              <w:spacing w:line="460" w:lineRule="exact"/>
              <w:jc w:val="center"/>
              <w:rPr>
                <w:rFonts w:hint="eastAsia"/>
                <w:color w:val="auto"/>
                <w:sz w:val="24"/>
                <w:highlight w:val="none"/>
              </w:rPr>
            </w:pPr>
          </w:p>
        </w:tc>
        <w:tc>
          <w:tcPr>
            <w:tcW w:w="1460" w:type="dxa"/>
            <w:noWrap w:val="0"/>
            <w:vAlign w:val="center"/>
          </w:tcPr>
          <w:p w14:paraId="14606C09">
            <w:pPr>
              <w:tabs>
                <w:tab w:val="left" w:pos="360"/>
              </w:tabs>
              <w:spacing w:line="460" w:lineRule="exact"/>
              <w:jc w:val="center"/>
              <w:rPr>
                <w:rFonts w:hint="eastAsia"/>
                <w:color w:val="auto"/>
                <w:sz w:val="24"/>
                <w:highlight w:val="none"/>
              </w:rPr>
            </w:pPr>
          </w:p>
        </w:tc>
        <w:tc>
          <w:tcPr>
            <w:tcW w:w="2680" w:type="dxa"/>
            <w:noWrap w:val="0"/>
            <w:vAlign w:val="center"/>
          </w:tcPr>
          <w:p w14:paraId="264EB77B">
            <w:pPr>
              <w:tabs>
                <w:tab w:val="left" w:pos="360"/>
              </w:tabs>
              <w:spacing w:line="460" w:lineRule="exact"/>
              <w:jc w:val="center"/>
              <w:rPr>
                <w:rFonts w:hint="eastAsia"/>
                <w:color w:val="auto"/>
                <w:sz w:val="24"/>
                <w:highlight w:val="none"/>
              </w:rPr>
            </w:pPr>
          </w:p>
        </w:tc>
        <w:tc>
          <w:tcPr>
            <w:tcW w:w="1542" w:type="dxa"/>
            <w:noWrap w:val="0"/>
            <w:vAlign w:val="center"/>
          </w:tcPr>
          <w:p w14:paraId="5374EA70">
            <w:pPr>
              <w:tabs>
                <w:tab w:val="left" w:pos="360"/>
              </w:tabs>
              <w:spacing w:line="460" w:lineRule="exact"/>
              <w:jc w:val="center"/>
              <w:rPr>
                <w:rFonts w:hint="eastAsia"/>
                <w:color w:val="auto"/>
                <w:sz w:val="24"/>
                <w:highlight w:val="none"/>
              </w:rPr>
            </w:pPr>
          </w:p>
        </w:tc>
      </w:tr>
      <w:tr w14:paraId="73E9A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548" w:type="dxa"/>
            <w:noWrap w:val="0"/>
            <w:vAlign w:val="center"/>
          </w:tcPr>
          <w:p w14:paraId="7E585C7C">
            <w:pPr>
              <w:tabs>
                <w:tab w:val="left" w:pos="360"/>
              </w:tabs>
              <w:spacing w:line="460" w:lineRule="exact"/>
              <w:jc w:val="center"/>
              <w:rPr>
                <w:rFonts w:hint="eastAsia"/>
                <w:color w:val="auto"/>
                <w:sz w:val="24"/>
                <w:highlight w:val="none"/>
              </w:rPr>
            </w:pPr>
          </w:p>
        </w:tc>
        <w:tc>
          <w:tcPr>
            <w:tcW w:w="900" w:type="dxa"/>
            <w:noWrap w:val="0"/>
            <w:vAlign w:val="center"/>
          </w:tcPr>
          <w:p w14:paraId="492CDACB">
            <w:pPr>
              <w:tabs>
                <w:tab w:val="left" w:pos="360"/>
              </w:tabs>
              <w:spacing w:line="460" w:lineRule="exact"/>
              <w:jc w:val="center"/>
              <w:rPr>
                <w:rFonts w:hint="eastAsia"/>
                <w:color w:val="auto"/>
                <w:sz w:val="24"/>
                <w:highlight w:val="none"/>
              </w:rPr>
            </w:pPr>
          </w:p>
        </w:tc>
        <w:tc>
          <w:tcPr>
            <w:tcW w:w="1440" w:type="dxa"/>
            <w:noWrap w:val="0"/>
            <w:vAlign w:val="center"/>
          </w:tcPr>
          <w:p w14:paraId="307E27E4">
            <w:pPr>
              <w:tabs>
                <w:tab w:val="left" w:pos="360"/>
              </w:tabs>
              <w:spacing w:line="460" w:lineRule="exact"/>
              <w:jc w:val="center"/>
              <w:rPr>
                <w:rFonts w:hint="eastAsia"/>
                <w:color w:val="auto"/>
                <w:sz w:val="24"/>
                <w:highlight w:val="none"/>
              </w:rPr>
            </w:pPr>
          </w:p>
        </w:tc>
        <w:tc>
          <w:tcPr>
            <w:tcW w:w="1460" w:type="dxa"/>
            <w:noWrap w:val="0"/>
            <w:vAlign w:val="center"/>
          </w:tcPr>
          <w:p w14:paraId="52D6C4C0">
            <w:pPr>
              <w:tabs>
                <w:tab w:val="left" w:pos="360"/>
              </w:tabs>
              <w:spacing w:line="460" w:lineRule="exact"/>
              <w:jc w:val="center"/>
              <w:rPr>
                <w:rFonts w:hint="eastAsia"/>
                <w:color w:val="auto"/>
                <w:sz w:val="24"/>
                <w:highlight w:val="none"/>
              </w:rPr>
            </w:pPr>
          </w:p>
        </w:tc>
        <w:tc>
          <w:tcPr>
            <w:tcW w:w="2680" w:type="dxa"/>
            <w:noWrap w:val="0"/>
            <w:vAlign w:val="center"/>
          </w:tcPr>
          <w:p w14:paraId="1344375E">
            <w:pPr>
              <w:tabs>
                <w:tab w:val="left" w:pos="360"/>
              </w:tabs>
              <w:spacing w:line="460" w:lineRule="exact"/>
              <w:jc w:val="center"/>
              <w:rPr>
                <w:rFonts w:hint="eastAsia"/>
                <w:color w:val="auto"/>
                <w:sz w:val="24"/>
                <w:highlight w:val="none"/>
              </w:rPr>
            </w:pPr>
          </w:p>
        </w:tc>
        <w:tc>
          <w:tcPr>
            <w:tcW w:w="1542" w:type="dxa"/>
            <w:noWrap w:val="0"/>
            <w:vAlign w:val="center"/>
          </w:tcPr>
          <w:p w14:paraId="66834602">
            <w:pPr>
              <w:tabs>
                <w:tab w:val="left" w:pos="360"/>
              </w:tabs>
              <w:spacing w:line="460" w:lineRule="exact"/>
              <w:jc w:val="center"/>
              <w:rPr>
                <w:rFonts w:hint="eastAsia"/>
                <w:color w:val="auto"/>
                <w:sz w:val="24"/>
                <w:highlight w:val="none"/>
              </w:rPr>
            </w:pPr>
          </w:p>
        </w:tc>
      </w:tr>
      <w:tr w14:paraId="64DCA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548" w:type="dxa"/>
            <w:noWrap w:val="0"/>
            <w:vAlign w:val="center"/>
          </w:tcPr>
          <w:p w14:paraId="28253A4D">
            <w:pPr>
              <w:tabs>
                <w:tab w:val="left" w:pos="360"/>
              </w:tabs>
              <w:spacing w:line="460" w:lineRule="exact"/>
              <w:jc w:val="center"/>
              <w:rPr>
                <w:rFonts w:hint="eastAsia"/>
                <w:color w:val="auto"/>
                <w:sz w:val="24"/>
                <w:highlight w:val="none"/>
              </w:rPr>
            </w:pPr>
          </w:p>
        </w:tc>
        <w:tc>
          <w:tcPr>
            <w:tcW w:w="900" w:type="dxa"/>
            <w:noWrap w:val="0"/>
            <w:vAlign w:val="center"/>
          </w:tcPr>
          <w:p w14:paraId="28436132">
            <w:pPr>
              <w:tabs>
                <w:tab w:val="left" w:pos="360"/>
              </w:tabs>
              <w:spacing w:line="460" w:lineRule="exact"/>
              <w:jc w:val="center"/>
              <w:rPr>
                <w:rFonts w:hint="eastAsia"/>
                <w:color w:val="auto"/>
                <w:sz w:val="24"/>
                <w:highlight w:val="none"/>
              </w:rPr>
            </w:pPr>
          </w:p>
        </w:tc>
        <w:tc>
          <w:tcPr>
            <w:tcW w:w="1440" w:type="dxa"/>
            <w:noWrap w:val="0"/>
            <w:vAlign w:val="center"/>
          </w:tcPr>
          <w:p w14:paraId="1CC34FFB">
            <w:pPr>
              <w:tabs>
                <w:tab w:val="left" w:pos="360"/>
              </w:tabs>
              <w:spacing w:line="460" w:lineRule="exact"/>
              <w:jc w:val="center"/>
              <w:rPr>
                <w:rFonts w:hint="eastAsia"/>
                <w:color w:val="auto"/>
                <w:sz w:val="24"/>
                <w:highlight w:val="none"/>
              </w:rPr>
            </w:pPr>
          </w:p>
        </w:tc>
        <w:tc>
          <w:tcPr>
            <w:tcW w:w="1460" w:type="dxa"/>
            <w:noWrap w:val="0"/>
            <w:vAlign w:val="center"/>
          </w:tcPr>
          <w:p w14:paraId="6893406A">
            <w:pPr>
              <w:tabs>
                <w:tab w:val="left" w:pos="360"/>
              </w:tabs>
              <w:spacing w:line="460" w:lineRule="exact"/>
              <w:jc w:val="center"/>
              <w:rPr>
                <w:rFonts w:hint="eastAsia"/>
                <w:color w:val="auto"/>
                <w:sz w:val="24"/>
                <w:highlight w:val="none"/>
              </w:rPr>
            </w:pPr>
          </w:p>
        </w:tc>
        <w:tc>
          <w:tcPr>
            <w:tcW w:w="2680" w:type="dxa"/>
            <w:noWrap w:val="0"/>
            <w:vAlign w:val="center"/>
          </w:tcPr>
          <w:p w14:paraId="0D898B18">
            <w:pPr>
              <w:tabs>
                <w:tab w:val="left" w:pos="360"/>
              </w:tabs>
              <w:spacing w:line="460" w:lineRule="exact"/>
              <w:jc w:val="center"/>
              <w:rPr>
                <w:rFonts w:hint="eastAsia"/>
                <w:color w:val="auto"/>
                <w:sz w:val="24"/>
                <w:highlight w:val="none"/>
              </w:rPr>
            </w:pPr>
          </w:p>
        </w:tc>
        <w:tc>
          <w:tcPr>
            <w:tcW w:w="1542" w:type="dxa"/>
            <w:noWrap w:val="0"/>
            <w:vAlign w:val="center"/>
          </w:tcPr>
          <w:p w14:paraId="7892640F">
            <w:pPr>
              <w:tabs>
                <w:tab w:val="left" w:pos="360"/>
              </w:tabs>
              <w:spacing w:line="460" w:lineRule="exact"/>
              <w:jc w:val="center"/>
              <w:rPr>
                <w:rFonts w:hint="eastAsia"/>
                <w:color w:val="auto"/>
                <w:sz w:val="24"/>
                <w:highlight w:val="none"/>
              </w:rPr>
            </w:pPr>
          </w:p>
        </w:tc>
      </w:tr>
      <w:tr w14:paraId="36EFC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548" w:type="dxa"/>
            <w:noWrap w:val="0"/>
            <w:vAlign w:val="center"/>
          </w:tcPr>
          <w:p w14:paraId="0D170EB3">
            <w:pPr>
              <w:tabs>
                <w:tab w:val="left" w:pos="360"/>
              </w:tabs>
              <w:spacing w:line="460" w:lineRule="exact"/>
              <w:jc w:val="center"/>
              <w:rPr>
                <w:rFonts w:hint="eastAsia"/>
                <w:color w:val="auto"/>
                <w:sz w:val="24"/>
                <w:highlight w:val="none"/>
              </w:rPr>
            </w:pPr>
          </w:p>
        </w:tc>
        <w:tc>
          <w:tcPr>
            <w:tcW w:w="900" w:type="dxa"/>
            <w:noWrap w:val="0"/>
            <w:vAlign w:val="center"/>
          </w:tcPr>
          <w:p w14:paraId="1A278BD9">
            <w:pPr>
              <w:tabs>
                <w:tab w:val="left" w:pos="360"/>
              </w:tabs>
              <w:spacing w:line="460" w:lineRule="exact"/>
              <w:jc w:val="center"/>
              <w:rPr>
                <w:rFonts w:hint="eastAsia"/>
                <w:color w:val="auto"/>
                <w:sz w:val="24"/>
                <w:highlight w:val="none"/>
              </w:rPr>
            </w:pPr>
          </w:p>
        </w:tc>
        <w:tc>
          <w:tcPr>
            <w:tcW w:w="1440" w:type="dxa"/>
            <w:noWrap w:val="0"/>
            <w:vAlign w:val="center"/>
          </w:tcPr>
          <w:p w14:paraId="051A63F8">
            <w:pPr>
              <w:tabs>
                <w:tab w:val="left" w:pos="360"/>
              </w:tabs>
              <w:spacing w:line="460" w:lineRule="exact"/>
              <w:jc w:val="center"/>
              <w:rPr>
                <w:rFonts w:hint="eastAsia"/>
                <w:color w:val="auto"/>
                <w:sz w:val="24"/>
                <w:highlight w:val="none"/>
              </w:rPr>
            </w:pPr>
          </w:p>
        </w:tc>
        <w:tc>
          <w:tcPr>
            <w:tcW w:w="1460" w:type="dxa"/>
            <w:noWrap w:val="0"/>
            <w:vAlign w:val="center"/>
          </w:tcPr>
          <w:p w14:paraId="12C556FE">
            <w:pPr>
              <w:tabs>
                <w:tab w:val="left" w:pos="360"/>
              </w:tabs>
              <w:spacing w:line="460" w:lineRule="exact"/>
              <w:jc w:val="center"/>
              <w:rPr>
                <w:rFonts w:hint="eastAsia"/>
                <w:color w:val="auto"/>
                <w:sz w:val="24"/>
                <w:highlight w:val="none"/>
              </w:rPr>
            </w:pPr>
          </w:p>
        </w:tc>
        <w:tc>
          <w:tcPr>
            <w:tcW w:w="2680" w:type="dxa"/>
            <w:noWrap w:val="0"/>
            <w:vAlign w:val="center"/>
          </w:tcPr>
          <w:p w14:paraId="2D23E534">
            <w:pPr>
              <w:tabs>
                <w:tab w:val="left" w:pos="360"/>
              </w:tabs>
              <w:spacing w:line="460" w:lineRule="exact"/>
              <w:jc w:val="center"/>
              <w:rPr>
                <w:rFonts w:hint="eastAsia"/>
                <w:color w:val="auto"/>
                <w:sz w:val="24"/>
                <w:highlight w:val="none"/>
              </w:rPr>
            </w:pPr>
          </w:p>
        </w:tc>
        <w:tc>
          <w:tcPr>
            <w:tcW w:w="1542" w:type="dxa"/>
            <w:noWrap w:val="0"/>
            <w:vAlign w:val="center"/>
          </w:tcPr>
          <w:p w14:paraId="27FDEB94">
            <w:pPr>
              <w:tabs>
                <w:tab w:val="left" w:pos="360"/>
              </w:tabs>
              <w:spacing w:line="460" w:lineRule="exact"/>
              <w:jc w:val="center"/>
              <w:rPr>
                <w:rFonts w:hint="eastAsia"/>
                <w:color w:val="auto"/>
                <w:sz w:val="24"/>
                <w:highlight w:val="none"/>
              </w:rPr>
            </w:pPr>
          </w:p>
        </w:tc>
      </w:tr>
      <w:tr w14:paraId="7C109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548" w:type="dxa"/>
            <w:noWrap w:val="0"/>
            <w:vAlign w:val="center"/>
          </w:tcPr>
          <w:p w14:paraId="0125E0FB">
            <w:pPr>
              <w:tabs>
                <w:tab w:val="left" w:pos="360"/>
              </w:tabs>
              <w:spacing w:line="460" w:lineRule="exact"/>
              <w:jc w:val="center"/>
              <w:rPr>
                <w:rFonts w:hint="eastAsia"/>
                <w:color w:val="auto"/>
                <w:sz w:val="24"/>
                <w:highlight w:val="none"/>
              </w:rPr>
            </w:pPr>
          </w:p>
        </w:tc>
        <w:tc>
          <w:tcPr>
            <w:tcW w:w="900" w:type="dxa"/>
            <w:noWrap w:val="0"/>
            <w:vAlign w:val="center"/>
          </w:tcPr>
          <w:p w14:paraId="48E48E46">
            <w:pPr>
              <w:tabs>
                <w:tab w:val="left" w:pos="360"/>
              </w:tabs>
              <w:spacing w:line="460" w:lineRule="exact"/>
              <w:jc w:val="center"/>
              <w:rPr>
                <w:rFonts w:hint="eastAsia"/>
                <w:color w:val="auto"/>
                <w:sz w:val="24"/>
                <w:highlight w:val="none"/>
              </w:rPr>
            </w:pPr>
          </w:p>
        </w:tc>
        <w:tc>
          <w:tcPr>
            <w:tcW w:w="1440" w:type="dxa"/>
            <w:noWrap w:val="0"/>
            <w:vAlign w:val="center"/>
          </w:tcPr>
          <w:p w14:paraId="137ECC00">
            <w:pPr>
              <w:tabs>
                <w:tab w:val="left" w:pos="360"/>
              </w:tabs>
              <w:spacing w:line="460" w:lineRule="exact"/>
              <w:jc w:val="center"/>
              <w:rPr>
                <w:rFonts w:hint="eastAsia"/>
                <w:color w:val="auto"/>
                <w:sz w:val="24"/>
                <w:highlight w:val="none"/>
              </w:rPr>
            </w:pPr>
          </w:p>
        </w:tc>
        <w:tc>
          <w:tcPr>
            <w:tcW w:w="1460" w:type="dxa"/>
            <w:noWrap w:val="0"/>
            <w:vAlign w:val="center"/>
          </w:tcPr>
          <w:p w14:paraId="7EDCEACC">
            <w:pPr>
              <w:tabs>
                <w:tab w:val="left" w:pos="360"/>
              </w:tabs>
              <w:spacing w:line="460" w:lineRule="exact"/>
              <w:jc w:val="center"/>
              <w:rPr>
                <w:rFonts w:hint="eastAsia"/>
                <w:color w:val="auto"/>
                <w:sz w:val="24"/>
                <w:highlight w:val="none"/>
              </w:rPr>
            </w:pPr>
          </w:p>
        </w:tc>
        <w:tc>
          <w:tcPr>
            <w:tcW w:w="2680" w:type="dxa"/>
            <w:noWrap w:val="0"/>
            <w:vAlign w:val="center"/>
          </w:tcPr>
          <w:p w14:paraId="7F0C0E47">
            <w:pPr>
              <w:tabs>
                <w:tab w:val="left" w:pos="360"/>
              </w:tabs>
              <w:spacing w:line="460" w:lineRule="exact"/>
              <w:jc w:val="center"/>
              <w:rPr>
                <w:rFonts w:hint="eastAsia"/>
                <w:color w:val="auto"/>
                <w:sz w:val="24"/>
                <w:highlight w:val="none"/>
              </w:rPr>
            </w:pPr>
          </w:p>
        </w:tc>
        <w:tc>
          <w:tcPr>
            <w:tcW w:w="1542" w:type="dxa"/>
            <w:noWrap w:val="0"/>
            <w:vAlign w:val="center"/>
          </w:tcPr>
          <w:p w14:paraId="2BD21BCD">
            <w:pPr>
              <w:tabs>
                <w:tab w:val="left" w:pos="360"/>
              </w:tabs>
              <w:spacing w:line="460" w:lineRule="exact"/>
              <w:jc w:val="center"/>
              <w:rPr>
                <w:rFonts w:hint="eastAsia"/>
                <w:color w:val="auto"/>
                <w:sz w:val="24"/>
                <w:highlight w:val="none"/>
              </w:rPr>
            </w:pPr>
          </w:p>
        </w:tc>
      </w:tr>
      <w:tr w14:paraId="59525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548" w:type="dxa"/>
            <w:noWrap w:val="0"/>
            <w:vAlign w:val="center"/>
          </w:tcPr>
          <w:p w14:paraId="4EEA36E1">
            <w:pPr>
              <w:tabs>
                <w:tab w:val="left" w:pos="360"/>
              </w:tabs>
              <w:spacing w:line="460" w:lineRule="exact"/>
              <w:jc w:val="center"/>
              <w:rPr>
                <w:rFonts w:hint="eastAsia"/>
                <w:color w:val="auto"/>
                <w:sz w:val="24"/>
                <w:highlight w:val="none"/>
              </w:rPr>
            </w:pPr>
          </w:p>
        </w:tc>
        <w:tc>
          <w:tcPr>
            <w:tcW w:w="900" w:type="dxa"/>
            <w:noWrap w:val="0"/>
            <w:vAlign w:val="center"/>
          </w:tcPr>
          <w:p w14:paraId="365320F1">
            <w:pPr>
              <w:tabs>
                <w:tab w:val="left" w:pos="360"/>
              </w:tabs>
              <w:spacing w:line="460" w:lineRule="exact"/>
              <w:jc w:val="center"/>
              <w:rPr>
                <w:rFonts w:hint="eastAsia"/>
                <w:color w:val="auto"/>
                <w:sz w:val="24"/>
                <w:highlight w:val="none"/>
              </w:rPr>
            </w:pPr>
          </w:p>
        </w:tc>
        <w:tc>
          <w:tcPr>
            <w:tcW w:w="1440" w:type="dxa"/>
            <w:noWrap w:val="0"/>
            <w:vAlign w:val="center"/>
          </w:tcPr>
          <w:p w14:paraId="32BAC4A9">
            <w:pPr>
              <w:tabs>
                <w:tab w:val="left" w:pos="360"/>
              </w:tabs>
              <w:spacing w:line="460" w:lineRule="exact"/>
              <w:jc w:val="center"/>
              <w:rPr>
                <w:rFonts w:hint="eastAsia"/>
                <w:color w:val="auto"/>
                <w:sz w:val="24"/>
                <w:highlight w:val="none"/>
              </w:rPr>
            </w:pPr>
          </w:p>
        </w:tc>
        <w:tc>
          <w:tcPr>
            <w:tcW w:w="1460" w:type="dxa"/>
            <w:noWrap w:val="0"/>
            <w:vAlign w:val="center"/>
          </w:tcPr>
          <w:p w14:paraId="4A20A7C1">
            <w:pPr>
              <w:tabs>
                <w:tab w:val="left" w:pos="360"/>
              </w:tabs>
              <w:spacing w:line="460" w:lineRule="exact"/>
              <w:jc w:val="center"/>
              <w:rPr>
                <w:rFonts w:hint="eastAsia"/>
                <w:color w:val="auto"/>
                <w:sz w:val="24"/>
                <w:highlight w:val="none"/>
              </w:rPr>
            </w:pPr>
          </w:p>
        </w:tc>
        <w:tc>
          <w:tcPr>
            <w:tcW w:w="2680" w:type="dxa"/>
            <w:noWrap w:val="0"/>
            <w:vAlign w:val="center"/>
          </w:tcPr>
          <w:p w14:paraId="7A2D9E42">
            <w:pPr>
              <w:tabs>
                <w:tab w:val="left" w:pos="360"/>
              </w:tabs>
              <w:spacing w:line="460" w:lineRule="exact"/>
              <w:jc w:val="center"/>
              <w:rPr>
                <w:rFonts w:hint="eastAsia"/>
                <w:color w:val="auto"/>
                <w:sz w:val="24"/>
                <w:highlight w:val="none"/>
              </w:rPr>
            </w:pPr>
          </w:p>
        </w:tc>
        <w:tc>
          <w:tcPr>
            <w:tcW w:w="1542" w:type="dxa"/>
            <w:noWrap w:val="0"/>
            <w:vAlign w:val="center"/>
          </w:tcPr>
          <w:p w14:paraId="78481AF7">
            <w:pPr>
              <w:tabs>
                <w:tab w:val="left" w:pos="360"/>
              </w:tabs>
              <w:spacing w:line="460" w:lineRule="exact"/>
              <w:jc w:val="center"/>
              <w:rPr>
                <w:rFonts w:hint="eastAsia"/>
                <w:color w:val="auto"/>
                <w:sz w:val="24"/>
                <w:highlight w:val="none"/>
              </w:rPr>
            </w:pPr>
          </w:p>
        </w:tc>
      </w:tr>
      <w:tr w14:paraId="79DF0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548" w:type="dxa"/>
            <w:noWrap w:val="0"/>
            <w:vAlign w:val="center"/>
          </w:tcPr>
          <w:p w14:paraId="788F19C2">
            <w:pPr>
              <w:tabs>
                <w:tab w:val="left" w:pos="360"/>
              </w:tabs>
              <w:spacing w:line="460" w:lineRule="exact"/>
              <w:jc w:val="center"/>
              <w:rPr>
                <w:rFonts w:hint="eastAsia"/>
                <w:color w:val="auto"/>
                <w:sz w:val="24"/>
                <w:highlight w:val="none"/>
              </w:rPr>
            </w:pPr>
          </w:p>
        </w:tc>
        <w:tc>
          <w:tcPr>
            <w:tcW w:w="900" w:type="dxa"/>
            <w:noWrap w:val="0"/>
            <w:vAlign w:val="center"/>
          </w:tcPr>
          <w:p w14:paraId="0C0AA225">
            <w:pPr>
              <w:tabs>
                <w:tab w:val="left" w:pos="360"/>
              </w:tabs>
              <w:spacing w:line="460" w:lineRule="exact"/>
              <w:jc w:val="center"/>
              <w:rPr>
                <w:rFonts w:hint="eastAsia"/>
                <w:color w:val="auto"/>
                <w:sz w:val="24"/>
                <w:highlight w:val="none"/>
              </w:rPr>
            </w:pPr>
          </w:p>
        </w:tc>
        <w:tc>
          <w:tcPr>
            <w:tcW w:w="1440" w:type="dxa"/>
            <w:noWrap w:val="0"/>
            <w:vAlign w:val="center"/>
          </w:tcPr>
          <w:p w14:paraId="04F15E25">
            <w:pPr>
              <w:tabs>
                <w:tab w:val="left" w:pos="360"/>
              </w:tabs>
              <w:spacing w:line="460" w:lineRule="exact"/>
              <w:jc w:val="center"/>
              <w:rPr>
                <w:rFonts w:hint="eastAsia"/>
                <w:color w:val="auto"/>
                <w:sz w:val="24"/>
                <w:highlight w:val="none"/>
              </w:rPr>
            </w:pPr>
          </w:p>
        </w:tc>
        <w:tc>
          <w:tcPr>
            <w:tcW w:w="1460" w:type="dxa"/>
            <w:noWrap w:val="0"/>
            <w:vAlign w:val="center"/>
          </w:tcPr>
          <w:p w14:paraId="61E509EA">
            <w:pPr>
              <w:tabs>
                <w:tab w:val="left" w:pos="360"/>
              </w:tabs>
              <w:spacing w:line="460" w:lineRule="exact"/>
              <w:jc w:val="center"/>
              <w:rPr>
                <w:rFonts w:hint="eastAsia"/>
                <w:color w:val="auto"/>
                <w:sz w:val="24"/>
                <w:highlight w:val="none"/>
              </w:rPr>
            </w:pPr>
          </w:p>
        </w:tc>
        <w:tc>
          <w:tcPr>
            <w:tcW w:w="2680" w:type="dxa"/>
            <w:noWrap w:val="0"/>
            <w:vAlign w:val="center"/>
          </w:tcPr>
          <w:p w14:paraId="54716CEE">
            <w:pPr>
              <w:tabs>
                <w:tab w:val="left" w:pos="360"/>
              </w:tabs>
              <w:spacing w:line="460" w:lineRule="exact"/>
              <w:jc w:val="center"/>
              <w:rPr>
                <w:rFonts w:hint="eastAsia"/>
                <w:color w:val="auto"/>
                <w:sz w:val="24"/>
                <w:highlight w:val="none"/>
              </w:rPr>
            </w:pPr>
          </w:p>
        </w:tc>
        <w:tc>
          <w:tcPr>
            <w:tcW w:w="1542" w:type="dxa"/>
            <w:noWrap w:val="0"/>
            <w:vAlign w:val="center"/>
          </w:tcPr>
          <w:p w14:paraId="18B35B1C">
            <w:pPr>
              <w:tabs>
                <w:tab w:val="left" w:pos="360"/>
              </w:tabs>
              <w:spacing w:line="460" w:lineRule="exact"/>
              <w:jc w:val="center"/>
              <w:rPr>
                <w:rFonts w:hint="eastAsia"/>
                <w:color w:val="auto"/>
                <w:sz w:val="24"/>
                <w:highlight w:val="none"/>
              </w:rPr>
            </w:pPr>
          </w:p>
        </w:tc>
      </w:tr>
      <w:tr w14:paraId="5B2EA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548" w:type="dxa"/>
            <w:noWrap w:val="0"/>
            <w:vAlign w:val="center"/>
          </w:tcPr>
          <w:p w14:paraId="050BAE1C">
            <w:pPr>
              <w:tabs>
                <w:tab w:val="left" w:pos="360"/>
              </w:tabs>
              <w:spacing w:line="460" w:lineRule="exact"/>
              <w:jc w:val="center"/>
              <w:rPr>
                <w:rFonts w:hint="eastAsia"/>
                <w:color w:val="auto"/>
                <w:sz w:val="24"/>
                <w:highlight w:val="none"/>
              </w:rPr>
            </w:pPr>
          </w:p>
        </w:tc>
        <w:tc>
          <w:tcPr>
            <w:tcW w:w="900" w:type="dxa"/>
            <w:noWrap w:val="0"/>
            <w:vAlign w:val="center"/>
          </w:tcPr>
          <w:p w14:paraId="3403ADEA">
            <w:pPr>
              <w:tabs>
                <w:tab w:val="left" w:pos="360"/>
              </w:tabs>
              <w:spacing w:line="460" w:lineRule="exact"/>
              <w:jc w:val="center"/>
              <w:rPr>
                <w:rFonts w:hint="eastAsia"/>
                <w:color w:val="auto"/>
                <w:sz w:val="24"/>
                <w:highlight w:val="none"/>
              </w:rPr>
            </w:pPr>
          </w:p>
        </w:tc>
        <w:tc>
          <w:tcPr>
            <w:tcW w:w="1440" w:type="dxa"/>
            <w:noWrap w:val="0"/>
            <w:vAlign w:val="center"/>
          </w:tcPr>
          <w:p w14:paraId="5E334BCC">
            <w:pPr>
              <w:tabs>
                <w:tab w:val="left" w:pos="360"/>
              </w:tabs>
              <w:spacing w:line="460" w:lineRule="exact"/>
              <w:jc w:val="center"/>
              <w:rPr>
                <w:rFonts w:hint="eastAsia"/>
                <w:color w:val="auto"/>
                <w:sz w:val="24"/>
                <w:highlight w:val="none"/>
              </w:rPr>
            </w:pPr>
          </w:p>
        </w:tc>
        <w:tc>
          <w:tcPr>
            <w:tcW w:w="1460" w:type="dxa"/>
            <w:noWrap w:val="0"/>
            <w:vAlign w:val="center"/>
          </w:tcPr>
          <w:p w14:paraId="7567E774">
            <w:pPr>
              <w:tabs>
                <w:tab w:val="left" w:pos="360"/>
              </w:tabs>
              <w:spacing w:line="460" w:lineRule="exact"/>
              <w:jc w:val="center"/>
              <w:rPr>
                <w:rFonts w:hint="eastAsia"/>
                <w:color w:val="auto"/>
                <w:sz w:val="24"/>
                <w:highlight w:val="none"/>
              </w:rPr>
            </w:pPr>
          </w:p>
        </w:tc>
        <w:tc>
          <w:tcPr>
            <w:tcW w:w="2680" w:type="dxa"/>
            <w:noWrap w:val="0"/>
            <w:vAlign w:val="center"/>
          </w:tcPr>
          <w:p w14:paraId="039336ED">
            <w:pPr>
              <w:tabs>
                <w:tab w:val="left" w:pos="360"/>
              </w:tabs>
              <w:spacing w:line="460" w:lineRule="exact"/>
              <w:jc w:val="center"/>
              <w:rPr>
                <w:rFonts w:hint="eastAsia"/>
                <w:color w:val="auto"/>
                <w:sz w:val="24"/>
                <w:highlight w:val="none"/>
              </w:rPr>
            </w:pPr>
          </w:p>
        </w:tc>
        <w:tc>
          <w:tcPr>
            <w:tcW w:w="1542" w:type="dxa"/>
            <w:noWrap w:val="0"/>
            <w:vAlign w:val="center"/>
          </w:tcPr>
          <w:p w14:paraId="62047048">
            <w:pPr>
              <w:tabs>
                <w:tab w:val="left" w:pos="360"/>
              </w:tabs>
              <w:spacing w:line="460" w:lineRule="exact"/>
              <w:jc w:val="center"/>
              <w:rPr>
                <w:rFonts w:hint="eastAsia"/>
                <w:color w:val="auto"/>
                <w:sz w:val="24"/>
                <w:highlight w:val="none"/>
              </w:rPr>
            </w:pPr>
          </w:p>
        </w:tc>
      </w:tr>
      <w:tr w14:paraId="35C4A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548" w:type="dxa"/>
            <w:noWrap w:val="0"/>
            <w:vAlign w:val="center"/>
          </w:tcPr>
          <w:p w14:paraId="7E358808">
            <w:pPr>
              <w:tabs>
                <w:tab w:val="left" w:pos="360"/>
              </w:tabs>
              <w:spacing w:line="460" w:lineRule="exact"/>
              <w:jc w:val="center"/>
              <w:rPr>
                <w:rFonts w:hint="eastAsia"/>
                <w:color w:val="auto"/>
                <w:sz w:val="24"/>
                <w:highlight w:val="none"/>
              </w:rPr>
            </w:pPr>
          </w:p>
        </w:tc>
        <w:tc>
          <w:tcPr>
            <w:tcW w:w="900" w:type="dxa"/>
            <w:noWrap w:val="0"/>
            <w:vAlign w:val="center"/>
          </w:tcPr>
          <w:p w14:paraId="73A60C10">
            <w:pPr>
              <w:tabs>
                <w:tab w:val="left" w:pos="360"/>
              </w:tabs>
              <w:spacing w:line="460" w:lineRule="exact"/>
              <w:jc w:val="center"/>
              <w:rPr>
                <w:rFonts w:hint="eastAsia"/>
                <w:color w:val="auto"/>
                <w:sz w:val="24"/>
                <w:highlight w:val="none"/>
              </w:rPr>
            </w:pPr>
          </w:p>
        </w:tc>
        <w:tc>
          <w:tcPr>
            <w:tcW w:w="1440" w:type="dxa"/>
            <w:noWrap w:val="0"/>
            <w:vAlign w:val="center"/>
          </w:tcPr>
          <w:p w14:paraId="6D8679ED">
            <w:pPr>
              <w:tabs>
                <w:tab w:val="left" w:pos="360"/>
              </w:tabs>
              <w:spacing w:line="460" w:lineRule="exact"/>
              <w:jc w:val="center"/>
              <w:rPr>
                <w:rFonts w:hint="eastAsia"/>
                <w:color w:val="auto"/>
                <w:sz w:val="24"/>
                <w:highlight w:val="none"/>
              </w:rPr>
            </w:pPr>
          </w:p>
        </w:tc>
        <w:tc>
          <w:tcPr>
            <w:tcW w:w="1460" w:type="dxa"/>
            <w:noWrap w:val="0"/>
            <w:vAlign w:val="center"/>
          </w:tcPr>
          <w:p w14:paraId="12ECC762">
            <w:pPr>
              <w:tabs>
                <w:tab w:val="left" w:pos="360"/>
              </w:tabs>
              <w:spacing w:line="460" w:lineRule="exact"/>
              <w:jc w:val="center"/>
              <w:rPr>
                <w:rFonts w:hint="eastAsia"/>
                <w:color w:val="auto"/>
                <w:sz w:val="24"/>
                <w:highlight w:val="none"/>
              </w:rPr>
            </w:pPr>
          </w:p>
        </w:tc>
        <w:tc>
          <w:tcPr>
            <w:tcW w:w="2680" w:type="dxa"/>
            <w:noWrap w:val="0"/>
            <w:vAlign w:val="center"/>
          </w:tcPr>
          <w:p w14:paraId="311B3BAA">
            <w:pPr>
              <w:tabs>
                <w:tab w:val="left" w:pos="360"/>
              </w:tabs>
              <w:spacing w:line="460" w:lineRule="exact"/>
              <w:jc w:val="center"/>
              <w:rPr>
                <w:rFonts w:hint="eastAsia"/>
                <w:color w:val="auto"/>
                <w:sz w:val="24"/>
                <w:highlight w:val="none"/>
              </w:rPr>
            </w:pPr>
          </w:p>
        </w:tc>
        <w:tc>
          <w:tcPr>
            <w:tcW w:w="1542" w:type="dxa"/>
            <w:noWrap w:val="0"/>
            <w:vAlign w:val="center"/>
          </w:tcPr>
          <w:p w14:paraId="3A6D0411">
            <w:pPr>
              <w:tabs>
                <w:tab w:val="left" w:pos="360"/>
              </w:tabs>
              <w:spacing w:line="460" w:lineRule="exact"/>
              <w:jc w:val="center"/>
              <w:rPr>
                <w:rFonts w:hint="eastAsia"/>
                <w:color w:val="auto"/>
                <w:sz w:val="24"/>
                <w:highlight w:val="none"/>
              </w:rPr>
            </w:pPr>
          </w:p>
        </w:tc>
      </w:tr>
      <w:tr w14:paraId="40130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548" w:type="dxa"/>
            <w:noWrap w:val="0"/>
            <w:vAlign w:val="center"/>
          </w:tcPr>
          <w:p w14:paraId="64A483DA">
            <w:pPr>
              <w:tabs>
                <w:tab w:val="left" w:pos="360"/>
              </w:tabs>
              <w:spacing w:line="460" w:lineRule="exact"/>
              <w:jc w:val="center"/>
              <w:rPr>
                <w:rFonts w:hint="eastAsia"/>
                <w:color w:val="auto"/>
                <w:sz w:val="24"/>
                <w:highlight w:val="none"/>
              </w:rPr>
            </w:pPr>
          </w:p>
        </w:tc>
        <w:tc>
          <w:tcPr>
            <w:tcW w:w="900" w:type="dxa"/>
            <w:noWrap w:val="0"/>
            <w:vAlign w:val="center"/>
          </w:tcPr>
          <w:p w14:paraId="124EC412">
            <w:pPr>
              <w:tabs>
                <w:tab w:val="left" w:pos="360"/>
              </w:tabs>
              <w:spacing w:line="460" w:lineRule="exact"/>
              <w:jc w:val="center"/>
              <w:rPr>
                <w:rFonts w:hint="eastAsia"/>
                <w:color w:val="auto"/>
                <w:sz w:val="24"/>
                <w:highlight w:val="none"/>
              </w:rPr>
            </w:pPr>
          </w:p>
        </w:tc>
        <w:tc>
          <w:tcPr>
            <w:tcW w:w="1440" w:type="dxa"/>
            <w:noWrap w:val="0"/>
            <w:vAlign w:val="center"/>
          </w:tcPr>
          <w:p w14:paraId="25EA99E1">
            <w:pPr>
              <w:tabs>
                <w:tab w:val="left" w:pos="360"/>
              </w:tabs>
              <w:spacing w:line="460" w:lineRule="exact"/>
              <w:jc w:val="center"/>
              <w:rPr>
                <w:rFonts w:hint="eastAsia"/>
                <w:color w:val="auto"/>
                <w:sz w:val="24"/>
                <w:highlight w:val="none"/>
              </w:rPr>
            </w:pPr>
          </w:p>
        </w:tc>
        <w:tc>
          <w:tcPr>
            <w:tcW w:w="1460" w:type="dxa"/>
            <w:noWrap w:val="0"/>
            <w:vAlign w:val="center"/>
          </w:tcPr>
          <w:p w14:paraId="74386206">
            <w:pPr>
              <w:tabs>
                <w:tab w:val="left" w:pos="360"/>
              </w:tabs>
              <w:spacing w:line="460" w:lineRule="exact"/>
              <w:jc w:val="center"/>
              <w:rPr>
                <w:rFonts w:hint="eastAsia"/>
                <w:color w:val="auto"/>
                <w:sz w:val="24"/>
                <w:highlight w:val="none"/>
              </w:rPr>
            </w:pPr>
          </w:p>
        </w:tc>
        <w:tc>
          <w:tcPr>
            <w:tcW w:w="2680" w:type="dxa"/>
            <w:noWrap w:val="0"/>
            <w:vAlign w:val="center"/>
          </w:tcPr>
          <w:p w14:paraId="500E1F55">
            <w:pPr>
              <w:tabs>
                <w:tab w:val="left" w:pos="360"/>
              </w:tabs>
              <w:spacing w:line="460" w:lineRule="exact"/>
              <w:jc w:val="center"/>
              <w:rPr>
                <w:rFonts w:hint="eastAsia"/>
                <w:color w:val="auto"/>
                <w:sz w:val="24"/>
                <w:highlight w:val="none"/>
              </w:rPr>
            </w:pPr>
          </w:p>
        </w:tc>
        <w:tc>
          <w:tcPr>
            <w:tcW w:w="1542" w:type="dxa"/>
            <w:noWrap w:val="0"/>
            <w:vAlign w:val="center"/>
          </w:tcPr>
          <w:p w14:paraId="583248FE">
            <w:pPr>
              <w:tabs>
                <w:tab w:val="left" w:pos="360"/>
              </w:tabs>
              <w:spacing w:line="460" w:lineRule="exact"/>
              <w:jc w:val="center"/>
              <w:rPr>
                <w:rFonts w:hint="eastAsia"/>
                <w:color w:val="auto"/>
                <w:sz w:val="24"/>
                <w:highlight w:val="none"/>
              </w:rPr>
            </w:pPr>
          </w:p>
        </w:tc>
      </w:tr>
    </w:tbl>
    <w:p w14:paraId="5A9BA6C8">
      <w:pPr>
        <w:tabs>
          <w:tab w:val="left" w:pos="360"/>
        </w:tabs>
        <w:spacing w:line="500" w:lineRule="exact"/>
        <w:rPr>
          <w:rFonts w:hint="eastAsia"/>
          <w:color w:val="auto"/>
          <w:sz w:val="24"/>
          <w:highlight w:val="none"/>
        </w:rPr>
      </w:pPr>
    </w:p>
    <w:p w14:paraId="5665A35C">
      <w:pPr>
        <w:tabs>
          <w:tab w:val="left" w:pos="360"/>
        </w:tabs>
        <w:spacing w:line="500" w:lineRule="exact"/>
        <w:rPr>
          <w:rFonts w:hint="eastAsia" w:ascii="宋体" w:cs="宋体"/>
          <w:color w:val="auto"/>
          <w:szCs w:val="21"/>
          <w:highlight w:val="none"/>
          <w:u w:val="single"/>
          <w:lang w:bidi="ar-SA"/>
        </w:rPr>
      </w:pPr>
      <w:r>
        <w:rPr>
          <w:rFonts w:hint="eastAsia" w:ascii="宋体" w:cs="宋体"/>
          <w:color w:val="auto"/>
          <w:szCs w:val="21"/>
          <w:highlight w:val="none"/>
          <w:lang w:bidi="ar-SA"/>
        </w:rPr>
        <w:t>全权代表签字：                   职 务：         日 期：</w:t>
      </w:r>
      <w:r>
        <w:rPr>
          <w:rFonts w:hint="eastAsia" w:ascii="宋体" w:cs="宋体"/>
          <w:color w:val="auto"/>
          <w:szCs w:val="21"/>
          <w:highlight w:val="none"/>
          <w:u w:val="single"/>
          <w:lang w:bidi="ar-SA"/>
        </w:rPr>
        <w:t xml:space="preserve">           </w:t>
      </w:r>
    </w:p>
    <w:p w14:paraId="75CBE080">
      <w:pPr>
        <w:spacing w:line="360" w:lineRule="auto"/>
        <w:rPr>
          <w:rFonts w:hint="eastAsia" w:ascii="宋体" w:cs="宋体"/>
          <w:color w:val="auto"/>
          <w:szCs w:val="21"/>
          <w:highlight w:val="none"/>
          <w:lang w:bidi="ar-SA"/>
        </w:rPr>
      </w:pPr>
      <w:r>
        <w:rPr>
          <w:rFonts w:hint="eastAsia" w:ascii="宋体" w:cs="宋体"/>
          <w:color w:val="auto"/>
          <w:szCs w:val="21"/>
          <w:highlight w:val="none"/>
          <w:lang w:bidi="ar-SA"/>
        </w:rPr>
        <w:t>注：1.此表在不改变表式的情况下，可自行制作。</w:t>
      </w:r>
    </w:p>
    <w:p w14:paraId="21C12207">
      <w:pPr>
        <w:spacing w:line="360" w:lineRule="auto"/>
        <w:rPr>
          <w:rFonts w:hint="eastAsia" w:ascii="宋体" w:hAnsi="宋体"/>
          <w:b/>
          <w:bCs/>
          <w:color w:val="auto"/>
          <w:sz w:val="36"/>
          <w:szCs w:val="36"/>
          <w:highlight w:val="none"/>
        </w:rPr>
      </w:pPr>
    </w:p>
    <w:p w14:paraId="1102CBFF">
      <w:pPr>
        <w:jc w:val="center"/>
        <w:outlineLvl w:val="2"/>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开标一览表</w:t>
      </w:r>
    </w:p>
    <w:p w14:paraId="68F26F26">
      <w:pPr>
        <w:rPr>
          <w:rFonts w:hint="eastAsia" w:ascii="宋体" w:hAnsi="宋体" w:cs="宋体"/>
          <w:color w:val="auto"/>
          <w:szCs w:val="21"/>
          <w:highlight w:val="none"/>
          <w:u w:val="single"/>
        </w:rPr>
      </w:pPr>
      <w:r>
        <w:rPr>
          <w:rFonts w:hint="eastAsia" w:ascii="仿宋_GB2312" w:eastAsia="仿宋_GB2312"/>
          <w:color w:val="auto"/>
          <w:sz w:val="24"/>
          <w:highlight w:val="none"/>
        </w:rPr>
        <w:t xml:space="preserve">                                          </w:t>
      </w:r>
    </w:p>
    <w:p w14:paraId="3E87FAF2">
      <w:pPr>
        <w:spacing w:line="480" w:lineRule="exact"/>
        <w:ind w:firstLine="210" w:firstLineChars="100"/>
        <w:rPr>
          <w:rFonts w:hint="eastAsia" w:ascii="宋体"/>
          <w:color w:val="auto"/>
          <w:szCs w:val="21"/>
          <w:highlight w:val="none"/>
        </w:rPr>
      </w:pPr>
      <w:r>
        <w:rPr>
          <w:rFonts w:hint="eastAsia" w:ascii="宋体"/>
          <w:color w:val="auto"/>
          <w:szCs w:val="21"/>
          <w:highlight w:val="none"/>
        </w:rPr>
        <w:t>投标人名称（电子签章）：</w:t>
      </w:r>
      <w:r>
        <w:rPr>
          <w:rFonts w:hint="eastAsia" w:ascii="宋体"/>
          <w:color w:val="auto"/>
          <w:szCs w:val="21"/>
          <w:highlight w:val="none"/>
          <w:u w:val="single"/>
        </w:rPr>
        <w:t xml:space="preserve">                    </w:t>
      </w:r>
      <w:r>
        <w:rPr>
          <w:rFonts w:hint="eastAsia" w:ascii="宋体"/>
          <w:color w:val="auto"/>
          <w:szCs w:val="21"/>
          <w:highlight w:val="none"/>
        </w:rPr>
        <w:t xml:space="preserve">      </w:t>
      </w:r>
    </w:p>
    <w:p w14:paraId="0A3793B1">
      <w:pPr>
        <w:spacing w:line="480" w:lineRule="exact"/>
        <w:ind w:firstLine="210" w:firstLineChars="100"/>
        <w:rPr>
          <w:rFonts w:hint="eastAsia" w:ascii="宋体"/>
          <w:color w:val="auto"/>
          <w:szCs w:val="21"/>
          <w:highlight w:val="none"/>
          <w:u w:val="single"/>
        </w:rPr>
      </w:pPr>
      <w:r>
        <w:rPr>
          <w:rFonts w:hint="eastAsia" w:ascii="宋体"/>
          <w:color w:val="auto"/>
          <w:szCs w:val="21"/>
          <w:highlight w:val="none"/>
        </w:rPr>
        <w:t>招标编号：</w:t>
      </w:r>
      <w:r>
        <w:rPr>
          <w:rFonts w:hint="eastAsia" w:ascii="宋体"/>
          <w:color w:val="auto"/>
          <w:szCs w:val="21"/>
          <w:highlight w:val="none"/>
          <w:u w:val="single"/>
        </w:rPr>
        <w:t xml:space="preserve">                             </w:t>
      </w:r>
      <w:r>
        <w:rPr>
          <w:rFonts w:hint="eastAsia" w:ascii="宋体"/>
          <w:color w:val="auto"/>
          <w:szCs w:val="21"/>
          <w:highlight w:val="none"/>
        </w:rPr>
        <w:t xml:space="preserve">      </w:t>
      </w:r>
    </w:p>
    <w:tbl>
      <w:tblPr>
        <w:tblStyle w:val="38"/>
        <w:tblW w:w="10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988"/>
        <w:gridCol w:w="273"/>
        <w:gridCol w:w="992"/>
        <w:gridCol w:w="850"/>
        <w:gridCol w:w="1418"/>
        <w:gridCol w:w="1417"/>
        <w:gridCol w:w="1418"/>
      </w:tblGrid>
      <w:tr w14:paraId="37D9F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851" w:type="dxa"/>
            <w:vAlign w:val="center"/>
          </w:tcPr>
          <w:p w14:paraId="2EFA99BC">
            <w:pPr>
              <w:spacing w:line="460" w:lineRule="exact"/>
              <w:jc w:val="center"/>
              <w:rPr>
                <w:color w:val="auto"/>
                <w:sz w:val="21"/>
                <w:szCs w:val="21"/>
                <w:highlight w:val="none"/>
              </w:rPr>
            </w:pPr>
            <w:r>
              <w:rPr>
                <w:rFonts w:hint="eastAsia"/>
                <w:color w:val="auto"/>
                <w:sz w:val="21"/>
                <w:szCs w:val="21"/>
                <w:highlight w:val="none"/>
              </w:rPr>
              <w:t>序号</w:t>
            </w:r>
          </w:p>
        </w:tc>
        <w:tc>
          <w:tcPr>
            <w:tcW w:w="3261" w:type="dxa"/>
            <w:gridSpan w:val="2"/>
            <w:vAlign w:val="center"/>
          </w:tcPr>
          <w:p w14:paraId="491BEAC0">
            <w:pPr>
              <w:spacing w:line="460" w:lineRule="exact"/>
              <w:jc w:val="center"/>
              <w:rPr>
                <w:color w:val="auto"/>
                <w:sz w:val="21"/>
                <w:szCs w:val="21"/>
                <w:highlight w:val="none"/>
              </w:rPr>
            </w:pPr>
            <w:r>
              <w:rPr>
                <w:rFonts w:hint="eastAsia"/>
                <w:color w:val="auto"/>
                <w:sz w:val="21"/>
                <w:szCs w:val="21"/>
                <w:highlight w:val="none"/>
              </w:rPr>
              <w:t>名称</w:t>
            </w:r>
          </w:p>
        </w:tc>
        <w:tc>
          <w:tcPr>
            <w:tcW w:w="1842" w:type="dxa"/>
            <w:gridSpan w:val="2"/>
            <w:vAlign w:val="center"/>
          </w:tcPr>
          <w:p w14:paraId="6636CBC5">
            <w:pPr>
              <w:spacing w:line="460" w:lineRule="exact"/>
              <w:jc w:val="center"/>
              <w:rPr>
                <w:color w:val="auto"/>
                <w:sz w:val="21"/>
                <w:szCs w:val="21"/>
                <w:highlight w:val="none"/>
              </w:rPr>
            </w:pPr>
            <w:r>
              <w:rPr>
                <w:rFonts w:hint="eastAsia"/>
                <w:color w:val="auto"/>
                <w:sz w:val="21"/>
                <w:szCs w:val="21"/>
                <w:highlight w:val="none"/>
              </w:rPr>
              <w:t>劳务时间</w:t>
            </w:r>
          </w:p>
        </w:tc>
        <w:tc>
          <w:tcPr>
            <w:tcW w:w="2835" w:type="dxa"/>
            <w:gridSpan w:val="2"/>
            <w:vAlign w:val="center"/>
          </w:tcPr>
          <w:p w14:paraId="0038C84A">
            <w:pPr>
              <w:spacing w:line="460" w:lineRule="exact"/>
              <w:jc w:val="center"/>
              <w:rPr>
                <w:color w:val="auto"/>
                <w:sz w:val="21"/>
                <w:szCs w:val="21"/>
                <w:highlight w:val="none"/>
              </w:rPr>
            </w:pPr>
            <w:r>
              <w:rPr>
                <w:rFonts w:hint="eastAsia"/>
                <w:color w:val="auto"/>
                <w:sz w:val="21"/>
                <w:szCs w:val="21"/>
                <w:highlight w:val="none"/>
              </w:rPr>
              <w:t>总价（元）</w:t>
            </w:r>
          </w:p>
        </w:tc>
        <w:tc>
          <w:tcPr>
            <w:tcW w:w="1418" w:type="dxa"/>
            <w:vAlign w:val="center"/>
          </w:tcPr>
          <w:p w14:paraId="713E6140">
            <w:pPr>
              <w:spacing w:line="460" w:lineRule="exact"/>
              <w:jc w:val="center"/>
              <w:rPr>
                <w:color w:val="auto"/>
                <w:sz w:val="21"/>
                <w:szCs w:val="21"/>
                <w:highlight w:val="none"/>
              </w:rPr>
            </w:pPr>
            <w:r>
              <w:rPr>
                <w:rFonts w:hint="eastAsia"/>
                <w:color w:val="auto"/>
                <w:sz w:val="21"/>
                <w:szCs w:val="21"/>
                <w:highlight w:val="none"/>
              </w:rPr>
              <w:t>备注</w:t>
            </w:r>
          </w:p>
        </w:tc>
      </w:tr>
      <w:tr w14:paraId="1078C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851" w:type="dxa"/>
            <w:vAlign w:val="center"/>
          </w:tcPr>
          <w:p w14:paraId="7B5667C2">
            <w:pPr>
              <w:spacing w:line="460" w:lineRule="exact"/>
              <w:jc w:val="center"/>
              <w:rPr>
                <w:color w:val="auto"/>
                <w:sz w:val="21"/>
                <w:szCs w:val="21"/>
                <w:highlight w:val="none"/>
              </w:rPr>
            </w:pPr>
            <w:r>
              <w:rPr>
                <w:rFonts w:hint="eastAsia"/>
                <w:color w:val="auto"/>
                <w:sz w:val="21"/>
                <w:szCs w:val="21"/>
                <w:highlight w:val="none"/>
              </w:rPr>
              <w:t>1</w:t>
            </w:r>
          </w:p>
        </w:tc>
        <w:tc>
          <w:tcPr>
            <w:tcW w:w="3261" w:type="dxa"/>
            <w:gridSpan w:val="2"/>
            <w:vAlign w:val="center"/>
          </w:tcPr>
          <w:p w14:paraId="0717E792">
            <w:pPr>
              <w:spacing w:line="460" w:lineRule="exact"/>
              <w:jc w:val="center"/>
              <w:rPr>
                <w:color w:val="auto"/>
                <w:sz w:val="21"/>
                <w:szCs w:val="21"/>
                <w:highlight w:val="none"/>
              </w:rPr>
            </w:pPr>
            <w:r>
              <w:rPr>
                <w:rFonts w:hint="eastAsia"/>
                <w:color w:val="auto"/>
                <w:sz w:val="21"/>
                <w:szCs w:val="21"/>
                <w:highlight w:val="none"/>
                <w:lang w:val="en-US" w:eastAsia="zh-CN"/>
              </w:rPr>
              <w:t>6</w:t>
            </w:r>
            <w:r>
              <w:rPr>
                <w:rFonts w:hint="eastAsia"/>
                <w:color w:val="auto"/>
                <w:sz w:val="21"/>
                <w:szCs w:val="21"/>
                <w:highlight w:val="none"/>
              </w:rPr>
              <w:t>名（</w:t>
            </w:r>
            <w:r>
              <w:rPr>
                <w:rFonts w:hint="eastAsia"/>
                <w:color w:val="auto"/>
                <w:sz w:val="21"/>
                <w:szCs w:val="21"/>
                <w:highlight w:val="none"/>
                <w:lang w:val="en-US" w:eastAsia="zh-CN"/>
              </w:rPr>
              <w:t>1</w:t>
            </w:r>
            <w:r>
              <w:rPr>
                <w:rFonts w:hint="eastAsia"/>
                <w:color w:val="auto"/>
                <w:sz w:val="21"/>
                <w:szCs w:val="21"/>
                <w:highlight w:val="none"/>
              </w:rPr>
              <w:t>名厨师</w:t>
            </w:r>
            <w:r>
              <w:rPr>
                <w:rFonts w:hint="eastAsia"/>
                <w:color w:val="auto"/>
                <w:sz w:val="21"/>
                <w:szCs w:val="21"/>
                <w:highlight w:val="none"/>
                <w:lang w:val="en-US" w:eastAsia="zh-CN"/>
              </w:rPr>
              <w:t>长</w:t>
            </w:r>
            <w:r>
              <w:rPr>
                <w:rFonts w:hint="eastAsia"/>
                <w:color w:val="auto"/>
                <w:sz w:val="21"/>
                <w:szCs w:val="21"/>
                <w:highlight w:val="none"/>
              </w:rPr>
              <w:t>、</w:t>
            </w:r>
            <w:r>
              <w:rPr>
                <w:rFonts w:hint="eastAsia"/>
                <w:color w:val="auto"/>
                <w:sz w:val="21"/>
                <w:szCs w:val="21"/>
                <w:highlight w:val="none"/>
                <w:lang w:val="en-US" w:eastAsia="zh-CN"/>
              </w:rPr>
              <w:t>1</w:t>
            </w:r>
            <w:r>
              <w:rPr>
                <w:rFonts w:hint="eastAsia"/>
                <w:color w:val="auto"/>
                <w:sz w:val="21"/>
                <w:szCs w:val="21"/>
                <w:highlight w:val="none"/>
              </w:rPr>
              <w:t>名</w:t>
            </w:r>
            <w:r>
              <w:rPr>
                <w:rFonts w:hint="eastAsia"/>
                <w:color w:val="auto"/>
                <w:sz w:val="21"/>
                <w:szCs w:val="21"/>
                <w:highlight w:val="none"/>
                <w:lang w:val="en-US" w:eastAsia="zh-CN"/>
              </w:rPr>
              <w:t>副</w:t>
            </w:r>
            <w:r>
              <w:rPr>
                <w:rFonts w:hint="eastAsia"/>
                <w:color w:val="auto"/>
                <w:sz w:val="21"/>
                <w:szCs w:val="21"/>
                <w:highlight w:val="none"/>
              </w:rPr>
              <w:t>厨</w:t>
            </w:r>
            <w:r>
              <w:rPr>
                <w:rFonts w:hint="eastAsia"/>
                <w:color w:val="auto"/>
                <w:sz w:val="21"/>
                <w:szCs w:val="21"/>
                <w:highlight w:val="none"/>
                <w:lang w:eastAsia="zh-CN"/>
              </w:rPr>
              <w:t>、</w:t>
            </w:r>
            <w:r>
              <w:rPr>
                <w:rFonts w:hint="eastAsia"/>
                <w:color w:val="auto"/>
                <w:sz w:val="21"/>
                <w:szCs w:val="21"/>
                <w:highlight w:val="none"/>
                <w:lang w:val="en-US" w:eastAsia="zh-CN"/>
              </w:rPr>
              <w:t>1名面点师、3名杂工</w:t>
            </w:r>
            <w:r>
              <w:rPr>
                <w:rFonts w:hint="eastAsia"/>
                <w:color w:val="auto"/>
                <w:sz w:val="21"/>
                <w:szCs w:val="21"/>
                <w:highlight w:val="none"/>
              </w:rPr>
              <w:t>）食堂工作人员劳务派遣</w:t>
            </w:r>
          </w:p>
        </w:tc>
        <w:tc>
          <w:tcPr>
            <w:tcW w:w="1842" w:type="dxa"/>
            <w:gridSpan w:val="2"/>
            <w:vAlign w:val="center"/>
          </w:tcPr>
          <w:p w14:paraId="684E2788">
            <w:pPr>
              <w:spacing w:line="460" w:lineRule="exact"/>
              <w:jc w:val="center"/>
              <w:rPr>
                <w:color w:val="auto"/>
                <w:sz w:val="21"/>
                <w:szCs w:val="21"/>
                <w:highlight w:val="none"/>
                <w:u w:val="single"/>
              </w:rPr>
            </w:pPr>
            <w:r>
              <w:rPr>
                <w:rFonts w:hint="eastAsia"/>
                <w:color w:val="auto"/>
                <w:sz w:val="21"/>
                <w:szCs w:val="21"/>
                <w:highlight w:val="none"/>
              </w:rPr>
              <w:t>一年</w:t>
            </w:r>
          </w:p>
        </w:tc>
        <w:tc>
          <w:tcPr>
            <w:tcW w:w="2835" w:type="dxa"/>
            <w:gridSpan w:val="2"/>
            <w:vAlign w:val="center"/>
          </w:tcPr>
          <w:p w14:paraId="5F4DF48F">
            <w:pPr>
              <w:spacing w:line="460" w:lineRule="exact"/>
              <w:jc w:val="center"/>
              <w:rPr>
                <w:color w:val="auto"/>
                <w:sz w:val="21"/>
                <w:szCs w:val="21"/>
                <w:highlight w:val="none"/>
              </w:rPr>
            </w:pPr>
          </w:p>
        </w:tc>
        <w:tc>
          <w:tcPr>
            <w:tcW w:w="1418" w:type="dxa"/>
            <w:vAlign w:val="center"/>
          </w:tcPr>
          <w:p w14:paraId="589FF109">
            <w:pPr>
              <w:spacing w:line="460" w:lineRule="exact"/>
              <w:jc w:val="center"/>
              <w:rPr>
                <w:color w:val="auto"/>
                <w:sz w:val="21"/>
                <w:szCs w:val="21"/>
                <w:highlight w:val="none"/>
              </w:rPr>
            </w:pPr>
          </w:p>
        </w:tc>
      </w:tr>
      <w:tr w14:paraId="56FD1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12C377FE">
            <w:pPr>
              <w:spacing w:line="460" w:lineRule="exact"/>
              <w:jc w:val="center"/>
              <w:rPr>
                <w:color w:val="auto"/>
                <w:sz w:val="21"/>
                <w:szCs w:val="21"/>
                <w:highlight w:val="none"/>
              </w:rPr>
            </w:pPr>
          </w:p>
        </w:tc>
        <w:tc>
          <w:tcPr>
            <w:tcW w:w="6521" w:type="dxa"/>
            <w:gridSpan w:val="5"/>
            <w:vAlign w:val="center"/>
          </w:tcPr>
          <w:p w14:paraId="6ADD2EF4">
            <w:pPr>
              <w:spacing w:line="460" w:lineRule="exact"/>
              <w:jc w:val="center"/>
              <w:rPr>
                <w:color w:val="auto"/>
                <w:sz w:val="21"/>
                <w:szCs w:val="21"/>
                <w:highlight w:val="none"/>
                <w:u w:val="single"/>
              </w:rPr>
            </w:pPr>
            <w:r>
              <w:rPr>
                <w:rFonts w:hint="eastAsia"/>
                <w:color w:val="auto"/>
                <w:sz w:val="21"/>
                <w:szCs w:val="21"/>
                <w:highlight w:val="none"/>
              </w:rPr>
              <w:t>合计</w:t>
            </w:r>
          </w:p>
        </w:tc>
        <w:tc>
          <w:tcPr>
            <w:tcW w:w="1417" w:type="dxa"/>
            <w:vAlign w:val="center"/>
          </w:tcPr>
          <w:p w14:paraId="057721E7">
            <w:pPr>
              <w:spacing w:line="460" w:lineRule="exact"/>
              <w:jc w:val="center"/>
              <w:rPr>
                <w:color w:val="auto"/>
                <w:sz w:val="21"/>
                <w:szCs w:val="21"/>
                <w:highlight w:val="none"/>
                <w:u w:val="single"/>
              </w:rPr>
            </w:pPr>
          </w:p>
        </w:tc>
        <w:tc>
          <w:tcPr>
            <w:tcW w:w="1418" w:type="dxa"/>
            <w:vAlign w:val="center"/>
          </w:tcPr>
          <w:p w14:paraId="4A84CEC2">
            <w:pPr>
              <w:spacing w:line="460" w:lineRule="exact"/>
              <w:jc w:val="center"/>
              <w:rPr>
                <w:color w:val="auto"/>
                <w:sz w:val="21"/>
                <w:szCs w:val="21"/>
                <w:highlight w:val="none"/>
              </w:rPr>
            </w:pPr>
          </w:p>
        </w:tc>
      </w:tr>
      <w:tr w14:paraId="0B606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4" w:type="dxa"/>
            <w:gridSpan w:val="4"/>
            <w:vAlign w:val="center"/>
          </w:tcPr>
          <w:p w14:paraId="50D0E678">
            <w:pPr>
              <w:spacing w:line="460" w:lineRule="exact"/>
              <w:rPr>
                <w:color w:val="auto"/>
                <w:sz w:val="21"/>
                <w:szCs w:val="21"/>
                <w:highlight w:val="none"/>
              </w:rPr>
            </w:pPr>
            <w:r>
              <w:rPr>
                <w:rFonts w:hint="eastAsia"/>
                <w:color w:val="auto"/>
                <w:sz w:val="21"/>
                <w:szCs w:val="21"/>
                <w:highlight w:val="none"/>
              </w:rPr>
              <w:t>提供增值税（专用/普通）发票</w:t>
            </w:r>
            <w:r>
              <w:rPr>
                <w:rFonts w:hint="eastAsia"/>
                <w:color w:val="auto"/>
                <w:sz w:val="21"/>
                <w:szCs w:val="21"/>
                <w:highlight w:val="none"/>
                <w:lang w:eastAsia="zh-CN"/>
              </w:rPr>
              <w:t>，</w:t>
            </w:r>
            <w:r>
              <w:rPr>
                <w:rFonts w:hint="eastAsia"/>
                <w:color w:val="auto"/>
                <w:sz w:val="21"/>
                <w:szCs w:val="21"/>
                <w:highlight w:val="none"/>
              </w:rPr>
              <w:t>税率</w:t>
            </w:r>
            <w:r>
              <w:rPr>
                <w:rFonts w:hint="eastAsia"/>
                <w:color w:val="auto"/>
                <w:sz w:val="21"/>
                <w:szCs w:val="21"/>
                <w:highlight w:val="none"/>
                <w:u w:val="single"/>
              </w:rPr>
              <w:t xml:space="preserve">     </w:t>
            </w:r>
            <w:r>
              <w:rPr>
                <w:rFonts w:hint="eastAsia"/>
                <w:color w:val="auto"/>
                <w:sz w:val="21"/>
                <w:szCs w:val="21"/>
                <w:highlight w:val="none"/>
              </w:rPr>
              <w:t>%</w:t>
            </w:r>
          </w:p>
        </w:tc>
        <w:tc>
          <w:tcPr>
            <w:tcW w:w="5103" w:type="dxa"/>
            <w:gridSpan w:val="4"/>
            <w:vAlign w:val="center"/>
          </w:tcPr>
          <w:p w14:paraId="5E5A02A5">
            <w:pPr>
              <w:spacing w:line="460" w:lineRule="exact"/>
              <w:jc w:val="center"/>
              <w:rPr>
                <w:color w:val="auto"/>
                <w:sz w:val="21"/>
                <w:szCs w:val="21"/>
                <w:highlight w:val="none"/>
              </w:rPr>
            </w:pPr>
            <w:r>
              <w:rPr>
                <w:rFonts w:hint="eastAsia"/>
                <w:color w:val="auto"/>
                <w:sz w:val="21"/>
                <w:szCs w:val="21"/>
                <w:highlight w:val="none"/>
              </w:rPr>
              <w:t>税额</w:t>
            </w:r>
            <w:r>
              <w:rPr>
                <w:rFonts w:hint="eastAsia"/>
                <w:color w:val="auto"/>
                <w:sz w:val="21"/>
                <w:szCs w:val="21"/>
                <w:highlight w:val="none"/>
                <w:u w:val="single"/>
              </w:rPr>
              <w:t xml:space="preserve">        </w:t>
            </w:r>
            <w:r>
              <w:rPr>
                <w:rFonts w:hint="eastAsia"/>
                <w:color w:val="auto"/>
                <w:sz w:val="21"/>
                <w:szCs w:val="21"/>
                <w:highlight w:val="none"/>
              </w:rPr>
              <w:t>元</w:t>
            </w:r>
          </w:p>
        </w:tc>
      </w:tr>
      <w:tr w14:paraId="57144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9" w:type="dxa"/>
            <w:gridSpan w:val="2"/>
            <w:vAlign w:val="center"/>
          </w:tcPr>
          <w:p w14:paraId="13476B88">
            <w:pPr>
              <w:spacing w:line="460" w:lineRule="exact"/>
              <w:jc w:val="center"/>
              <w:rPr>
                <w:color w:val="auto"/>
                <w:sz w:val="21"/>
                <w:szCs w:val="21"/>
                <w:highlight w:val="none"/>
              </w:rPr>
            </w:pPr>
            <w:r>
              <w:rPr>
                <w:rFonts w:hint="eastAsia"/>
                <w:color w:val="auto"/>
                <w:sz w:val="21"/>
                <w:szCs w:val="21"/>
                <w:highlight w:val="none"/>
              </w:rPr>
              <w:t>价税总计</w:t>
            </w:r>
          </w:p>
        </w:tc>
        <w:tc>
          <w:tcPr>
            <w:tcW w:w="6368" w:type="dxa"/>
            <w:gridSpan w:val="6"/>
            <w:vAlign w:val="center"/>
          </w:tcPr>
          <w:p w14:paraId="580CBAF3">
            <w:pPr>
              <w:spacing w:line="460" w:lineRule="exact"/>
              <w:rPr>
                <w:color w:val="auto"/>
                <w:sz w:val="21"/>
                <w:szCs w:val="21"/>
                <w:highlight w:val="none"/>
              </w:rPr>
            </w:pPr>
            <w:r>
              <w:rPr>
                <w:rFonts w:hint="eastAsia"/>
                <w:color w:val="auto"/>
                <w:sz w:val="21"/>
                <w:szCs w:val="21"/>
                <w:highlight w:val="none"/>
              </w:rPr>
              <w:t>人民币</w:t>
            </w:r>
            <w:r>
              <w:rPr>
                <w:rFonts w:hint="eastAsia"/>
                <w:color w:val="auto"/>
                <w:sz w:val="21"/>
                <w:szCs w:val="21"/>
                <w:highlight w:val="none"/>
                <w:u w:val="single"/>
              </w:rPr>
              <w:t xml:space="preserve">       </w:t>
            </w:r>
            <w:r>
              <w:rPr>
                <w:rFonts w:hint="eastAsia"/>
                <w:color w:val="auto"/>
                <w:sz w:val="21"/>
                <w:szCs w:val="21"/>
                <w:highlight w:val="none"/>
              </w:rPr>
              <w:t>元，大写</w:t>
            </w:r>
            <w:r>
              <w:rPr>
                <w:rFonts w:hint="eastAsia"/>
                <w:color w:val="auto"/>
                <w:sz w:val="21"/>
                <w:szCs w:val="21"/>
                <w:highlight w:val="none"/>
                <w:lang w:eastAsia="zh-CN"/>
              </w:rPr>
              <w:t>：</w:t>
            </w:r>
            <w:r>
              <w:rPr>
                <w:rFonts w:hint="eastAsia"/>
                <w:color w:val="auto"/>
                <w:sz w:val="21"/>
                <w:szCs w:val="21"/>
                <w:highlight w:val="none"/>
                <w:u w:val="single"/>
              </w:rPr>
              <w:t xml:space="preserve">                   </w:t>
            </w:r>
            <w:r>
              <w:rPr>
                <w:rFonts w:hint="eastAsia"/>
                <w:color w:val="auto"/>
                <w:sz w:val="21"/>
                <w:szCs w:val="21"/>
                <w:highlight w:val="none"/>
              </w:rPr>
              <w:t xml:space="preserve">   </w:t>
            </w:r>
          </w:p>
        </w:tc>
      </w:tr>
    </w:tbl>
    <w:p w14:paraId="3902E65B">
      <w:pPr>
        <w:spacing w:line="480" w:lineRule="exact"/>
        <w:ind w:firstLine="210" w:firstLineChars="100"/>
        <w:rPr>
          <w:rFonts w:hint="eastAsia" w:ascii="宋体"/>
          <w:color w:val="auto"/>
          <w:szCs w:val="21"/>
          <w:highlight w:val="none"/>
        </w:rPr>
      </w:pPr>
      <w:r>
        <w:rPr>
          <w:rFonts w:hint="eastAsia" w:ascii="宋体"/>
          <w:color w:val="auto"/>
          <w:szCs w:val="21"/>
          <w:highlight w:val="none"/>
        </w:rPr>
        <w:t xml:space="preserve">全权代表签字：                   </w:t>
      </w:r>
    </w:p>
    <w:p w14:paraId="55501D61">
      <w:pPr>
        <w:spacing w:line="480" w:lineRule="exact"/>
        <w:ind w:firstLine="210" w:firstLineChars="100"/>
        <w:rPr>
          <w:rFonts w:hint="eastAsia" w:ascii="宋体"/>
          <w:color w:val="auto"/>
          <w:szCs w:val="21"/>
          <w:highlight w:val="none"/>
        </w:rPr>
      </w:pPr>
      <w:r>
        <w:rPr>
          <w:rFonts w:hint="eastAsia" w:ascii="宋体"/>
          <w:color w:val="auto"/>
          <w:szCs w:val="21"/>
          <w:highlight w:val="none"/>
        </w:rPr>
        <w:t xml:space="preserve">日 期：           </w:t>
      </w:r>
    </w:p>
    <w:p w14:paraId="2861EE63">
      <w:pPr>
        <w:rPr>
          <w:rFonts w:hint="eastAsia" w:ascii="宋体"/>
          <w:color w:val="auto"/>
          <w:szCs w:val="21"/>
          <w:highlight w:val="none"/>
        </w:rPr>
      </w:pPr>
      <w:r>
        <w:rPr>
          <w:rFonts w:hint="eastAsia" w:ascii="宋体"/>
          <w:color w:val="auto"/>
          <w:szCs w:val="21"/>
          <w:highlight w:val="none"/>
        </w:rPr>
        <w:t>备注：</w:t>
      </w:r>
    </w:p>
    <w:p w14:paraId="54E0CE80">
      <w:pPr>
        <w:keepNext w:val="0"/>
        <w:keepLines w:val="0"/>
        <w:pageBreakBefore w:val="0"/>
        <w:widowControl w:val="0"/>
        <w:numPr>
          <w:ilvl w:val="0"/>
          <w:numId w:val="0"/>
        </w:numPr>
        <w:kinsoku/>
        <w:wordWrap/>
        <w:overflowPunct/>
        <w:topLinePunct w:val="0"/>
        <w:autoSpaceDE/>
        <w:autoSpaceDN/>
        <w:bidi w:val="0"/>
        <w:adjustRightInd/>
        <w:snapToGrid/>
        <w:spacing w:line="440" w:lineRule="atLeast"/>
        <w:ind w:firstLine="420" w:firstLineChars="200"/>
        <w:textAlignment w:val="auto"/>
        <w:rPr>
          <w:rFonts w:hint="eastAsia" w:ascii="宋体"/>
          <w:color w:val="auto"/>
          <w:szCs w:val="21"/>
          <w:highlight w:val="none"/>
        </w:rPr>
      </w:pPr>
      <w:r>
        <w:rPr>
          <w:rFonts w:hint="eastAsia" w:ascii="宋体" w:hAnsi="Times New Roman" w:eastAsia="宋体" w:cs="Times New Roman"/>
          <w:color w:val="auto"/>
          <w:kern w:val="2"/>
          <w:sz w:val="21"/>
          <w:szCs w:val="21"/>
          <w:highlight w:val="none"/>
          <w:lang w:val="en-US" w:eastAsia="zh-CN" w:bidi="ar-SA"/>
        </w:rPr>
        <w:t>1.</w:t>
      </w:r>
      <w:r>
        <w:rPr>
          <w:rFonts w:hint="eastAsia" w:ascii="宋体"/>
          <w:color w:val="auto"/>
          <w:szCs w:val="21"/>
          <w:highlight w:val="none"/>
        </w:rPr>
        <w:t>投标人应根据国家的有关规定和实际情况并结合企业的实际情况进行投标报价。投标报价为投标人所能承受的最低、最终一次性报价。</w:t>
      </w:r>
    </w:p>
    <w:p w14:paraId="67846532">
      <w:pPr>
        <w:keepNext w:val="0"/>
        <w:keepLines w:val="0"/>
        <w:pageBreakBefore w:val="0"/>
        <w:widowControl w:val="0"/>
        <w:numPr>
          <w:ilvl w:val="0"/>
          <w:numId w:val="0"/>
        </w:numPr>
        <w:kinsoku/>
        <w:wordWrap/>
        <w:overflowPunct/>
        <w:topLinePunct w:val="0"/>
        <w:autoSpaceDE/>
        <w:autoSpaceDN/>
        <w:bidi w:val="0"/>
        <w:adjustRightInd/>
        <w:snapToGrid/>
        <w:spacing w:line="440" w:lineRule="atLeast"/>
        <w:ind w:firstLine="420" w:firstLineChars="200"/>
        <w:textAlignment w:val="auto"/>
        <w:rPr>
          <w:rFonts w:hint="eastAsia" w:ascii="宋体"/>
          <w:color w:val="auto"/>
          <w:szCs w:val="21"/>
          <w:highlight w:val="none"/>
        </w:rPr>
      </w:pPr>
      <w:r>
        <w:rPr>
          <w:rFonts w:hint="eastAsia" w:ascii="宋体" w:hAnsi="Times New Roman" w:eastAsia="宋体" w:cs="Times New Roman"/>
          <w:color w:val="auto"/>
          <w:kern w:val="2"/>
          <w:sz w:val="21"/>
          <w:szCs w:val="21"/>
          <w:highlight w:val="none"/>
          <w:lang w:val="en-US" w:eastAsia="zh-CN" w:bidi="ar-SA"/>
        </w:rPr>
        <w:t>2.</w:t>
      </w:r>
      <w:r>
        <w:rPr>
          <w:rFonts w:hint="eastAsia"/>
          <w:color w:val="auto"/>
          <w:sz w:val="24"/>
          <w:highlight w:val="none"/>
        </w:rPr>
        <w:t>需注明提供增值税专用发票或普通发票，并填写相应税率、税额、价税合计</w:t>
      </w:r>
      <w:r>
        <w:rPr>
          <w:rFonts w:hint="eastAsia"/>
          <w:color w:val="auto"/>
          <w:sz w:val="24"/>
          <w:highlight w:val="none"/>
          <w:lang w:eastAsia="zh-CN"/>
        </w:rPr>
        <w:t>。</w:t>
      </w:r>
    </w:p>
    <w:p w14:paraId="1FE0966C">
      <w:pPr>
        <w:keepNext w:val="0"/>
        <w:keepLines w:val="0"/>
        <w:pageBreakBefore w:val="0"/>
        <w:widowControl w:val="0"/>
        <w:kinsoku/>
        <w:wordWrap/>
        <w:overflowPunct/>
        <w:topLinePunct w:val="0"/>
        <w:autoSpaceDE/>
        <w:autoSpaceDN/>
        <w:bidi w:val="0"/>
        <w:adjustRightInd/>
        <w:snapToGrid/>
        <w:spacing w:line="440" w:lineRule="atLeast"/>
        <w:ind w:left="785" w:leftChars="199" w:hanging="367" w:hangingChars="175"/>
        <w:textAlignment w:val="auto"/>
        <w:rPr>
          <w:rFonts w:hint="eastAsia" w:ascii="宋体" w:hAnsi="宋体" w:eastAsia="宋体" w:cs="宋体"/>
          <w:color w:val="auto"/>
          <w:szCs w:val="21"/>
          <w:highlight w:val="none"/>
          <w:lang w:val="en-US" w:eastAsia="zh-CN"/>
        </w:rPr>
      </w:pPr>
      <w:r>
        <w:rPr>
          <w:rFonts w:hint="eastAsia" w:ascii="宋体"/>
          <w:color w:val="auto"/>
          <w:szCs w:val="21"/>
          <w:highlight w:val="none"/>
          <w:lang w:val="en-US" w:eastAsia="zh-CN"/>
        </w:rPr>
        <w:t>3</w:t>
      </w:r>
      <w:r>
        <w:rPr>
          <w:rFonts w:hint="eastAsia" w:ascii="宋体"/>
          <w:color w:val="auto"/>
          <w:szCs w:val="21"/>
          <w:highlight w:val="none"/>
        </w:rPr>
        <w:t>.此表在不改变表式内容的情况下，可自行制作</w:t>
      </w:r>
      <w:r>
        <w:rPr>
          <w:rFonts w:hint="eastAsia" w:ascii="宋体"/>
          <w:color w:val="auto"/>
          <w:szCs w:val="21"/>
          <w:highlight w:val="none"/>
          <w:lang w:eastAsia="zh-CN"/>
        </w:rPr>
        <w:t>。</w:t>
      </w:r>
    </w:p>
    <w:p w14:paraId="29B75913">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71E3E748">
      <w:pPr>
        <w:spacing w:line="360" w:lineRule="auto"/>
        <w:jc w:val="center"/>
        <w:outlineLvl w:val="2"/>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质 疑 函 范 本（供参考）</w:t>
      </w:r>
    </w:p>
    <w:p w14:paraId="765952FE">
      <w:pPr>
        <w:adjustRightInd w:val="0"/>
        <w:snapToGrid w:val="0"/>
        <w:spacing w:before="312" w:beforeLines="100" w:line="360" w:lineRule="auto"/>
        <w:rPr>
          <w:rFonts w:ascii="宋体" w:hAnsi="宋体" w:cs="宋体"/>
          <w:bCs/>
          <w:color w:val="auto"/>
          <w:highlight w:val="none"/>
        </w:rPr>
      </w:pPr>
      <w:r>
        <w:rPr>
          <w:rFonts w:hint="eastAsia" w:ascii="宋体" w:hAnsi="宋体" w:cs="宋体"/>
          <w:bCs/>
          <w:color w:val="auto"/>
          <w:highlight w:val="none"/>
        </w:rPr>
        <w:t>一、质疑供应商基本信息</w:t>
      </w:r>
    </w:p>
    <w:p w14:paraId="0EB8D4EC">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质疑供应商：</w:t>
      </w:r>
    </w:p>
    <w:p w14:paraId="6BFD90C3">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地址：邮编：</w:t>
      </w:r>
    </w:p>
    <w:p w14:paraId="1F31ABF7">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联系人：联系电话：</w:t>
      </w:r>
    </w:p>
    <w:p w14:paraId="066467DD">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授权代表：</w:t>
      </w:r>
    </w:p>
    <w:p w14:paraId="52F0B531">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联系电话：</w:t>
      </w:r>
    </w:p>
    <w:p w14:paraId="5EB0B397">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地址： 邮编：</w:t>
      </w:r>
    </w:p>
    <w:p w14:paraId="7C38179F">
      <w:pPr>
        <w:adjustRightInd w:val="0"/>
        <w:snapToGrid w:val="0"/>
        <w:spacing w:line="360" w:lineRule="auto"/>
        <w:rPr>
          <w:rFonts w:ascii="宋体" w:hAnsi="宋体" w:cs="宋体"/>
          <w:bCs/>
          <w:color w:val="auto"/>
          <w:highlight w:val="none"/>
        </w:rPr>
      </w:pPr>
      <w:r>
        <w:rPr>
          <w:rFonts w:hint="eastAsia" w:ascii="宋体" w:hAnsi="宋体" w:cs="宋体"/>
          <w:bCs/>
          <w:color w:val="auto"/>
          <w:highlight w:val="none"/>
        </w:rPr>
        <w:t>二、质疑项目基本情况</w:t>
      </w:r>
    </w:p>
    <w:p w14:paraId="14111274">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质疑项目的名称：</w:t>
      </w:r>
    </w:p>
    <w:p w14:paraId="1F396D11">
      <w:pPr>
        <w:adjustRightInd w:val="0"/>
        <w:snapToGrid w:val="0"/>
        <w:spacing w:line="360" w:lineRule="auto"/>
        <w:rPr>
          <w:rFonts w:hint="eastAsia" w:ascii="宋体" w:hAnsi="宋体" w:eastAsia="宋体" w:cs="宋体"/>
          <w:bCs/>
          <w:color w:val="auto"/>
          <w:highlight w:val="none"/>
        </w:rPr>
      </w:pPr>
      <w:r>
        <w:rPr>
          <w:rFonts w:hint="eastAsia" w:ascii="宋体" w:hAnsi="宋体" w:cs="宋体"/>
          <w:color w:val="auto"/>
          <w:highlight w:val="none"/>
        </w:rPr>
        <w:t>质疑项</w:t>
      </w:r>
      <w:r>
        <w:rPr>
          <w:rFonts w:hint="eastAsia" w:ascii="宋体" w:hAnsi="宋体" w:eastAsia="宋体" w:cs="宋体"/>
          <w:bCs/>
          <w:color w:val="auto"/>
          <w:highlight w:val="none"/>
        </w:rPr>
        <w:t>目的编号：包号（如有请填写）：</w:t>
      </w:r>
    </w:p>
    <w:p w14:paraId="3A83A9AD">
      <w:pPr>
        <w:adjustRightInd w:val="0"/>
        <w:snapToGrid w:val="0"/>
        <w:spacing w:line="360" w:lineRule="auto"/>
        <w:rPr>
          <w:rFonts w:hint="eastAsia" w:ascii="宋体" w:hAnsi="宋体" w:eastAsia="宋体" w:cs="宋体"/>
          <w:bCs/>
          <w:color w:val="auto"/>
          <w:highlight w:val="none"/>
        </w:rPr>
      </w:pPr>
      <w:r>
        <w:rPr>
          <w:rFonts w:hint="eastAsia" w:ascii="宋体" w:hAnsi="宋体" w:eastAsia="宋体" w:cs="宋体"/>
          <w:bCs/>
          <w:color w:val="auto"/>
          <w:highlight w:val="none"/>
        </w:rPr>
        <w:t>采购人名称：</w:t>
      </w:r>
    </w:p>
    <w:p w14:paraId="710D44D9">
      <w:pPr>
        <w:adjustRightInd w:val="0"/>
        <w:snapToGrid w:val="0"/>
        <w:spacing w:line="360" w:lineRule="auto"/>
        <w:rPr>
          <w:rFonts w:ascii="宋体" w:hAnsi="宋体" w:cs="宋体"/>
          <w:color w:val="auto"/>
          <w:highlight w:val="none"/>
        </w:rPr>
      </w:pPr>
      <w:r>
        <w:rPr>
          <w:rFonts w:hint="eastAsia" w:ascii="宋体" w:hAnsi="宋体" w:eastAsia="宋体" w:cs="宋体"/>
          <w:bCs/>
          <w:color w:val="auto"/>
          <w:highlight w:val="none"/>
        </w:rPr>
        <w:t>采购文件获取</w:t>
      </w:r>
      <w:r>
        <w:rPr>
          <w:rFonts w:hint="eastAsia" w:ascii="宋体" w:hAnsi="宋体" w:cs="宋体"/>
          <w:color w:val="auto"/>
          <w:highlight w:val="none"/>
        </w:rPr>
        <w:t>日期：</w:t>
      </w:r>
    </w:p>
    <w:p w14:paraId="5CFF2955">
      <w:pPr>
        <w:adjustRightInd w:val="0"/>
        <w:snapToGrid w:val="0"/>
        <w:spacing w:line="360" w:lineRule="auto"/>
        <w:rPr>
          <w:rFonts w:ascii="宋体" w:hAnsi="宋体" w:cs="宋体"/>
          <w:bCs/>
          <w:color w:val="auto"/>
          <w:highlight w:val="none"/>
        </w:rPr>
      </w:pPr>
      <w:r>
        <w:rPr>
          <w:rFonts w:hint="eastAsia" w:ascii="宋体" w:hAnsi="宋体" w:cs="宋体"/>
          <w:bCs/>
          <w:color w:val="auto"/>
          <w:highlight w:val="none"/>
        </w:rPr>
        <w:t>三、质疑事项具体内容</w:t>
      </w:r>
    </w:p>
    <w:p w14:paraId="51055513">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质疑事项1：</w:t>
      </w:r>
    </w:p>
    <w:p w14:paraId="3C5D7F31">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事实依据：</w:t>
      </w:r>
    </w:p>
    <w:p w14:paraId="18F44B92">
      <w:pPr>
        <w:adjustRightInd w:val="0"/>
        <w:snapToGrid w:val="0"/>
        <w:spacing w:line="360" w:lineRule="auto"/>
        <w:rPr>
          <w:rFonts w:ascii="宋体" w:hAnsi="宋体" w:cs="宋体"/>
          <w:color w:val="auto"/>
          <w:highlight w:val="none"/>
        </w:rPr>
      </w:pPr>
    </w:p>
    <w:p w14:paraId="68517127">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法律依据：</w:t>
      </w:r>
    </w:p>
    <w:p w14:paraId="1227EBCE">
      <w:pPr>
        <w:adjustRightInd w:val="0"/>
        <w:snapToGrid w:val="0"/>
        <w:spacing w:line="360" w:lineRule="auto"/>
        <w:rPr>
          <w:rFonts w:ascii="宋体" w:hAnsi="宋体" w:cs="宋体"/>
          <w:color w:val="auto"/>
          <w:highlight w:val="none"/>
          <w:u w:val="dotted"/>
        </w:rPr>
      </w:pPr>
    </w:p>
    <w:p w14:paraId="09F6692C">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质疑事项2</w:t>
      </w:r>
    </w:p>
    <w:p w14:paraId="02BAA54D">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w:t>
      </w:r>
    </w:p>
    <w:p w14:paraId="166EB8E2">
      <w:pPr>
        <w:adjustRightInd w:val="0"/>
        <w:snapToGrid w:val="0"/>
        <w:spacing w:line="360" w:lineRule="auto"/>
        <w:rPr>
          <w:rFonts w:ascii="宋体" w:hAnsi="宋体" w:cs="宋体"/>
          <w:bCs/>
          <w:color w:val="auto"/>
          <w:highlight w:val="none"/>
        </w:rPr>
      </w:pPr>
      <w:r>
        <w:rPr>
          <w:rFonts w:hint="eastAsia" w:ascii="宋体" w:hAnsi="宋体" w:cs="宋体"/>
          <w:bCs/>
          <w:color w:val="auto"/>
          <w:highlight w:val="none"/>
        </w:rPr>
        <w:t>四、与质疑事项相关的质疑请求</w:t>
      </w:r>
    </w:p>
    <w:p w14:paraId="2438E225">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请求：</w:t>
      </w:r>
    </w:p>
    <w:p w14:paraId="1908FE52">
      <w:pPr>
        <w:spacing w:line="360" w:lineRule="auto"/>
        <w:rPr>
          <w:rFonts w:ascii="宋体" w:hAnsi="宋体" w:cs="宋体"/>
          <w:color w:val="auto"/>
          <w:highlight w:val="none"/>
        </w:rPr>
      </w:pPr>
      <w:r>
        <w:rPr>
          <w:rFonts w:hint="eastAsia" w:ascii="宋体" w:hAnsi="宋体" w:cs="宋体"/>
          <w:color w:val="auto"/>
          <w:highlight w:val="none"/>
        </w:rPr>
        <w:t xml:space="preserve">签字（签章）：                   公章：                      </w:t>
      </w:r>
    </w:p>
    <w:p w14:paraId="586E1675">
      <w:pPr>
        <w:spacing w:line="360" w:lineRule="auto"/>
        <w:rPr>
          <w:rFonts w:ascii="宋体" w:hAnsi="宋体" w:cs="宋体"/>
          <w:color w:val="auto"/>
          <w:highlight w:val="none"/>
        </w:rPr>
      </w:pPr>
      <w:r>
        <w:rPr>
          <w:rFonts w:hint="eastAsia" w:ascii="宋体" w:hAnsi="宋体" w:cs="宋体"/>
          <w:color w:val="auto"/>
          <w:highlight w:val="none"/>
        </w:rPr>
        <w:t xml:space="preserve">日期：    </w:t>
      </w:r>
    </w:p>
    <w:p w14:paraId="178F2986">
      <w:pPr>
        <w:spacing w:line="360" w:lineRule="auto"/>
        <w:rPr>
          <w:rFonts w:ascii="宋体" w:hAnsi="宋体" w:cs="宋体"/>
          <w:color w:val="auto"/>
          <w:highlight w:val="none"/>
        </w:rPr>
      </w:pPr>
    </w:p>
    <w:p w14:paraId="0147933E">
      <w:pPr>
        <w:spacing w:line="360" w:lineRule="auto"/>
        <w:rPr>
          <w:rFonts w:ascii="宋体" w:hAnsi="宋体" w:cs="宋体"/>
          <w:b/>
          <w:color w:val="auto"/>
          <w:highlight w:val="none"/>
        </w:rPr>
      </w:pPr>
      <w:r>
        <w:rPr>
          <w:rFonts w:hint="eastAsia" w:ascii="宋体" w:hAnsi="宋体" w:cs="宋体"/>
          <w:b/>
          <w:color w:val="auto"/>
          <w:highlight w:val="none"/>
        </w:rPr>
        <w:t>质疑函制作说明：</w:t>
      </w:r>
    </w:p>
    <w:p w14:paraId="03D74626">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1.供应商提出质疑时，应提交质疑函和必要的证明材料。</w:t>
      </w:r>
    </w:p>
    <w:p w14:paraId="2F539DCB">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2.质疑供应商若委托代理人进行质疑的，质疑函应按要求列明“授权代表”的有关内容，并在附件中提交由质疑</w:t>
      </w:r>
      <w:r>
        <w:rPr>
          <w:rFonts w:hint="eastAsia" w:ascii="宋体" w:hAnsi="宋体" w:cs="宋体"/>
          <w:color w:val="auto"/>
          <w:kern w:val="0"/>
          <w:highlight w:val="none"/>
        </w:rPr>
        <w:t>供应商签署的授权委托书。授权委托书应载明代理人的姓名或者名称、代理事项、具体权限、期限和相关事项。</w:t>
      </w:r>
    </w:p>
    <w:p w14:paraId="73EF07CA">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3.质疑供应商若对项目的某一分包进行质疑，质疑函中应列明具体分包号。</w:t>
      </w:r>
    </w:p>
    <w:p w14:paraId="6FA30C59">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4.质疑函的质疑事项应具体、明确，并有必要的事实依据和法律依据。</w:t>
      </w:r>
    </w:p>
    <w:p w14:paraId="40017635">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5.质疑函的质疑请求应与质疑事项相关。</w:t>
      </w:r>
    </w:p>
    <w:p w14:paraId="6DF48BFD">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6.质疑供应商为自然人的，质疑函应由本人签字；质疑供应商为法人或者其他组织的，质疑函应由法定代表人、主要负责人，或者其授权代表签字或者盖章，并加盖公章。</w:t>
      </w:r>
    </w:p>
    <w:p w14:paraId="1FA17096">
      <w:pPr>
        <w:pStyle w:val="55"/>
        <w:rPr>
          <w:color w:val="auto"/>
          <w:highlight w:val="none"/>
        </w:rPr>
      </w:pPr>
    </w:p>
    <w:p w14:paraId="4F46E285">
      <w:pPr>
        <w:pStyle w:val="18"/>
        <w:spacing w:line="460" w:lineRule="exact"/>
        <w:rPr>
          <w:rFonts w:cs="Times New Roman"/>
          <w:color w:val="auto"/>
          <w:highlight w:val="none"/>
        </w:rPr>
      </w:pPr>
    </w:p>
    <w:p w14:paraId="707250F0">
      <w:pPr>
        <w:rPr>
          <w:color w:val="auto"/>
          <w:highlight w:val="none"/>
        </w:rPr>
      </w:pPr>
    </w:p>
    <w:p w14:paraId="6562263A">
      <w:pPr>
        <w:rPr>
          <w:color w:val="auto"/>
          <w:highlight w:val="none"/>
        </w:rPr>
      </w:pPr>
    </w:p>
    <w:p w14:paraId="6F7EB9BD">
      <w:pPr>
        <w:pStyle w:val="2"/>
        <w:rPr>
          <w:color w:val="auto"/>
          <w:highlight w:val="none"/>
        </w:rPr>
      </w:pPr>
    </w:p>
    <w:p w14:paraId="6904090C">
      <w:pPr>
        <w:rPr>
          <w:color w:val="auto"/>
          <w:highlight w:val="none"/>
        </w:rPr>
      </w:pPr>
    </w:p>
    <w:p w14:paraId="0D061E28">
      <w:pPr>
        <w:jc w:val="center"/>
        <w:rPr>
          <w:rFonts w:hint="eastAsia" w:ascii="宋体" w:hAnsi="宋体"/>
          <w:b/>
          <w:color w:val="auto"/>
          <w:sz w:val="36"/>
          <w:szCs w:val="36"/>
          <w:highlight w:val="none"/>
        </w:rPr>
      </w:pPr>
    </w:p>
    <w:p w14:paraId="0EB2DF1A">
      <w:pPr>
        <w:jc w:val="center"/>
        <w:rPr>
          <w:rFonts w:hint="eastAsia" w:ascii="宋体" w:hAnsi="宋体"/>
          <w:b/>
          <w:color w:val="auto"/>
          <w:sz w:val="36"/>
          <w:szCs w:val="36"/>
          <w:highlight w:val="none"/>
        </w:rPr>
      </w:pPr>
    </w:p>
    <w:p w14:paraId="575F20A5">
      <w:pPr>
        <w:jc w:val="center"/>
        <w:rPr>
          <w:rFonts w:hint="eastAsia" w:ascii="宋体" w:hAnsi="宋体"/>
          <w:b/>
          <w:color w:val="auto"/>
          <w:sz w:val="36"/>
          <w:szCs w:val="36"/>
          <w:highlight w:val="none"/>
        </w:rPr>
      </w:pPr>
    </w:p>
    <w:p w14:paraId="3965FA58">
      <w:pPr>
        <w:jc w:val="center"/>
        <w:rPr>
          <w:rFonts w:hint="eastAsia" w:ascii="宋体" w:hAnsi="宋体"/>
          <w:b/>
          <w:color w:val="auto"/>
          <w:sz w:val="36"/>
          <w:szCs w:val="36"/>
          <w:highlight w:val="none"/>
        </w:rPr>
      </w:pPr>
    </w:p>
    <w:p w14:paraId="36F18225">
      <w:pPr>
        <w:jc w:val="center"/>
        <w:rPr>
          <w:rFonts w:hint="eastAsia" w:ascii="宋体" w:hAnsi="宋体"/>
          <w:b/>
          <w:color w:val="auto"/>
          <w:sz w:val="36"/>
          <w:szCs w:val="36"/>
          <w:highlight w:val="none"/>
        </w:rPr>
      </w:pPr>
    </w:p>
    <w:p w14:paraId="30D1C554">
      <w:pPr>
        <w:jc w:val="center"/>
        <w:rPr>
          <w:rFonts w:hint="eastAsia" w:ascii="宋体" w:hAnsi="宋体"/>
          <w:b/>
          <w:color w:val="auto"/>
          <w:sz w:val="36"/>
          <w:szCs w:val="36"/>
          <w:highlight w:val="none"/>
        </w:rPr>
      </w:pPr>
    </w:p>
    <w:p w14:paraId="1D6C2FF6">
      <w:pPr>
        <w:jc w:val="center"/>
        <w:rPr>
          <w:rFonts w:hint="eastAsia" w:ascii="宋体" w:hAnsi="宋体"/>
          <w:b/>
          <w:color w:val="auto"/>
          <w:sz w:val="36"/>
          <w:szCs w:val="36"/>
          <w:highlight w:val="none"/>
        </w:rPr>
      </w:pPr>
    </w:p>
    <w:p w14:paraId="042C137B">
      <w:pPr>
        <w:jc w:val="center"/>
        <w:rPr>
          <w:rFonts w:hint="eastAsia" w:ascii="宋体" w:hAnsi="宋体"/>
          <w:b/>
          <w:color w:val="auto"/>
          <w:sz w:val="36"/>
          <w:szCs w:val="36"/>
          <w:highlight w:val="none"/>
        </w:rPr>
      </w:pPr>
    </w:p>
    <w:p w14:paraId="2A6E587B">
      <w:pPr>
        <w:jc w:val="center"/>
        <w:rPr>
          <w:rFonts w:hint="eastAsia" w:ascii="宋体" w:hAnsi="宋体"/>
          <w:b/>
          <w:color w:val="auto"/>
          <w:sz w:val="36"/>
          <w:szCs w:val="36"/>
          <w:highlight w:val="none"/>
        </w:rPr>
      </w:pPr>
    </w:p>
    <w:p w14:paraId="7FB1B8C1">
      <w:pPr>
        <w:jc w:val="center"/>
        <w:rPr>
          <w:rFonts w:hint="eastAsia" w:ascii="宋体" w:hAnsi="宋体"/>
          <w:b/>
          <w:color w:val="auto"/>
          <w:sz w:val="36"/>
          <w:szCs w:val="36"/>
          <w:highlight w:val="none"/>
        </w:rPr>
      </w:pPr>
    </w:p>
    <w:bookmarkEnd w:id="72"/>
    <w:bookmarkEnd w:id="73"/>
    <w:bookmarkEnd w:id="74"/>
    <w:bookmarkEnd w:id="75"/>
    <w:bookmarkEnd w:id="76"/>
    <w:bookmarkEnd w:id="77"/>
    <w:p w14:paraId="5331CAB8">
      <w:pPr>
        <w:rPr>
          <w:color w:val="auto"/>
          <w:highlight w:val="none"/>
        </w:rPr>
      </w:pPr>
    </w:p>
    <w:sectPr>
      <w:pgSz w:w="11906" w:h="16838"/>
      <w:pgMar w:top="1246" w:right="1134" w:bottom="1440" w:left="1418"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Segoe UI">
    <w:panose1 w:val="020B0502040204020203"/>
    <w:charset w:val="00"/>
    <w:family w:val="auto"/>
    <w:pitch w:val="default"/>
    <w:sig w:usb0="E4002EFF" w:usb1="C000E47F" w:usb2="00000009" w:usb3="00000000" w:csb0="200001FF" w:csb1="00000000"/>
  </w:font>
  <w:font w:name="PMingLiU">
    <w:altName w:val="Georgia"/>
    <w:panose1 w:val="02020500000000000000"/>
    <w:charset w:val="00"/>
    <w:family w:val="roman"/>
    <w:pitch w:val="default"/>
    <w:sig w:usb0="00000000" w:usb1="00000000" w:usb2="00000016" w:usb3="00000000" w:csb0="00100001" w:csb1="00000000"/>
  </w:font>
  <w:font w:name="Georgia">
    <w:panose1 w:val="02040502050405020303"/>
    <w:charset w:val="00"/>
    <w:family w:val="auto"/>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3D6A6">
    <w:pPr>
      <w:pStyle w:val="2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12001D">
                          <w:pPr>
                            <w:pStyle w:val="2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C12001D">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513B5">
    <w:pPr>
      <w:pStyle w:val="22"/>
      <w:tabs>
        <w:tab w:val="center" w:pos="4153"/>
        <w:tab w:val="right" w:pos="8306"/>
      </w:tabs>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3226B">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37</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4523226B">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37</w:t>
                    </w:r>
                    <w:r>
                      <w:rPr>
                        <w:rFonts w:hint="eastAsia"/>
                        <w:sz w:val="18"/>
                      </w:rPr>
                      <w:fldChar w:fldCharType="end"/>
                    </w:r>
                  </w:p>
                </w:txbxContent>
              </v:textbox>
            </v:shape>
          </w:pict>
        </mc:Fallback>
      </mc:AlternateConten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71B9B">
    <w:pPr>
      <w:pStyle w:val="22"/>
      <w:tabs>
        <w:tab w:val="center" w:pos="4153"/>
        <w:tab w:val="right" w:pos="8306"/>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83948D">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15</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3A83948D">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15</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0CAC2">
    <w:pPr>
      <w:pStyle w:val="23"/>
      <w:tabs>
        <w:tab w:val="center" w:pos="4153"/>
        <w:tab w:val="right" w:pos="8306"/>
      </w:tabs>
      <w:ind w:firstLine="90" w:firstLineChars="50"/>
      <w:jc w:val="both"/>
    </w:pPr>
    <w:r>
      <w:rPr>
        <w:rFonts w:hint="eastAsia" w:eastAsia="PMingLiU"/>
        <w:lang w:eastAsia="zh-TW"/>
      </w:rPr>
      <w:t>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4"/>
      <w:numFmt w:val="japaneseCounting"/>
      <w:pStyle w:val="11"/>
      <w:lvlText w:val="第%1章"/>
      <w:lvlJc w:val="left"/>
      <w:pPr>
        <w:tabs>
          <w:tab w:val="left" w:pos="1455"/>
        </w:tabs>
        <w:ind w:left="1455" w:hanging="1455"/>
      </w:pPr>
      <w:rPr>
        <w:rFonts w:hint="default" w:hAnsi="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6"/>
    <w:multiLevelType w:val="multilevel"/>
    <w:tmpl w:val="00000006"/>
    <w:lvl w:ilvl="0" w:tentative="0">
      <w:start w:val="1"/>
      <w:numFmt w:val="chineseCountingThousand"/>
      <w:suff w:val="nothing"/>
      <w:lvlText w:val="第%1章"/>
      <w:lvlJc w:val="left"/>
      <w:pPr>
        <w:ind w:left="210" w:firstLine="0"/>
      </w:pPr>
    </w:lvl>
    <w:lvl w:ilvl="1" w:tentative="0">
      <w:start w:val="1"/>
      <w:numFmt w:val="none"/>
      <w:suff w:val="nothing"/>
      <w:lvlText w:val=""/>
      <w:lvlJc w:val="left"/>
      <w:pPr>
        <w:ind w:left="0" w:firstLine="0"/>
      </w:pPr>
    </w:lvl>
    <w:lvl w:ilvl="2" w:tentative="0">
      <w:start w:val="1"/>
      <w:numFmt w:val="none"/>
      <w:pStyle w:val="4"/>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pStyle w:val="6"/>
      <w:suff w:val="nothing"/>
      <w:lvlText w:val=""/>
      <w:lvlJc w:val="left"/>
      <w:pPr>
        <w:ind w:left="0" w:firstLine="0"/>
      </w:pPr>
    </w:lvl>
    <w:lvl w:ilvl="5" w:tentative="0">
      <w:start w:val="1"/>
      <w:numFmt w:val="none"/>
      <w:pStyle w:val="7"/>
      <w:suff w:val="nothing"/>
      <w:lvlText w:val=""/>
      <w:lvlJc w:val="left"/>
      <w:pPr>
        <w:ind w:left="0" w:firstLine="0"/>
      </w:pPr>
    </w:lvl>
    <w:lvl w:ilvl="6" w:tentative="0">
      <w:start w:val="1"/>
      <w:numFmt w:val="none"/>
      <w:pStyle w:val="8"/>
      <w:suff w:val="nothing"/>
      <w:lvlText w:val=""/>
      <w:lvlJc w:val="left"/>
      <w:pPr>
        <w:ind w:left="0" w:firstLine="0"/>
      </w:pPr>
    </w:lvl>
    <w:lvl w:ilvl="7" w:tentative="0">
      <w:start w:val="1"/>
      <w:numFmt w:val="none"/>
      <w:pStyle w:val="9"/>
      <w:suff w:val="nothing"/>
      <w:lvlText w:val=""/>
      <w:lvlJc w:val="left"/>
      <w:pPr>
        <w:ind w:left="0" w:firstLine="0"/>
      </w:pPr>
    </w:lvl>
    <w:lvl w:ilvl="8" w:tentative="0">
      <w:start w:val="1"/>
      <w:numFmt w:val="none"/>
      <w:pStyle w:val="10"/>
      <w:suff w:val="nothing"/>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1NjVmZGNlZmI4ZWQ2M2MxMTRiNzE4MWM5MjU5NjQifQ=="/>
  </w:docVars>
  <w:rsids>
    <w:rsidRoot w:val="00172A27"/>
    <w:rsid w:val="00003500"/>
    <w:rsid w:val="000036B1"/>
    <w:rsid w:val="00004783"/>
    <w:rsid w:val="00004B2C"/>
    <w:rsid w:val="000105BB"/>
    <w:rsid w:val="0001067D"/>
    <w:rsid w:val="00011392"/>
    <w:rsid w:val="00013654"/>
    <w:rsid w:val="000165B9"/>
    <w:rsid w:val="00023741"/>
    <w:rsid w:val="00032B60"/>
    <w:rsid w:val="00036E93"/>
    <w:rsid w:val="000372EE"/>
    <w:rsid w:val="000443E6"/>
    <w:rsid w:val="00044457"/>
    <w:rsid w:val="00050C0D"/>
    <w:rsid w:val="000510D3"/>
    <w:rsid w:val="00052B22"/>
    <w:rsid w:val="00053E69"/>
    <w:rsid w:val="00062DFF"/>
    <w:rsid w:val="00065DC9"/>
    <w:rsid w:val="000732A8"/>
    <w:rsid w:val="000739BD"/>
    <w:rsid w:val="00074F6D"/>
    <w:rsid w:val="0007677A"/>
    <w:rsid w:val="00076D34"/>
    <w:rsid w:val="000845AF"/>
    <w:rsid w:val="0009215F"/>
    <w:rsid w:val="000947DA"/>
    <w:rsid w:val="000A3F07"/>
    <w:rsid w:val="000A63AC"/>
    <w:rsid w:val="000A6894"/>
    <w:rsid w:val="000B019A"/>
    <w:rsid w:val="000B0C0D"/>
    <w:rsid w:val="000B14B6"/>
    <w:rsid w:val="000B3C5F"/>
    <w:rsid w:val="000B4975"/>
    <w:rsid w:val="000B49EF"/>
    <w:rsid w:val="000B5546"/>
    <w:rsid w:val="000C14D2"/>
    <w:rsid w:val="000D0C09"/>
    <w:rsid w:val="000D1232"/>
    <w:rsid w:val="000D2F75"/>
    <w:rsid w:val="000D4B39"/>
    <w:rsid w:val="000D4B53"/>
    <w:rsid w:val="000D67AA"/>
    <w:rsid w:val="000E0D29"/>
    <w:rsid w:val="000E344A"/>
    <w:rsid w:val="000F386C"/>
    <w:rsid w:val="00106F56"/>
    <w:rsid w:val="001072E8"/>
    <w:rsid w:val="001075D4"/>
    <w:rsid w:val="00107E77"/>
    <w:rsid w:val="001133F6"/>
    <w:rsid w:val="001172EF"/>
    <w:rsid w:val="00133F83"/>
    <w:rsid w:val="00134620"/>
    <w:rsid w:val="001365CB"/>
    <w:rsid w:val="00137B4D"/>
    <w:rsid w:val="00140ED2"/>
    <w:rsid w:val="001444D5"/>
    <w:rsid w:val="0015006B"/>
    <w:rsid w:val="00151659"/>
    <w:rsid w:val="00152E5A"/>
    <w:rsid w:val="00155D6C"/>
    <w:rsid w:val="001567CE"/>
    <w:rsid w:val="00156C49"/>
    <w:rsid w:val="00157253"/>
    <w:rsid w:val="00165311"/>
    <w:rsid w:val="00167E62"/>
    <w:rsid w:val="00175E75"/>
    <w:rsid w:val="0017760F"/>
    <w:rsid w:val="00181DDD"/>
    <w:rsid w:val="001871A9"/>
    <w:rsid w:val="00193F26"/>
    <w:rsid w:val="001A2FC7"/>
    <w:rsid w:val="001A50FF"/>
    <w:rsid w:val="001B0384"/>
    <w:rsid w:val="001B344C"/>
    <w:rsid w:val="001B3F82"/>
    <w:rsid w:val="001B3FF3"/>
    <w:rsid w:val="001B4597"/>
    <w:rsid w:val="001B46E6"/>
    <w:rsid w:val="001B63A4"/>
    <w:rsid w:val="001B7446"/>
    <w:rsid w:val="001C183E"/>
    <w:rsid w:val="001C5B91"/>
    <w:rsid w:val="001C772E"/>
    <w:rsid w:val="001D0CCF"/>
    <w:rsid w:val="001D5022"/>
    <w:rsid w:val="001D6FB5"/>
    <w:rsid w:val="001F5569"/>
    <w:rsid w:val="001F629C"/>
    <w:rsid w:val="00203D37"/>
    <w:rsid w:val="0020613C"/>
    <w:rsid w:val="00207FA5"/>
    <w:rsid w:val="00210A6A"/>
    <w:rsid w:val="002126B6"/>
    <w:rsid w:val="0022119E"/>
    <w:rsid w:val="0022181C"/>
    <w:rsid w:val="00224D79"/>
    <w:rsid w:val="002270E9"/>
    <w:rsid w:val="0023142B"/>
    <w:rsid w:val="00233C02"/>
    <w:rsid w:val="00242ED7"/>
    <w:rsid w:val="00245AAB"/>
    <w:rsid w:val="00246C30"/>
    <w:rsid w:val="002472D2"/>
    <w:rsid w:val="00251A6B"/>
    <w:rsid w:val="00256A72"/>
    <w:rsid w:val="00263701"/>
    <w:rsid w:val="00266FDD"/>
    <w:rsid w:val="00271124"/>
    <w:rsid w:val="00271BB8"/>
    <w:rsid w:val="002732A0"/>
    <w:rsid w:val="002740AF"/>
    <w:rsid w:val="0027667D"/>
    <w:rsid w:val="0027668D"/>
    <w:rsid w:val="00285D09"/>
    <w:rsid w:val="002862E1"/>
    <w:rsid w:val="00292231"/>
    <w:rsid w:val="002947A9"/>
    <w:rsid w:val="00295091"/>
    <w:rsid w:val="0029671B"/>
    <w:rsid w:val="002A00CA"/>
    <w:rsid w:val="002A3A57"/>
    <w:rsid w:val="002B3162"/>
    <w:rsid w:val="002D4A46"/>
    <w:rsid w:val="002D5E12"/>
    <w:rsid w:val="002E6238"/>
    <w:rsid w:val="002F1CF0"/>
    <w:rsid w:val="002F21DC"/>
    <w:rsid w:val="002F26F6"/>
    <w:rsid w:val="00304750"/>
    <w:rsid w:val="00304883"/>
    <w:rsid w:val="00304CE2"/>
    <w:rsid w:val="00312ED4"/>
    <w:rsid w:val="0031403E"/>
    <w:rsid w:val="00315163"/>
    <w:rsid w:val="00315F55"/>
    <w:rsid w:val="003353BF"/>
    <w:rsid w:val="0034388B"/>
    <w:rsid w:val="00347265"/>
    <w:rsid w:val="00353582"/>
    <w:rsid w:val="00360832"/>
    <w:rsid w:val="00360C7B"/>
    <w:rsid w:val="00361878"/>
    <w:rsid w:val="0036405A"/>
    <w:rsid w:val="00364866"/>
    <w:rsid w:val="003706E2"/>
    <w:rsid w:val="00371413"/>
    <w:rsid w:val="00376CB2"/>
    <w:rsid w:val="00377018"/>
    <w:rsid w:val="00386E8F"/>
    <w:rsid w:val="003874A1"/>
    <w:rsid w:val="00391908"/>
    <w:rsid w:val="00393824"/>
    <w:rsid w:val="00395FE0"/>
    <w:rsid w:val="003A29A8"/>
    <w:rsid w:val="003A4F61"/>
    <w:rsid w:val="003A60E3"/>
    <w:rsid w:val="003A66D8"/>
    <w:rsid w:val="003B0C4D"/>
    <w:rsid w:val="003B17C5"/>
    <w:rsid w:val="003B2756"/>
    <w:rsid w:val="003B4C34"/>
    <w:rsid w:val="003C507D"/>
    <w:rsid w:val="003E5C69"/>
    <w:rsid w:val="003E7A34"/>
    <w:rsid w:val="003F1805"/>
    <w:rsid w:val="003F2839"/>
    <w:rsid w:val="003F4135"/>
    <w:rsid w:val="003F417C"/>
    <w:rsid w:val="00401846"/>
    <w:rsid w:val="00406C51"/>
    <w:rsid w:val="004130D9"/>
    <w:rsid w:val="00414FB6"/>
    <w:rsid w:val="00415BE9"/>
    <w:rsid w:val="00420EF7"/>
    <w:rsid w:val="00421B0B"/>
    <w:rsid w:val="00423C6D"/>
    <w:rsid w:val="00425CA6"/>
    <w:rsid w:val="004332F0"/>
    <w:rsid w:val="00442184"/>
    <w:rsid w:val="00445E8D"/>
    <w:rsid w:val="004564D9"/>
    <w:rsid w:val="004616F6"/>
    <w:rsid w:val="004662A4"/>
    <w:rsid w:val="00466F20"/>
    <w:rsid w:val="0047153A"/>
    <w:rsid w:val="004859BA"/>
    <w:rsid w:val="0049073F"/>
    <w:rsid w:val="00491EB5"/>
    <w:rsid w:val="004956BD"/>
    <w:rsid w:val="004A08F1"/>
    <w:rsid w:val="004B2597"/>
    <w:rsid w:val="004B4041"/>
    <w:rsid w:val="004B50AE"/>
    <w:rsid w:val="004C0102"/>
    <w:rsid w:val="004C0719"/>
    <w:rsid w:val="004C5012"/>
    <w:rsid w:val="004C5840"/>
    <w:rsid w:val="004C7FC4"/>
    <w:rsid w:val="004D0A67"/>
    <w:rsid w:val="004D4AEB"/>
    <w:rsid w:val="004E4054"/>
    <w:rsid w:val="004E73B7"/>
    <w:rsid w:val="004F21E7"/>
    <w:rsid w:val="004F372D"/>
    <w:rsid w:val="004F4C1D"/>
    <w:rsid w:val="00502F31"/>
    <w:rsid w:val="00503992"/>
    <w:rsid w:val="00503B4C"/>
    <w:rsid w:val="005049A2"/>
    <w:rsid w:val="00505431"/>
    <w:rsid w:val="0050795E"/>
    <w:rsid w:val="00511565"/>
    <w:rsid w:val="0051396A"/>
    <w:rsid w:val="00516073"/>
    <w:rsid w:val="00517C89"/>
    <w:rsid w:val="00524FBA"/>
    <w:rsid w:val="00526B56"/>
    <w:rsid w:val="00533411"/>
    <w:rsid w:val="005466E2"/>
    <w:rsid w:val="00546845"/>
    <w:rsid w:val="005539A0"/>
    <w:rsid w:val="00557EB9"/>
    <w:rsid w:val="0056233D"/>
    <w:rsid w:val="005644E4"/>
    <w:rsid w:val="00567A1B"/>
    <w:rsid w:val="00584926"/>
    <w:rsid w:val="00591E04"/>
    <w:rsid w:val="005A0FAD"/>
    <w:rsid w:val="005A7C8B"/>
    <w:rsid w:val="005B4B40"/>
    <w:rsid w:val="005B4EB0"/>
    <w:rsid w:val="005B5690"/>
    <w:rsid w:val="005C0B53"/>
    <w:rsid w:val="005C2BFC"/>
    <w:rsid w:val="005C49CC"/>
    <w:rsid w:val="005C6942"/>
    <w:rsid w:val="005D2825"/>
    <w:rsid w:val="005E3DF9"/>
    <w:rsid w:val="005E5939"/>
    <w:rsid w:val="005F08BB"/>
    <w:rsid w:val="005F0AA4"/>
    <w:rsid w:val="005F1305"/>
    <w:rsid w:val="005F2B9B"/>
    <w:rsid w:val="005F6309"/>
    <w:rsid w:val="005F6F1C"/>
    <w:rsid w:val="005F6FCD"/>
    <w:rsid w:val="00601E3A"/>
    <w:rsid w:val="00607381"/>
    <w:rsid w:val="006073EC"/>
    <w:rsid w:val="00610597"/>
    <w:rsid w:val="006140F3"/>
    <w:rsid w:val="00617A7A"/>
    <w:rsid w:val="00620DA7"/>
    <w:rsid w:val="00621C19"/>
    <w:rsid w:val="00622B29"/>
    <w:rsid w:val="00622C61"/>
    <w:rsid w:val="0063172C"/>
    <w:rsid w:val="00635D77"/>
    <w:rsid w:val="00641EC1"/>
    <w:rsid w:val="006427E2"/>
    <w:rsid w:val="00654646"/>
    <w:rsid w:val="00656F05"/>
    <w:rsid w:val="00670B0E"/>
    <w:rsid w:val="0067395D"/>
    <w:rsid w:val="00675198"/>
    <w:rsid w:val="006762BD"/>
    <w:rsid w:val="00680B00"/>
    <w:rsid w:val="006829FE"/>
    <w:rsid w:val="0068743F"/>
    <w:rsid w:val="006A2149"/>
    <w:rsid w:val="006A7C1D"/>
    <w:rsid w:val="006B2C9E"/>
    <w:rsid w:val="006B639F"/>
    <w:rsid w:val="006B7FC9"/>
    <w:rsid w:val="006C0F26"/>
    <w:rsid w:val="006C23A2"/>
    <w:rsid w:val="006C5D85"/>
    <w:rsid w:val="006C6A66"/>
    <w:rsid w:val="006D0D49"/>
    <w:rsid w:val="006D4AC5"/>
    <w:rsid w:val="006D5248"/>
    <w:rsid w:val="006D572F"/>
    <w:rsid w:val="006D6E51"/>
    <w:rsid w:val="006E4A62"/>
    <w:rsid w:val="006E6D04"/>
    <w:rsid w:val="00701CC3"/>
    <w:rsid w:val="00702224"/>
    <w:rsid w:val="00705C5C"/>
    <w:rsid w:val="00705DCF"/>
    <w:rsid w:val="0071434C"/>
    <w:rsid w:val="00734AB5"/>
    <w:rsid w:val="007508BE"/>
    <w:rsid w:val="0075476C"/>
    <w:rsid w:val="00755970"/>
    <w:rsid w:val="00757273"/>
    <w:rsid w:val="007605DB"/>
    <w:rsid w:val="0076594B"/>
    <w:rsid w:val="00771B68"/>
    <w:rsid w:val="00780BEF"/>
    <w:rsid w:val="00781A5C"/>
    <w:rsid w:val="007839BC"/>
    <w:rsid w:val="00792FAB"/>
    <w:rsid w:val="00793630"/>
    <w:rsid w:val="00795A76"/>
    <w:rsid w:val="00795F33"/>
    <w:rsid w:val="00796974"/>
    <w:rsid w:val="007A1E64"/>
    <w:rsid w:val="007A3B5A"/>
    <w:rsid w:val="007A47AE"/>
    <w:rsid w:val="007B2139"/>
    <w:rsid w:val="007B364D"/>
    <w:rsid w:val="007B4A78"/>
    <w:rsid w:val="007B7B1F"/>
    <w:rsid w:val="007B7D28"/>
    <w:rsid w:val="007C76AA"/>
    <w:rsid w:val="007D015E"/>
    <w:rsid w:val="007D0AB5"/>
    <w:rsid w:val="007D25BE"/>
    <w:rsid w:val="007D3523"/>
    <w:rsid w:val="007D3C76"/>
    <w:rsid w:val="007E2B20"/>
    <w:rsid w:val="007E3556"/>
    <w:rsid w:val="007F49B9"/>
    <w:rsid w:val="007F7D62"/>
    <w:rsid w:val="008257E5"/>
    <w:rsid w:val="008363D4"/>
    <w:rsid w:val="008374CF"/>
    <w:rsid w:val="00837AE4"/>
    <w:rsid w:val="00842EE8"/>
    <w:rsid w:val="00847622"/>
    <w:rsid w:val="008504AF"/>
    <w:rsid w:val="00851286"/>
    <w:rsid w:val="00854331"/>
    <w:rsid w:val="00870FB8"/>
    <w:rsid w:val="0087139A"/>
    <w:rsid w:val="00872149"/>
    <w:rsid w:val="0087251F"/>
    <w:rsid w:val="0088000B"/>
    <w:rsid w:val="00882363"/>
    <w:rsid w:val="00895206"/>
    <w:rsid w:val="00897259"/>
    <w:rsid w:val="008A005F"/>
    <w:rsid w:val="008A1974"/>
    <w:rsid w:val="008B1065"/>
    <w:rsid w:val="008B44E2"/>
    <w:rsid w:val="008B4C94"/>
    <w:rsid w:val="008B4F07"/>
    <w:rsid w:val="008C15D6"/>
    <w:rsid w:val="008C4CB9"/>
    <w:rsid w:val="008C6B0B"/>
    <w:rsid w:val="008C73F8"/>
    <w:rsid w:val="008C7935"/>
    <w:rsid w:val="008D5A40"/>
    <w:rsid w:val="008D5F9B"/>
    <w:rsid w:val="008E00B1"/>
    <w:rsid w:val="008E1131"/>
    <w:rsid w:val="008E3FB3"/>
    <w:rsid w:val="008E5CF6"/>
    <w:rsid w:val="008F0E5D"/>
    <w:rsid w:val="008F356C"/>
    <w:rsid w:val="008F431F"/>
    <w:rsid w:val="008F6194"/>
    <w:rsid w:val="0090034F"/>
    <w:rsid w:val="00905E20"/>
    <w:rsid w:val="0091552A"/>
    <w:rsid w:val="0092047B"/>
    <w:rsid w:val="00920750"/>
    <w:rsid w:val="009209BC"/>
    <w:rsid w:val="009224FE"/>
    <w:rsid w:val="00922C0F"/>
    <w:rsid w:val="00923BAF"/>
    <w:rsid w:val="00925F01"/>
    <w:rsid w:val="00926ECF"/>
    <w:rsid w:val="009271CE"/>
    <w:rsid w:val="00930024"/>
    <w:rsid w:val="0093095F"/>
    <w:rsid w:val="00930DDB"/>
    <w:rsid w:val="00930ED8"/>
    <w:rsid w:val="009374BB"/>
    <w:rsid w:val="009423DF"/>
    <w:rsid w:val="00942AA5"/>
    <w:rsid w:val="00943142"/>
    <w:rsid w:val="00945F1C"/>
    <w:rsid w:val="00946762"/>
    <w:rsid w:val="009468A8"/>
    <w:rsid w:val="00957249"/>
    <w:rsid w:val="009630C0"/>
    <w:rsid w:val="00963B13"/>
    <w:rsid w:val="00972E46"/>
    <w:rsid w:val="0097351D"/>
    <w:rsid w:val="00982EBE"/>
    <w:rsid w:val="00985500"/>
    <w:rsid w:val="009864F8"/>
    <w:rsid w:val="0099233F"/>
    <w:rsid w:val="00996FCC"/>
    <w:rsid w:val="009A2F84"/>
    <w:rsid w:val="009A4505"/>
    <w:rsid w:val="009A4831"/>
    <w:rsid w:val="009A5CBC"/>
    <w:rsid w:val="009B49B9"/>
    <w:rsid w:val="009B6E0A"/>
    <w:rsid w:val="009C15CF"/>
    <w:rsid w:val="009C329A"/>
    <w:rsid w:val="009C5297"/>
    <w:rsid w:val="009D5033"/>
    <w:rsid w:val="009D639A"/>
    <w:rsid w:val="009E04B8"/>
    <w:rsid w:val="009E07EB"/>
    <w:rsid w:val="009E25C2"/>
    <w:rsid w:val="009E6431"/>
    <w:rsid w:val="009E6E97"/>
    <w:rsid w:val="009F0B6C"/>
    <w:rsid w:val="009F5412"/>
    <w:rsid w:val="00A00F8A"/>
    <w:rsid w:val="00A04A42"/>
    <w:rsid w:val="00A06D79"/>
    <w:rsid w:val="00A10306"/>
    <w:rsid w:val="00A12079"/>
    <w:rsid w:val="00A156E9"/>
    <w:rsid w:val="00A20EF0"/>
    <w:rsid w:val="00A2301F"/>
    <w:rsid w:val="00A23576"/>
    <w:rsid w:val="00A24ACF"/>
    <w:rsid w:val="00A27215"/>
    <w:rsid w:val="00A3470B"/>
    <w:rsid w:val="00A36323"/>
    <w:rsid w:val="00A37C17"/>
    <w:rsid w:val="00A37E78"/>
    <w:rsid w:val="00A40385"/>
    <w:rsid w:val="00A524B5"/>
    <w:rsid w:val="00A5279B"/>
    <w:rsid w:val="00A561E3"/>
    <w:rsid w:val="00A573DF"/>
    <w:rsid w:val="00A60DF2"/>
    <w:rsid w:val="00A619A2"/>
    <w:rsid w:val="00A64326"/>
    <w:rsid w:val="00A64A2F"/>
    <w:rsid w:val="00A812F2"/>
    <w:rsid w:val="00A8240B"/>
    <w:rsid w:val="00A83AD2"/>
    <w:rsid w:val="00A8439F"/>
    <w:rsid w:val="00A85002"/>
    <w:rsid w:val="00A873A4"/>
    <w:rsid w:val="00A905D6"/>
    <w:rsid w:val="00AA2769"/>
    <w:rsid w:val="00AA66C9"/>
    <w:rsid w:val="00AB67CB"/>
    <w:rsid w:val="00AB69CC"/>
    <w:rsid w:val="00AB6BFA"/>
    <w:rsid w:val="00AB7019"/>
    <w:rsid w:val="00AC1C04"/>
    <w:rsid w:val="00AC3CEA"/>
    <w:rsid w:val="00AC3E8F"/>
    <w:rsid w:val="00AC4302"/>
    <w:rsid w:val="00AC458F"/>
    <w:rsid w:val="00AC4CAF"/>
    <w:rsid w:val="00AC4F58"/>
    <w:rsid w:val="00AC7C76"/>
    <w:rsid w:val="00AD5DD6"/>
    <w:rsid w:val="00AE1728"/>
    <w:rsid w:val="00AE5F0A"/>
    <w:rsid w:val="00AF1302"/>
    <w:rsid w:val="00AF301B"/>
    <w:rsid w:val="00AF32A3"/>
    <w:rsid w:val="00AF3943"/>
    <w:rsid w:val="00AF440F"/>
    <w:rsid w:val="00B01E66"/>
    <w:rsid w:val="00B04DBD"/>
    <w:rsid w:val="00B07B4E"/>
    <w:rsid w:val="00B1281C"/>
    <w:rsid w:val="00B14B9D"/>
    <w:rsid w:val="00B24CF1"/>
    <w:rsid w:val="00B33B57"/>
    <w:rsid w:val="00B33E01"/>
    <w:rsid w:val="00B35FA3"/>
    <w:rsid w:val="00B36755"/>
    <w:rsid w:val="00B37811"/>
    <w:rsid w:val="00B41A83"/>
    <w:rsid w:val="00B43817"/>
    <w:rsid w:val="00B51F81"/>
    <w:rsid w:val="00B52001"/>
    <w:rsid w:val="00B541BA"/>
    <w:rsid w:val="00B54FDF"/>
    <w:rsid w:val="00B55827"/>
    <w:rsid w:val="00B55D54"/>
    <w:rsid w:val="00B57434"/>
    <w:rsid w:val="00B62455"/>
    <w:rsid w:val="00B65B8B"/>
    <w:rsid w:val="00B842C4"/>
    <w:rsid w:val="00B91F0A"/>
    <w:rsid w:val="00B92F99"/>
    <w:rsid w:val="00B9576E"/>
    <w:rsid w:val="00B96A52"/>
    <w:rsid w:val="00BA0CA6"/>
    <w:rsid w:val="00BA48F7"/>
    <w:rsid w:val="00BA49F1"/>
    <w:rsid w:val="00BA4F29"/>
    <w:rsid w:val="00BA594D"/>
    <w:rsid w:val="00BB0944"/>
    <w:rsid w:val="00BB2B5A"/>
    <w:rsid w:val="00BB404A"/>
    <w:rsid w:val="00BB5382"/>
    <w:rsid w:val="00BB611C"/>
    <w:rsid w:val="00BD151E"/>
    <w:rsid w:val="00BD4257"/>
    <w:rsid w:val="00BE29DB"/>
    <w:rsid w:val="00BE512E"/>
    <w:rsid w:val="00BF3CAD"/>
    <w:rsid w:val="00BF6934"/>
    <w:rsid w:val="00C00491"/>
    <w:rsid w:val="00C026B9"/>
    <w:rsid w:val="00C03AA9"/>
    <w:rsid w:val="00C03EC5"/>
    <w:rsid w:val="00C07669"/>
    <w:rsid w:val="00C12DE3"/>
    <w:rsid w:val="00C1383C"/>
    <w:rsid w:val="00C138B5"/>
    <w:rsid w:val="00C1421C"/>
    <w:rsid w:val="00C14B91"/>
    <w:rsid w:val="00C24B57"/>
    <w:rsid w:val="00C40BE2"/>
    <w:rsid w:val="00C430EF"/>
    <w:rsid w:val="00C43B12"/>
    <w:rsid w:val="00C5209E"/>
    <w:rsid w:val="00C5411F"/>
    <w:rsid w:val="00C54177"/>
    <w:rsid w:val="00C548BB"/>
    <w:rsid w:val="00C55352"/>
    <w:rsid w:val="00C720B4"/>
    <w:rsid w:val="00C80E91"/>
    <w:rsid w:val="00C817F1"/>
    <w:rsid w:val="00C839D2"/>
    <w:rsid w:val="00C84847"/>
    <w:rsid w:val="00C8514C"/>
    <w:rsid w:val="00C85CF7"/>
    <w:rsid w:val="00C90B47"/>
    <w:rsid w:val="00C91CEF"/>
    <w:rsid w:val="00C95A03"/>
    <w:rsid w:val="00CA5A60"/>
    <w:rsid w:val="00CB5065"/>
    <w:rsid w:val="00CB59E2"/>
    <w:rsid w:val="00CC349B"/>
    <w:rsid w:val="00CF0111"/>
    <w:rsid w:val="00CF2483"/>
    <w:rsid w:val="00CF40E5"/>
    <w:rsid w:val="00D01030"/>
    <w:rsid w:val="00D105A1"/>
    <w:rsid w:val="00D17B46"/>
    <w:rsid w:val="00D21774"/>
    <w:rsid w:val="00D23A8A"/>
    <w:rsid w:val="00D25923"/>
    <w:rsid w:val="00D26D9F"/>
    <w:rsid w:val="00D32DBE"/>
    <w:rsid w:val="00D379C2"/>
    <w:rsid w:val="00D42C5D"/>
    <w:rsid w:val="00D45D88"/>
    <w:rsid w:val="00D466B0"/>
    <w:rsid w:val="00D47690"/>
    <w:rsid w:val="00D478D9"/>
    <w:rsid w:val="00D50150"/>
    <w:rsid w:val="00D53073"/>
    <w:rsid w:val="00D560DC"/>
    <w:rsid w:val="00D56F7D"/>
    <w:rsid w:val="00D578D2"/>
    <w:rsid w:val="00D60F9D"/>
    <w:rsid w:val="00D62DA5"/>
    <w:rsid w:val="00D70890"/>
    <w:rsid w:val="00D73F15"/>
    <w:rsid w:val="00D75245"/>
    <w:rsid w:val="00D9387A"/>
    <w:rsid w:val="00D94B1D"/>
    <w:rsid w:val="00DA352E"/>
    <w:rsid w:val="00DA490A"/>
    <w:rsid w:val="00DA767A"/>
    <w:rsid w:val="00DB0A97"/>
    <w:rsid w:val="00DB0C1C"/>
    <w:rsid w:val="00DB10BF"/>
    <w:rsid w:val="00DC4ACA"/>
    <w:rsid w:val="00DC5845"/>
    <w:rsid w:val="00DC5AD4"/>
    <w:rsid w:val="00DC6DF2"/>
    <w:rsid w:val="00DE25F8"/>
    <w:rsid w:val="00DE76BC"/>
    <w:rsid w:val="00DF5774"/>
    <w:rsid w:val="00DF6493"/>
    <w:rsid w:val="00E04F06"/>
    <w:rsid w:val="00E0778D"/>
    <w:rsid w:val="00E145CA"/>
    <w:rsid w:val="00E21DE1"/>
    <w:rsid w:val="00E21FD7"/>
    <w:rsid w:val="00E25100"/>
    <w:rsid w:val="00E2518C"/>
    <w:rsid w:val="00E2555E"/>
    <w:rsid w:val="00E25BB6"/>
    <w:rsid w:val="00E26FEB"/>
    <w:rsid w:val="00E4024C"/>
    <w:rsid w:val="00E42A72"/>
    <w:rsid w:val="00E64388"/>
    <w:rsid w:val="00E724CF"/>
    <w:rsid w:val="00E75FDF"/>
    <w:rsid w:val="00E9157D"/>
    <w:rsid w:val="00EA06CD"/>
    <w:rsid w:val="00EA40E8"/>
    <w:rsid w:val="00EA5C81"/>
    <w:rsid w:val="00EB3DE7"/>
    <w:rsid w:val="00EB7BC9"/>
    <w:rsid w:val="00EC171D"/>
    <w:rsid w:val="00EC6F04"/>
    <w:rsid w:val="00ED016E"/>
    <w:rsid w:val="00ED3D4D"/>
    <w:rsid w:val="00ED4275"/>
    <w:rsid w:val="00ED5161"/>
    <w:rsid w:val="00ED5986"/>
    <w:rsid w:val="00ED7FC9"/>
    <w:rsid w:val="00EE524E"/>
    <w:rsid w:val="00EF5F30"/>
    <w:rsid w:val="00F010BC"/>
    <w:rsid w:val="00F059BD"/>
    <w:rsid w:val="00F05CA3"/>
    <w:rsid w:val="00F07370"/>
    <w:rsid w:val="00F10102"/>
    <w:rsid w:val="00F1150D"/>
    <w:rsid w:val="00F13FAD"/>
    <w:rsid w:val="00F14C66"/>
    <w:rsid w:val="00F14FE1"/>
    <w:rsid w:val="00F22DC4"/>
    <w:rsid w:val="00F24A46"/>
    <w:rsid w:val="00F2592F"/>
    <w:rsid w:val="00F27441"/>
    <w:rsid w:val="00F3089E"/>
    <w:rsid w:val="00F41B56"/>
    <w:rsid w:val="00F50EEF"/>
    <w:rsid w:val="00F52A5C"/>
    <w:rsid w:val="00F5713F"/>
    <w:rsid w:val="00F577B8"/>
    <w:rsid w:val="00F62035"/>
    <w:rsid w:val="00F662C9"/>
    <w:rsid w:val="00F6665B"/>
    <w:rsid w:val="00F703F8"/>
    <w:rsid w:val="00F71311"/>
    <w:rsid w:val="00F71A56"/>
    <w:rsid w:val="00F72360"/>
    <w:rsid w:val="00F73D61"/>
    <w:rsid w:val="00F766FF"/>
    <w:rsid w:val="00F81051"/>
    <w:rsid w:val="00F978C2"/>
    <w:rsid w:val="00FA033B"/>
    <w:rsid w:val="00FA578A"/>
    <w:rsid w:val="00FA67F2"/>
    <w:rsid w:val="00FA6BFC"/>
    <w:rsid w:val="00FA7195"/>
    <w:rsid w:val="00FB4246"/>
    <w:rsid w:val="00FC33A9"/>
    <w:rsid w:val="00FD0F42"/>
    <w:rsid w:val="00FD12C7"/>
    <w:rsid w:val="00FD160F"/>
    <w:rsid w:val="00FD758B"/>
    <w:rsid w:val="00FE3931"/>
    <w:rsid w:val="00FF00E7"/>
    <w:rsid w:val="00FF39FD"/>
    <w:rsid w:val="00FF5296"/>
    <w:rsid w:val="00FF5605"/>
    <w:rsid w:val="00FF79DE"/>
    <w:rsid w:val="0103164E"/>
    <w:rsid w:val="01050F22"/>
    <w:rsid w:val="010B405F"/>
    <w:rsid w:val="01121891"/>
    <w:rsid w:val="01161381"/>
    <w:rsid w:val="01253372"/>
    <w:rsid w:val="0132783D"/>
    <w:rsid w:val="013D4B60"/>
    <w:rsid w:val="013E5A8C"/>
    <w:rsid w:val="01423F24"/>
    <w:rsid w:val="014A2DD9"/>
    <w:rsid w:val="014A4B87"/>
    <w:rsid w:val="01545A05"/>
    <w:rsid w:val="01552887"/>
    <w:rsid w:val="01830099"/>
    <w:rsid w:val="018E7169"/>
    <w:rsid w:val="019329D2"/>
    <w:rsid w:val="0194674A"/>
    <w:rsid w:val="01AC5842"/>
    <w:rsid w:val="01BD17FD"/>
    <w:rsid w:val="01C34939"/>
    <w:rsid w:val="01CD7566"/>
    <w:rsid w:val="01D54D98"/>
    <w:rsid w:val="01D803E5"/>
    <w:rsid w:val="01D8357C"/>
    <w:rsid w:val="01EE5E5A"/>
    <w:rsid w:val="01F33470"/>
    <w:rsid w:val="021448C1"/>
    <w:rsid w:val="021B4775"/>
    <w:rsid w:val="021D673F"/>
    <w:rsid w:val="0224362A"/>
    <w:rsid w:val="022950E4"/>
    <w:rsid w:val="022C24DE"/>
    <w:rsid w:val="02357F37"/>
    <w:rsid w:val="02465A96"/>
    <w:rsid w:val="02565064"/>
    <w:rsid w:val="02631873"/>
    <w:rsid w:val="026B1259"/>
    <w:rsid w:val="026C4FD1"/>
    <w:rsid w:val="026D3223"/>
    <w:rsid w:val="028A3112"/>
    <w:rsid w:val="02A66735"/>
    <w:rsid w:val="02A76009"/>
    <w:rsid w:val="02A97FD3"/>
    <w:rsid w:val="02B40E52"/>
    <w:rsid w:val="02B56978"/>
    <w:rsid w:val="02BA3F8E"/>
    <w:rsid w:val="02BD75DA"/>
    <w:rsid w:val="02CB7559"/>
    <w:rsid w:val="02D0730E"/>
    <w:rsid w:val="02DD6E97"/>
    <w:rsid w:val="02E62FD5"/>
    <w:rsid w:val="02E96621"/>
    <w:rsid w:val="02EF3E7D"/>
    <w:rsid w:val="02FF5E45"/>
    <w:rsid w:val="031A4A2D"/>
    <w:rsid w:val="031A67DB"/>
    <w:rsid w:val="032633D2"/>
    <w:rsid w:val="033B1182"/>
    <w:rsid w:val="033C0E47"/>
    <w:rsid w:val="03575D3D"/>
    <w:rsid w:val="036068E4"/>
    <w:rsid w:val="03630182"/>
    <w:rsid w:val="037800D1"/>
    <w:rsid w:val="038509C9"/>
    <w:rsid w:val="03936CB9"/>
    <w:rsid w:val="03962305"/>
    <w:rsid w:val="03993BA4"/>
    <w:rsid w:val="039E11BA"/>
    <w:rsid w:val="03A2514E"/>
    <w:rsid w:val="03A74512"/>
    <w:rsid w:val="03A964DC"/>
    <w:rsid w:val="03BE7AAE"/>
    <w:rsid w:val="03C055A2"/>
    <w:rsid w:val="03D1158F"/>
    <w:rsid w:val="03D177E1"/>
    <w:rsid w:val="03E12C8F"/>
    <w:rsid w:val="03E63A70"/>
    <w:rsid w:val="04021749"/>
    <w:rsid w:val="04097E63"/>
    <w:rsid w:val="040A2CF3"/>
    <w:rsid w:val="041B0A5C"/>
    <w:rsid w:val="041D47D5"/>
    <w:rsid w:val="041F054D"/>
    <w:rsid w:val="043B2EAD"/>
    <w:rsid w:val="045A3333"/>
    <w:rsid w:val="047343F5"/>
    <w:rsid w:val="04781A0B"/>
    <w:rsid w:val="047A1C27"/>
    <w:rsid w:val="04891E6A"/>
    <w:rsid w:val="04936845"/>
    <w:rsid w:val="049A75AA"/>
    <w:rsid w:val="049F51EA"/>
    <w:rsid w:val="04A24CDA"/>
    <w:rsid w:val="04AB3B8E"/>
    <w:rsid w:val="04E86B91"/>
    <w:rsid w:val="04F05330"/>
    <w:rsid w:val="04FA4B16"/>
    <w:rsid w:val="05031AF8"/>
    <w:rsid w:val="050F6813"/>
    <w:rsid w:val="05234341"/>
    <w:rsid w:val="052849AD"/>
    <w:rsid w:val="053E0EA6"/>
    <w:rsid w:val="0543026B"/>
    <w:rsid w:val="05445D91"/>
    <w:rsid w:val="054963DC"/>
    <w:rsid w:val="054A15F9"/>
    <w:rsid w:val="054B5371"/>
    <w:rsid w:val="054D733B"/>
    <w:rsid w:val="054F4E62"/>
    <w:rsid w:val="05575AC4"/>
    <w:rsid w:val="055A7363"/>
    <w:rsid w:val="056A57F8"/>
    <w:rsid w:val="056D178C"/>
    <w:rsid w:val="05755D10"/>
    <w:rsid w:val="057C377D"/>
    <w:rsid w:val="05907523"/>
    <w:rsid w:val="05A35726"/>
    <w:rsid w:val="05BD626F"/>
    <w:rsid w:val="05E355AA"/>
    <w:rsid w:val="05FE4192"/>
    <w:rsid w:val="05FE5C3A"/>
    <w:rsid w:val="06071298"/>
    <w:rsid w:val="060F6696"/>
    <w:rsid w:val="061D286A"/>
    <w:rsid w:val="06224324"/>
    <w:rsid w:val="062260D2"/>
    <w:rsid w:val="06336531"/>
    <w:rsid w:val="064029FC"/>
    <w:rsid w:val="064E5119"/>
    <w:rsid w:val="064F49ED"/>
    <w:rsid w:val="06500E91"/>
    <w:rsid w:val="06533545"/>
    <w:rsid w:val="065B3392"/>
    <w:rsid w:val="065D535C"/>
    <w:rsid w:val="06622973"/>
    <w:rsid w:val="0664493D"/>
    <w:rsid w:val="066E30C6"/>
    <w:rsid w:val="067276B4"/>
    <w:rsid w:val="067B3A34"/>
    <w:rsid w:val="06897EFF"/>
    <w:rsid w:val="06905732"/>
    <w:rsid w:val="06952D48"/>
    <w:rsid w:val="069F3BC7"/>
    <w:rsid w:val="06AE3E0A"/>
    <w:rsid w:val="06BD229F"/>
    <w:rsid w:val="06BF7DC5"/>
    <w:rsid w:val="06C23411"/>
    <w:rsid w:val="06C4362D"/>
    <w:rsid w:val="06C74ECC"/>
    <w:rsid w:val="06D66EBD"/>
    <w:rsid w:val="0708351A"/>
    <w:rsid w:val="070B125C"/>
    <w:rsid w:val="07133C6D"/>
    <w:rsid w:val="07140111"/>
    <w:rsid w:val="072365A6"/>
    <w:rsid w:val="07293490"/>
    <w:rsid w:val="073D7647"/>
    <w:rsid w:val="074F4C03"/>
    <w:rsid w:val="07510E9A"/>
    <w:rsid w:val="0757624F"/>
    <w:rsid w:val="076444C8"/>
    <w:rsid w:val="07666493"/>
    <w:rsid w:val="0777244E"/>
    <w:rsid w:val="07862691"/>
    <w:rsid w:val="078B414B"/>
    <w:rsid w:val="07943000"/>
    <w:rsid w:val="079A613C"/>
    <w:rsid w:val="079D726B"/>
    <w:rsid w:val="07A82607"/>
    <w:rsid w:val="07B92E8A"/>
    <w:rsid w:val="07BA233A"/>
    <w:rsid w:val="07C66F31"/>
    <w:rsid w:val="07D34EA5"/>
    <w:rsid w:val="07D57174"/>
    <w:rsid w:val="07DE071F"/>
    <w:rsid w:val="07DF13ED"/>
    <w:rsid w:val="07FE7AC6"/>
    <w:rsid w:val="08002443"/>
    <w:rsid w:val="080041F1"/>
    <w:rsid w:val="08063664"/>
    <w:rsid w:val="080C528C"/>
    <w:rsid w:val="080C703A"/>
    <w:rsid w:val="081163FE"/>
    <w:rsid w:val="08135DD7"/>
    <w:rsid w:val="08326375"/>
    <w:rsid w:val="083D4E69"/>
    <w:rsid w:val="083E11BD"/>
    <w:rsid w:val="08406CE4"/>
    <w:rsid w:val="08430582"/>
    <w:rsid w:val="085B1D6F"/>
    <w:rsid w:val="085C6899"/>
    <w:rsid w:val="085E53BC"/>
    <w:rsid w:val="08602EE2"/>
    <w:rsid w:val="087B7D1C"/>
    <w:rsid w:val="0882554E"/>
    <w:rsid w:val="08872B64"/>
    <w:rsid w:val="088C1F29"/>
    <w:rsid w:val="08962DDD"/>
    <w:rsid w:val="08A13C26"/>
    <w:rsid w:val="08AC25CB"/>
    <w:rsid w:val="08B33959"/>
    <w:rsid w:val="08BD0334"/>
    <w:rsid w:val="08BF40AC"/>
    <w:rsid w:val="08C469A0"/>
    <w:rsid w:val="08C94F2B"/>
    <w:rsid w:val="08CC0577"/>
    <w:rsid w:val="08DC4C5E"/>
    <w:rsid w:val="08DD4532"/>
    <w:rsid w:val="08E104C7"/>
    <w:rsid w:val="08EC0C19"/>
    <w:rsid w:val="08ED4DD6"/>
    <w:rsid w:val="08EF118D"/>
    <w:rsid w:val="08F14B17"/>
    <w:rsid w:val="08F16230"/>
    <w:rsid w:val="08F33D56"/>
    <w:rsid w:val="08F84432"/>
    <w:rsid w:val="09045F63"/>
    <w:rsid w:val="090E6DE2"/>
    <w:rsid w:val="091343F8"/>
    <w:rsid w:val="092E2C7C"/>
    <w:rsid w:val="0932268F"/>
    <w:rsid w:val="09376339"/>
    <w:rsid w:val="093C359F"/>
    <w:rsid w:val="093F0D49"/>
    <w:rsid w:val="09475E50"/>
    <w:rsid w:val="094C3466"/>
    <w:rsid w:val="094D790A"/>
    <w:rsid w:val="095073FA"/>
    <w:rsid w:val="095567BF"/>
    <w:rsid w:val="096207EF"/>
    <w:rsid w:val="09896468"/>
    <w:rsid w:val="098A290C"/>
    <w:rsid w:val="098F1CD1"/>
    <w:rsid w:val="09906519"/>
    <w:rsid w:val="099866AB"/>
    <w:rsid w:val="09992B4F"/>
    <w:rsid w:val="09AA4D5C"/>
    <w:rsid w:val="09AB63DF"/>
    <w:rsid w:val="09D41DD9"/>
    <w:rsid w:val="09D45935"/>
    <w:rsid w:val="09DB3168"/>
    <w:rsid w:val="09E4606F"/>
    <w:rsid w:val="0A0A57FB"/>
    <w:rsid w:val="0A140428"/>
    <w:rsid w:val="0A285C81"/>
    <w:rsid w:val="0A287A2F"/>
    <w:rsid w:val="0A331619"/>
    <w:rsid w:val="0A3B3C06"/>
    <w:rsid w:val="0A4C5E14"/>
    <w:rsid w:val="0A4C7BC2"/>
    <w:rsid w:val="0A4D56E8"/>
    <w:rsid w:val="0A5D3B7D"/>
    <w:rsid w:val="0A5E78F5"/>
    <w:rsid w:val="0A652A31"/>
    <w:rsid w:val="0A6B1C9E"/>
    <w:rsid w:val="0A8F6925"/>
    <w:rsid w:val="0AA47989"/>
    <w:rsid w:val="0AB67C5B"/>
    <w:rsid w:val="0AB87005"/>
    <w:rsid w:val="0AC0235E"/>
    <w:rsid w:val="0ACB4F8A"/>
    <w:rsid w:val="0ACE05D7"/>
    <w:rsid w:val="0AD11E75"/>
    <w:rsid w:val="0AE53B72"/>
    <w:rsid w:val="0AEC5484"/>
    <w:rsid w:val="0AF142C5"/>
    <w:rsid w:val="0AF73FD1"/>
    <w:rsid w:val="0B1A381C"/>
    <w:rsid w:val="0B1B1342"/>
    <w:rsid w:val="0B2428ED"/>
    <w:rsid w:val="0B2E376B"/>
    <w:rsid w:val="0B5C2086"/>
    <w:rsid w:val="0B6C0A55"/>
    <w:rsid w:val="0B772A1C"/>
    <w:rsid w:val="0B7A69B0"/>
    <w:rsid w:val="0B923CFA"/>
    <w:rsid w:val="0B9C2483"/>
    <w:rsid w:val="0B9C670A"/>
    <w:rsid w:val="0BA354C3"/>
    <w:rsid w:val="0BAC014B"/>
    <w:rsid w:val="0BB2614A"/>
    <w:rsid w:val="0BB93035"/>
    <w:rsid w:val="0BC0059A"/>
    <w:rsid w:val="0BC11EE9"/>
    <w:rsid w:val="0BCB4B16"/>
    <w:rsid w:val="0BED0F30"/>
    <w:rsid w:val="0BF16C73"/>
    <w:rsid w:val="0BF26547"/>
    <w:rsid w:val="0BF40511"/>
    <w:rsid w:val="0C02165E"/>
    <w:rsid w:val="0C0369A6"/>
    <w:rsid w:val="0C107BA8"/>
    <w:rsid w:val="0C1464BD"/>
    <w:rsid w:val="0C19141A"/>
    <w:rsid w:val="0C2506CA"/>
    <w:rsid w:val="0C37664F"/>
    <w:rsid w:val="0C4D5E73"/>
    <w:rsid w:val="0C517711"/>
    <w:rsid w:val="0C523489"/>
    <w:rsid w:val="0C590374"/>
    <w:rsid w:val="0C5E1E2E"/>
    <w:rsid w:val="0C632FA1"/>
    <w:rsid w:val="0C711B61"/>
    <w:rsid w:val="0C7C5C90"/>
    <w:rsid w:val="0C7D22B4"/>
    <w:rsid w:val="0C801DA5"/>
    <w:rsid w:val="0C864D53"/>
    <w:rsid w:val="0C867851"/>
    <w:rsid w:val="0C923886"/>
    <w:rsid w:val="0C937D2A"/>
    <w:rsid w:val="0C945850"/>
    <w:rsid w:val="0C9D4705"/>
    <w:rsid w:val="0CA27745"/>
    <w:rsid w:val="0CA912FB"/>
    <w:rsid w:val="0CAE6912"/>
    <w:rsid w:val="0CBD6B55"/>
    <w:rsid w:val="0CBE467B"/>
    <w:rsid w:val="0CC53C5B"/>
    <w:rsid w:val="0CD16FA1"/>
    <w:rsid w:val="0CD81BE1"/>
    <w:rsid w:val="0CDE6ACB"/>
    <w:rsid w:val="0CE12BAF"/>
    <w:rsid w:val="0D044784"/>
    <w:rsid w:val="0D0E115E"/>
    <w:rsid w:val="0D103128"/>
    <w:rsid w:val="0D183D8B"/>
    <w:rsid w:val="0D200E92"/>
    <w:rsid w:val="0D2210AE"/>
    <w:rsid w:val="0D316917"/>
    <w:rsid w:val="0D335069"/>
    <w:rsid w:val="0D350DE1"/>
    <w:rsid w:val="0D35493D"/>
    <w:rsid w:val="0D4D75F3"/>
    <w:rsid w:val="0D4E1D51"/>
    <w:rsid w:val="0D533015"/>
    <w:rsid w:val="0D696CDD"/>
    <w:rsid w:val="0D847E39"/>
    <w:rsid w:val="0D8B6C53"/>
    <w:rsid w:val="0D961154"/>
    <w:rsid w:val="0D9C676A"/>
    <w:rsid w:val="0D9D24E2"/>
    <w:rsid w:val="0DA33F9D"/>
    <w:rsid w:val="0DA47D15"/>
    <w:rsid w:val="0DAA6242"/>
    <w:rsid w:val="0DAD4E1B"/>
    <w:rsid w:val="0DB8731C"/>
    <w:rsid w:val="0DCD1019"/>
    <w:rsid w:val="0DD71E98"/>
    <w:rsid w:val="0DDE75AF"/>
    <w:rsid w:val="0DE87C01"/>
    <w:rsid w:val="0DEB4982"/>
    <w:rsid w:val="0DEF71E2"/>
    <w:rsid w:val="0E097B78"/>
    <w:rsid w:val="0E100F06"/>
    <w:rsid w:val="0E177DB4"/>
    <w:rsid w:val="0E2A646C"/>
    <w:rsid w:val="0E3A7EF6"/>
    <w:rsid w:val="0E4A08BC"/>
    <w:rsid w:val="0E545297"/>
    <w:rsid w:val="0E552DBD"/>
    <w:rsid w:val="0E7771D7"/>
    <w:rsid w:val="0E852257"/>
    <w:rsid w:val="0E883192"/>
    <w:rsid w:val="0E900C18"/>
    <w:rsid w:val="0E99714E"/>
    <w:rsid w:val="0EA31D7A"/>
    <w:rsid w:val="0EB14497"/>
    <w:rsid w:val="0EB81C86"/>
    <w:rsid w:val="0EC266A4"/>
    <w:rsid w:val="0EC95C85"/>
    <w:rsid w:val="0ECE329B"/>
    <w:rsid w:val="0ED4462A"/>
    <w:rsid w:val="0EE91E83"/>
    <w:rsid w:val="0EFA4090"/>
    <w:rsid w:val="0EFD76DC"/>
    <w:rsid w:val="0F07055B"/>
    <w:rsid w:val="0F0C791F"/>
    <w:rsid w:val="0F0E19B1"/>
    <w:rsid w:val="0F0E3698"/>
    <w:rsid w:val="0F276507"/>
    <w:rsid w:val="0F2A5FF8"/>
    <w:rsid w:val="0F44355D"/>
    <w:rsid w:val="0F492922"/>
    <w:rsid w:val="0F4C0664"/>
    <w:rsid w:val="0F5F5CA1"/>
    <w:rsid w:val="0F625791"/>
    <w:rsid w:val="0F6E05DA"/>
    <w:rsid w:val="0F756041"/>
    <w:rsid w:val="0F7E5CE7"/>
    <w:rsid w:val="0F8120BC"/>
    <w:rsid w:val="0F984E8D"/>
    <w:rsid w:val="0FAD7CAC"/>
    <w:rsid w:val="0FAE4E7B"/>
    <w:rsid w:val="0FAE6C29"/>
    <w:rsid w:val="0FB6788B"/>
    <w:rsid w:val="0FC24FD2"/>
    <w:rsid w:val="0FC621C4"/>
    <w:rsid w:val="0FC95811"/>
    <w:rsid w:val="0FDF67C4"/>
    <w:rsid w:val="0FE12B5A"/>
    <w:rsid w:val="0FE268D2"/>
    <w:rsid w:val="0FE32D76"/>
    <w:rsid w:val="0FE60171"/>
    <w:rsid w:val="0FF02D9D"/>
    <w:rsid w:val="0FF76461"/>
    <w:rsid w:val="0FFC3E38"/>
    <w:rsid w:val="10036F74"/>
    <w:rsid w:val="10042CED"/>
    <w:rsid w:val="10120F66"/>
    <w:rsid w:val="10260EB5"/>
    <w:rsid w:val="10284C2D"/>
    <w:rsid w:val="1031101D"/>
    <w:rsid w:val="10315202"/>
    <w:rsid w:val="1053332C"/>
    <w:rsid w:val="105477D0"/>
    <w:rsid w:val="105E064F"/>
    <w:rsid w:val="1067787C"/>
    <w:rsid w:val="107439CE"/>
    <w:rsid w:val="107734BE"/>
    <w:rsid w:val="107A6B0B"/>
    <w:rsid w:val="10953945"/>
    <w:rsid w:val="109B53FF"/>
    <w:rsid w:val="10AD0C8E"/>
    <w:rsid w:val="10B71B0D"/>
    <w:rsid w:val="10BC7123"/>
    <w:rsid w:val="10C0356C"/>
    <w:rsid w:val="10C466DE"/>
    <w:rsid w:val="10CA5CE4"/>
    <w:rsid w:val="10CC55B8"/>
    <w:rsid w:val="10DB4392"/>
    <w:rsid w:val="10E072B6"/>
    <w:rsid w:val="10E5667A"/>
    <w:rsid w:val="10E741A0"/>
    <w:rsid w:val="10EC7A09"/>
    <w:rsid w:val="10ED552F"/>
    <w:rsid w:val="10F468BD"/>
    <w:rsid w:val="10F51CCB"/>
    <w:rsid w:val="112278CE"/>
    <w:rsid w:val="1125116C"/>
    <w:rsid w:val="11254CC9"/>
    <w:rsid w:val="113E3FDC"/>
    <w:rsid w:val="114C52E5"/>
    <w:rsid w:val="115A7068"/>
    <w:rsid w:val="115C76E5"/>
    <w:rsid w:val="115F642C"/>
    <w:rsid w:val="116C28F7"/>
    <w:rsid w:val="11780E78"/>
    <w:rsid w:val="117B2B3A"/>
    <w:rsid w:val="117C68F9"/>
    <w:rsid w:val="118714DF"/>
    <w:rsid w:val="118C0FA3"/>
    <w:rsid w:val="118E286E"/>
    <w:rsid w:val="11904838"/>
    <w:rsid w:val="11951E4E"/>
    <w:rsid w:val="119A3908"/>
    <w:rsid w:val="11A976A8"/>
    <w:rsid w:val="11AE1162"/>
    <w:rsid w:val="11B12A00"/>
    <w:rsid w:val="11BB3757"/>
    <w:rsid w:val="11BB73DB"/>
    <w:rsid w:val="11BD75F7"/>
    <w:rsid w:val="11BF435B"/>
    <w:rsid w:val="11C11F49"/>
    <w:rsid w:val="11C72224"/>
    <w:rsid w:val="11D0732A"/>
    <w:rsid w:val="11D32976"/>
    <w:rsid w:val="11DE03FE"/>
    <w:rsid w:val="11DE5F31"/>
    <w:rsid w:val="11FF551A"/>
    <w:rsid w:val="120D40DA"/>
    <w:rsid w:val="12130FC5"/>
    <w:rsid w:val="121865DB"/>
    <w:rsid w:val="121F796A"/>
    <w:rsid w:val="12260CF8"/>
    <w:rsid w:val="12354647"/>
    <w:rsid w:val="123553DF"/>
    <w:rsid w:val="12375B71"/>
    <w:rsid w:val="123C2565"/>
    <w:rsid w:val="123C676E"/>
    <w:rsid w:val="12447199"/>
    <w:rsid w:val="12486EC1"/>
    <w:rsid w:val="124B075F"/>
    <w:rsid w:val="124B4C03"/>
    <w:rsid w:val="124D2729"/>
    <w:rsid w:val="125735A8"/>
    <w:rsid w:val="125F420A"/>
    <w:rsid w:val="12655CC4"/>
    <w:rsid w:val="126A32DB"/>
    <w:rsid w:val="12855BBF"/>
    <w:rsid w:val="128D521B"/>
    <w:rsid w:val="12955E7E"/>
    <w:rsid w:val="12A06CFD"/>
    <w:rsid w:val="12A460C1"/>
    <w:rsid w:val="12A82075"/>
    <w:rsid w:val="12A85BB1"/>
    <w:rsid w:val="12B47007"/>
    <w:rsid w:val="12C10A21"/>
    <w:rsid w:val="12C527A4"/>
    <w:rsid w:val="12D70244"/>
    <w:rsid w:val="12E36BE9"/>
    <w:rsid w:val="12F26E2C"/>
    <w:rsid w:val="12FB2185"/>
    <w:rsid w:val="130D1EB8"/>
    <w:rsid w:val="131E7C21"/>
    <w:rsid w:val="1324792E"/>
    <w:rsid w:val="13301948"/>
    <w:rsid w:val="133B6A25"/>
    <w:rsid w:val="134E57BA"/>
    <w:rsid w:val="13517FF7"/>
    <w:rsid w:val="135E44C2"/>
    <w:rsid w:val="13693592"/>
    <w:rsid w:val="136A730B"/>
    <w:rsid w:val="13750189"/>
    <w:rsid w:val="13855EF2"/>
    <w:rsid w:val="13874694"/>
    <w:rsid w:val="13961EAE"/>
    <w:rsid w:val="139A7BF0"/>
    <w:rsid w:val="139B74C4"/>
    <w:rsid w:val="139D4FEA"/>
    <w:rsid w:val="13A50B07"/>
    <w:rsid w:val="13A520F1"/>
    <w:rsid w:val="13B30CB1"/>
    <w:rsid w:val="13BB7B66"/>
    <w:rsid w:val="13C22CA3"/>
    <w:rsid w:val="13C24A51"/>
    <w:rsid w:val="13CA1B57"/>
    <w:rsid w:val="13CC58CF"/>
    <w:rsid w:val="13CD0840"/>
    <w:rsid w:val="13CE1647"/>
    <w:rsid w:val="13CF716E"/>
    <w:rsid w:val="13D12EE6"/>
    <w:rsid w:val="13DB5B12"/>
    <w:rsid w:val="13E26EA1"/>
    <w:rsid w:val="13E60D9B"/>
    <w:rsid w:val="13F60B9E"/>
    <w:rsid w:val="13F90EA8"/>
    <w:rsid w:val="13FD3CDB"/>
    <w:rsid w:val="13FF4DA6"/>
    <w:rsid w:val="14101C60"/>
    <w:rsid w:val="14180B15"/>
    <w:rsid w:val="141B23B3"/>
    <w:rsid w:val="142179C9"/>
    <w:rsid w:val="14244083"/>
    <w:rsid w:val="143A4F2F"/>
    <w:rsid w:val="143C2A55"/>
    <w:rsid w:val="143D057B"/>
    <w:rsid w:val="14494355"/>
    <w:rsid w:val="147026FF"/>
    <w:rsid w:val="1481490C"/>
    <w:rsid w:val="14830684"/>
    <w:rsid w:val="148937C0"/>
    <w:rsid w:val="148B12E6"/>
    <w:rsid w:val="14904B4F"/>
    <w:rsid w:val="14956609"/>
    <w:rsid w:val="14972381"/>
    <w:rsid w:val="14A01236"/>
    <w:rsid w:val="14A44E1C"/>
    <w:rsid w:val="14B06F9F"/>
    <w:rsid w:val="14B20F69"/>
    <w:rsid w:val="14B22D17"/>
    <w:rsid w:val="14BF5434"/>
    <w:rsid w:val="14C667C2"/>
    <w:rsid w:val="14CC3796"/>
    <w:rsid w:val="14D56A06"/>
    <w:rsid w:val="14D7277E"/>
    <w:rsid w:val="14E37374"/>
    <w:rsid w:val="14EF7AC7"/>
    <w:rsid w:val="15023C9F"/>
    <w:rsid w:val="15080B89"/>
    <w:rsid w:val="150D2643"/>
    <w:rsid w:val="15175270"/>
    <w:rsid w:val="15215E1A"/>
    <w:rsid w:val="153E3A1B"/>
    <w:rsid w:val="154A11A2"/>
    <w:rsid w:val="154F0566"/>
    <w:rsid w:val="15590B5F"/>
    <w:rsid w:val="15634011"/>
    <w:rsid w:val="15655FDB"/>
    <w:rsid w:val="15681628"/>
    <w:rsid w:val="156C1118"/>
    <w:rsid w:val="157955E3"/>
    <w:rsid w:val="158666B5"/>
    <w:rsid w:val="15867E05"/>
    <w:rsid w:val="158721E5"/>
    <w:rsid w:val="158D108E"/>
    <w:rsid w:val="15AB3F87"/>
    <w:rsid w:val="15B36D47"/>
    <w:rsid w:val="15CC1BB7"/>
    <w:rsid w:val="15DA4676"/>
    <w:rsid w:val="15DD2016"/>
    <w:rsid w:val="15DD3DC4"/>
    <w:rsid w:val="15E05662"/>
    <w:rsid w:val="15EB4733"/>
    <w:rsid w:val="15EC04AB"/>
    <w:rsid w:val="160457F4"/>
    <w:rsid w:val="16133C89"/>
    <w:rsid w:val="161F43DC"/>
    <w:rsid w:val="16273291"/>
    <w:rsid w:val="162B0FD3"/>
    <w:rsid w:val="16302145"/>
    <w:rsid w:val="164B51D1"/>
    <w:rsid w:val="164B6F7F"/>
    <w:rsid w:val="165C73DE"/>
    <w:rsid w:val="167E0875"/>
    <w:rsid w:val="16976668"/>
    <w:rsid w:val="16A13043"/>
    <w:rsid w:val="16A86180"/>
    <w:rsid w:val="16AE750E"/>
    <w:rsid w:val="16BF34C9"/>
    <w:rsid w:val="16CA259A"/>
    <w:rsid w:val="16CA3CE6"/>
    <w:rsid w:val="16CF7BB0"/>
    <w:rsid w:val="16D03928"/>
    <w:rsid w:val="16D43419"/>
    <w:rsid w:val="16D451C7"/>
    <w:rsid w:val="1703785A"/>
    <w:rsid w:val="170415AA"/>
    <w:rsid w:val="170829E4"/>
    <w:rsid w:val="173C2D6C"/>
    <w:rsid w:val="17555BDC"/>
    <w:rsid w:val="176302F9"/>
    <w:rsid w:val="1772485E"/>
    <w:rsid w:val="177B1AE6"/>
    <w:rsid w:val="177D4EC7"/>
    <w:rsid w:val="17822E75"/>
    <w:rsid w:val="17852965"/>
    <w:rsid w:val="178A2087"/>
    <w:rsid w:val="178D5376"/>
    <w:rsid w:val="17914300"/>
    <w:rsid w:val="17986848"/>
    <w:rsid w:val="17A252C5"/>
    <w:rsid w:val="17B03764"/>
    <w:rsid w:val="17B1375A"/>
    <w:rsid w:val="17D11C8B"/>
    <w:rsid w:val="17D64F6F"/>
    <w:rsid w:val="17EA0A1A"/>
    <w:rsid w:val="17F536DC"/>
    <w:rsid w:val="17FE0021"/>
    <w:rsid w:val="17FF6273"/>
    <w:rsid w:val="18131D1F"/>
    <w:rsid w:val="18185587"/>
    <w:rsid w:val="18277578"/>
    <w:rsid w:val="182A0E16"/>
    <w:rsid w:val="18335F1D"/>
    <w:rsid w:val="185145F5"/>
    <w:rsid w:val="18522553"/>
    <w:rsid w:val="185760AF"/>
    <w:rsid w:val="185D2F9A"/>
    <w:rsid w:val="18616F2E"/>
    <w:rsid w:val="1865476A"/>
    <w:rsid w:val="18695DE3"/>
    <w:rsid w:val="186E33F9"/>
    <w:rsid w:val="18715354"/>
    <w:rsid w:val="18716A45"/>
    <w:rsid w:val="187327BD"/>
    <w:rsid w:val="187529D9"/>
    <w:rsid w:val="187B0A12"/>
    <w:rsid w:val="18822A00"/>
    <w:rsid w:val="18826EA4"/>
    <w:rsid w:val="189F1804"/>
    <w:rsid w:val="18A137CE"/>
    <w:rsid w:val="18A230A3"/>
    <w:rsid w:val="18B359C5"/>
    <w:rsid w:val="18C474BD"/>
    <w:rsid w:val="18C64FE3"/>
    <w:rsid w:val="18CD45C3"/>
    <w:rsid w:val="18CE52D6"/>
    <w:rsid w:val="18D019BE"/>
    <w:rsid w:val="18D21BDA"/>
    <w:rsid w:val="19080C81"/>
    <w:rsid w:val="190D676E"/>
    <w:rsid w:val="19263CD4"/>
    <w:rsid w:val="193D1FA8"/>
    <w:rsid w:val="19406B43"/>
    <w:rsid w:val="19551E2D"/>
    <w:rsid w:val="196640D0"/>
    <w:rsid w:val="196A1E12"/>
    <w:rsid w:val="19792055"/>
    <w:rsid w:val="19874772"/>
    <w:rsid w:val="19892176"/>
    <w:rsid w:val="1997610B"/>
    <w:rsid w:val="19AF7D62"/>
    <w:rsid w:val="19B117EF"/>
    <w:rsid w:val="19C57049"/>
    <w:rsid w:val="19CE05F3"/>
    <w:rsid w:val="19D5497B"/>
    <w:rsid w:val="19ED020C"/>
    <w:rsid w:val="19F94F44"/>
    <w:rsid w:val="1A141D7E"/>
    <w:rsid w:val="1A18186E"/>
    <w:rsid w:val="1A2024D1"/>
    <w:rsid w:val="1A22449B"/>
    <w:rsid w:val="1A2C70C8"/>
    <w:rsid w:val="1A2E2E40"/>
    <w:rsid w:val="1A2E4BEE"/>
    <w:rsid w:val="1A393593"/>
    <w:rsid w:val="1A442663"/>
    <w:rsid w:val="1A475CB0"/>
    <w:rsid w:val="1A4F2DB6"/>
    <w:rsid w:val="1A5403CD"/>
    <w:rsid w:val="1A7B3BAB"/>
    <w:rsid w:val="1A7F369B"/>
    <w:rsid w:val="1A807414"/>
    <w:rsid w:val="1A856BB0"/>
    <w:rsid w:val="1A864A2A"/>
    <w:rsid w:val="1A8707A2"/>
    <w:rsid w:val="1A996BA6"/>
    <w:rsid w:val="1A9C29CA"/>
    <w:rsid w:val="1A9D5276"/>
    <w:rsid w:val="1AD35795"/>
    <w:rsid w:val="1AE479A2"/>
    <w:rsid w:val="1B06199E"/>
    <w:rsid w:val="1B083691"/>
    <w:rsid w:val="1B0A4705"/>
    <w:rsid w:val="1B171B26"/>
    <w:rsid w:val="1B1C713C"/>
    <w:rsid w:val="1B1E1106"/>
    <w:rsid w:val="1B24793F"/>
    <w:rsid w:val="1B446693"/>
    <w:rsid w:val="1B4548E5"/>
    <w:rsid w:val="1B4B17D0"/>
    <w:rsid w:val="1B4D72F6"/>
    <w:rsid w:val="1B6B3C20"/>
    <w:rsid w:val="1B754A9E"/>
    <w:rsid w:val="1B776A68"/>
    <w:rsid w:val="1B860A99"/>
    <w:rsid w:val="1B884DC4"/>
    <w:rsid w:val="1B99253B"/>
    <w:rsid w:val="1BB6133F"/>
    <w:rsid w:val="1BD01CD5"/>
    <w:rsid w:val="1BDE43F2"/>
    <w:rsid w:val="1BE0016A"/>
    <w:rsid w:val="1BEB27A3"/>
    <w:rsid w:val="1C0F6CA1"/>
    <w:rsid w:val="1C116575"/>
    <w:rsid w:val="1C1B73F4"/>
    <w:rsid w:val="1C1F4874"/>
    <w:rsid w:val="1C21339E"/>
    <w:rsid w:val="1C295FB5"/>
    <w:rsid w:val="1C2F10F1"/>
    <w:rsid w:val="1C353ED6"/>
    <w:rsid w:val="1C3861F8"/>
    <w:rsid w:val="1C395ACC"/>
    <w:rsid w:val="1C3D28C4"/>
    <w:rsid w:val="1C3D736A"/>
    <w:rsid w:val="1C3E3F31"/>
    <w:rsid w:val="1C4E5993"/>
    <w:rsid w:val="1C4F52EF"/>
    <w:rsid w:val="1C532879"/>
    <w:rsid w:val="1C676ADD"/>
    <w:rsid w:val="1C737230"/>
    <w:rsid w:val="1C77062D"/>
    <w:rsid w:val="1C7B7E93"/>
    <w:rsid w:val="1C844F99"/>
    <w:rsid w:val="1C984EE8"/>
    <w:rsid w:val="1C986C96"/>
    <w:rsid w:val="1C9A0C60"/>
    <w:rsid w:val="1CA05B4B"/>
    <w:rsid w:val="1CA22EBC"/>
    <w:rsid w:val="1CA23671"/>
    <w:rsid w:val="1CAD0994"/>
    <w:rsid w:val="1CB30F21"/>
    <w:rsid w:val="1CBD04AB"/>
    <w:rsid w:val="1CBD2FEC"/>
    <w:rsid w:val="1CC161ED"/>
    <w:rsid w:val="1CC730D8"/>
    <w:rsid w:val="1CE367E1"/>
    <w:rsid w:val="1CE41EDC"/>
    <w:rsid w:val="1D091942"/>
    <w:rsid w:val="1D0D1432"/>
    <w:rsid w:val="1D110191"/>
    <w:rsid w:val="1D116F6D"/>
    <w:rsid w:val="1D13456F"/>
    <w:rsid w:val="1D1D0F4A"/>
    <w:rsid w:val="1D214EDE"/>
    <w:rsid w:val="1D230C56"/>
    <w:rsid w:val="1D291FE4"/>
    <w:rsid w:val="1D554B87"/>
    <w:rsid w:val="1D5A03F0"/>
    <w:rsid w:val="1D5F1562"/>
    <w:rsid w:val="1D5F18A9"/>
    <w:rsid w:val="1D61177E"/>
    <w:rsid w:val="1D6152DA"/>
    <w:rsid w:val="1D772D50"/>
    <w:rsid w:val="1D774AFE"/>
    <w:rsid w:val="1D7A639C"/>
    <w:rsid w:val="1D8B2357"/>
    <w:rsid w:val="1D8D4321"/>
    <w:rsid w:val="1D8D60CF"/>
    <w:rsid w:val="1D9E02DC"/>
    <w:rsid w:val="1DA17DCD"/>
    <w:rsid w:val="1DAA4ED3"/>
    <w:rsid w:val="1DCD0BC2"/>
    <w:rsid w:val="1DCD471E"/>
    <w:rsid w:val="1DD2442A"/>
    <w:rsid w:val="1DDC2BB3"/>
    <w:rsid w:val="1DDE4B7D"/>
    <w:rsid w:val="1DF95513"/>
    <w:rsid w:val="1E036392"/>
    <w:rsid w:val="1E05210A"/>
    <w:rsid w:val="1E0D0FBE"/>
    <w:rsid w:val="1E14059F"/>
    <w:rsid w:val="1E162569"/>
    <w:rsid w:val="1E1B192D"/>
    <w:rsid w:val="1E2D340E"/>
    <w:rsid w:val="1E42335E"/>
    <w:rsid w:val="1E4C5F8A"/>
    <w:rsid w:val="1E537319"/>
    <w:rsid w:val="1E561D3A"/>
    <w:rsid w:val="1E5828D6"/>
    <w:rsid w:val="1E605592"/>
    <w:rsid w:val="1E62130A"/>
    <w:rsid w:val="1E6908EA"/>
    <w:rsid w:val="1E731769"/>
    <w:rsid w:val="1E737FBB"/>
    <w:rsid w:val="1E7840F1"/>
    <w:rsid w:val="1E85149C"/>
    <w:rsid w:val="1E854FF8"/>
    <w:rsid w:val="1E876FC3"/>
    <w:rsid w:val="1E8A0861"/>
    <w:rsid w:val="1E8C282B"/>
    <w:rsid w:val="1E8E0351"/>
    <w:rsid w:val="1E91567A"/>
    <w:rsid w:val="1E935967"/>
    <w:rsid w:val="1E94348E"/>
    <w:rsid w:val="1E960FB4"/>
    <w:rsid w:val="1E9F0D6A"/>
    <w:rsid w:val="1EA96F39"/>
    <w:rsid w:val="1EAE09F3"/>
    <w:rsid w:val="1EBA012E"/>
    <w:rsid w:val="1EBA1146"/>
    <w:rsid w:val="1EC21DA9"/>
    <w:rsid w:val="1EC6380E"/>
    <w:rsid w:val="1ED76968"/>
    <w:rsid w:val="1EDA01AA"/>
    <w:rsid w:val="1EDF0BAD"/>
    <w:rsid w:val="1EF65EF6"/>
    <w:rsid w:val="1EF67CA4"/>
    <w:rsid w:val="1EFA1543"/>
    <w:rsid w:val="1F0028D1"/>
    <w:rsid w:val="1F022AED"/>
    <w:rsid w:val="1F02489B"/>
    <w:rsid w:val="1F095C2A"/>
    <w:rsid w:val="1F0F41F0"/>
    <w:rsid w:val="1F170835"/>
    <w:rsid w:val="1F176598"/>
    <w:rsid w:val="1F26058A"/>
    <w:rsid w:val="1F3233D2"/>
    <w:rsid w:val="1F327753"/>
    <w:rsid w:val="1F332CA6"/>
    <w:rsid w:val="1F3F789D"/>
    <w:rsid w:val="1F486752"/>
    <w:rsid w:val="1F505606"/>
    <w:rsid w:val="1F5F3A9B"/>
    <w:rsid w:val="1F615A66"/>
    <w:rsid w:val="1F66307C"/>
    <w:rsid w:val="1F6D440A"/>
    <w:rsid w:val="1F707A57"/>
    <w:rsid w:val="1F7233D5"/>
    <w:rsid w:val="1F7D3F22"/>
    <w:rsid w:val="1F8B2AE2"/>
    <w:rsid w:val="1F99183C"/>
    <w:rsid w:val="1FAA740D"/>
    <w:rsid w:val="1FAD4807"/>
    <w:rsid w:val="1FB913FE"/>
    <w:rsid w:val="1FBC0EEE"/>
    <w:rsid w:val="1FD93E60"/>
    <w:rsid w:val="1FDB4421"/>
    <w:rsid w:val="1FDE0E64"/>
    <w:rsid w:val="1FDE2C12"/>
    <w:rsid w:val="1FE87F35"/>
    <w:rsid w:val="1FEB532F"/>
    <w:rsid w:val="1FEE7A64"/>
    <w:rsid w:val="1FF24910"/>
    <w:rsid w:val="20000DDB"/>
    <w:rsid w:val="20142AD8"/>
    <w:rsid w:val="2020322B"/>
    <w:rsid w:val="20256A93"/>
    <w:rsid w:val="20340A84"/>
    <w:rsid w:val="20346CD6"/>
    <w:rsid w:val="20476A09"/>
    <w:rsid w:val="204C58AF"/>
    <w:rsid w:val="20586E69"/>
    <w:rsid w:val="2059498F"/>
    <w:rsid w:val="206A51C4"/>
    <w:rsid w:val="206F7D0E"/>
    <w:rsid w:val="2079293B"/>
    <w:rsid w:val="20803CC9"/>
    <w:rsid w:val="208732AA"/>
    <w:rsid w:val="208F215E"/>
    <w:rsid w:val="209854B7"/>
    <w:rsid w:val="209D0D1F"/>
    <w:rsid w:val="20A34F62"/>
    <w:rsid w:val="20AE4CDA"/>
    <w:rsid w:val="20B66BBF"/>
    <w:rsid w:val="20C22D60"/>
    <w:rsid w:val="20C92A4A"/>
    <w:rsid w:val="20CA13E8"/>
    <w:rsid w:val="20D9162C"/>
    <w:rsid w:val="20DB53A4"/>
    <w:rsid w:val="20E34258"/>
    <w:rsid w:val="20E64474"/>
    <w:rsid w:val="20F06820"/>
    <w:rsid w:val="20F14BC7"/>
    <w:rsid w:val="20F52909"/>
    <w:rsid w:val="20FB5A46"/>
    <w:rsid w:val="210466A8"/>
    <w:rsid w:val="210668C5"/>
    <w:rsid w:val="211803A6"/>
    <w:rsid w:val="211B7E4D"/>
    <w:rsid w:val="211C7457"/>
    <w:rsid w:val="21240AF9"/>
    <w:rsid w:val="2131530E"/>
    <w:rsid w:val="214F1F02"/>
    <w:rsid w:val="21505633"/>
    <w:rsid w:val="215313DE"/>
    <w:rsid w:val="21535882"/>
    <w:rsid w:val="215C4736"/>
    <w:rsid w:val="21627873"/>
    <w:rsid w:val="217575A6"/>
    <w:rsid w:val="21837F15"/>
    <w:rsid w:val="218767FE"/>
    <w:rsid w:val="218D48F0"/>
    <w:rsid w:val="219236CE"/>
    <w:rsid w:val="219263AA"/>
    <w:rsid w:val="219C4B33"/>
    <w:rsid w:val="219F0AC7"/>
    <w:rsid w:val="219F2875"/>
    <w:rsid w:val="21AB2FC8"/>
    <w:rsid w:val="21E169EA"/>
    <w:rsid w:val="21E309B4"/>
    <w:rsid w:val="22093F32"/>
    <w:rsid w:val="2210107D"/>
    <w:rsid w:val="22145011"/>
    <w:rsid w:val="2216237D"/>
    <w:rsid w:val="221943D6"/>
    <w:rsid w:val="22246984"/>
    <w:rsid w:val="222B4109"/>
    <w:rsid w:val="223707EE"/>
    <w:rsid w:val="223E5BEA"/>
    <w:rsid w:val="224D22D1"/>
    <w:rsid w:val="226513C9"/>
    <w:rsid w:val="227C4964"/>
    <w:rsid w:val="22806203"/>
    <w:rsid w:val="2292483A"/>
    <w:rsid w:val="22A068A5"/>
    <w:rsid w:val="22A2261D"/>
    <w:rsid w:val="22AF0896"/>
    <w:rsid w:val="22BD1205"/>
    <w:rsid w:val="22C04851"/>
    <w:rsid w:val="22D27C35"/>
    <w:rsid w:val="22D36C7A"/>
    <w:rsid w:val="22E542B8"/>
    <w:rsid w:val="22ED4B08"/>
    <w:rsid w:val="22F015DA"/>
    <w:rsid w:val="22F83FEB"/>
    <w:rsid w:val="23005595"/>
    <w:rsid w:val="230476A6"/>
    <w:rsid w:val="232A616E"/>
    <w:rsid w:val="232C1EE7"/>
    <w:rsid w:val="233314C7"/>
    <w:rsid w:val="2338088B"/>
    <w:rsid w:val="233C481F"/>
    <w:rsid w:val="236C6787"/>
    <w:rsid w:val="23700025"/>
    <w:rsid w:val="23713D9D"/>
    <w:rsid w:val="23733FB9"/>
    <w:rsid w:val="23757618"/>
    <w:rsid w:val="237F64BA"/>
    <w:rsid w:val="238241FC"/>
    <w:rsid w:val="23827D58"/>
    <w:rsid w:val="23A14683"/>
    <w:rsid w:val="23A221A9"/>
    <w:rsid w:val="23B31D5F"/>
    <w:rsid w:val="23B4085A"/>
    <w:rsid w:val="23BA1BE8"/>
    <w:rsid w:val="23BF447B"/>
    <w:rsid w:val="23CB5BA3"/>
    <w:rsid w:val="23CD36CA"/>
    <w:rsid w:val="23D2079E"/>
    <w:rsid w:val="23D74548"/>
    <w:rsid w:val="23F1AFB4"/>
    <w:rsid w:val="23F5677C"/>
    <w:rsid w:val="23F9544D"/>
    <w:rsid w:val="23FA0237"/>
    <w:rsid w:val="240370EB"/>
    <w:rsid w:val="24174945"/>
    <w:rsid w:val="242332EA"/>
    <w:rsid w:val="24415E66"/>
    <w:rsid w:val="24443260"/>
    <w:rsid w:val="244F2331"/>
    <w:rsid w:val="245060A9"/>
    <w:rsid w:val="24575689"/>
    <w:rsid w:val="246F4781"/>
    <w:rsid w:val="247104F9"/>
    <w:rsid w:val="2471674B"/>
    <w:rsid w:val="248046D8"/>
    <w:rsid w:val="2480698E"/>
    <w:rsid w:val="24877D1C"/>
    <w:rsid w:val="248A1E01"/>
    <w:rsid w:val="248F4E23"/>
    <w:rsid w:val="248F6BD1"/>
    <w:rsid w:val="24A24B56"/>
    <w:rsid w:val="24BD16AB"/>
    <w:rsid w:val="24BE3012"/>
    <w:rsid w:val="24C90335"/>
    <w:rsid w:val="24D32F62"/>
    <w:rsid w:val="24DE5462"/>
    <w:rsid w:val="24E11174"/>
    <w:rsid w:val="24EC4023"/>
    <w:rsid w:val="24F627AC"/>
    <w:rsid w:val="25056E93"/>
    <w:rsid w:val="25076767"/>
    <w:rsid w:val="251A03EB"/>
    <w:rsid w:val="25276E09"/>
    <w:rsid w:val="253908EB"/>
    <w:rsid w:val="25457290"/>
    <w:rsid w:val="254774AC"/>
    <w:rsid w:val="25493224"/>
    <w:rsid w:val="254E25E8"/>
    <w:rsid w:val="255816B9"/>
    <w:rsid w:val="255A0F8D"/>
    <w:rsid w:val="25740E92"/>
    <w:rsid w:val="257D4C7B"/>
    <w:rsid w:val="258C3110"/>
    <w:rsid w:val="25910727"/>
    <w:rsid w:val="25954889"/>
    <w:rsid w:val="25A72595"/>
    <w:rsid w:val="25BC3478"/>
    <w:rsid w:val="25BD7BDD"/>
    <w:rsid w:val="25C1725E"/>
    <w:rsid w:val="25D0124F"/>
    <w:rsid w:val="25D105C8"/>
    <w:rsid w:val="25DD571A"/>
    <w:rsid w:val="25E27C61"/>
    <w:rsid w:val="25E32D48"/>
    <w:rsid w:val="25E847EB"/>
    <w:rsid w:val="25F0369F"/>
    <w:rsid w:val="25F74A2E"/>
    <w:rsid w:val="25FD5DBC"/>
    <w:rsid w:val="25FD7B6A"/>
    <w:rsid w:val="25FF1B34"/>
    <w:rsid w:val="260929B3"/>
    <w:rsid w:val="2613738E"/>
    <w:rsid w:val="26154EB4"/>
    <w:rsid w:val="26240F85"/>
    <w:rsid w:val="26325A66"/>
    <w:rsid w:val="2637307C"/>
    <w:rsid w:val="26396DF4"/>
    <w:rsid w:val="26404627"/>
    <w:rsid w:val="26431A21"/>
    <w:rsid w:val="265359DC"/>
    <w:rsid w:val="26583D33"/>
    <w:rsid w:val="265C2AE3"/>
    <w:rsid w:val="26600825"/>
    <w:rsid w:val="266F2816"/>
    <w:rsid w:val="26864004"/>
    <w:rsid w:val="2694227D"/>
    <w:rsid w:val="26AA35DB"/>
    <w:rsid w:val="26AB6A4C"/>
    <w:rsid w:val="26B26BA7"/>
    <w:rsid w:val="26B96187"/>
    <w:rsid w:val="26BE58C2"/>
    <w:rsid w:val="26CA0394"/>
    <w:rsid w:val="26CC5EBA"/>
    <w:rsid w:val="26E8081A"/>
    <w:rsid w:val="26EA00EF"/>
    <w:rsid w:val="26F90805"/>
    <w:rsid w:val="26FB3ED3"/>
    <w:rsid w:val="26FE3B9A"/>
    <w:rsid w:val="27007912"/>
    <w:rsid w:val="270513CC"/>
    <w:rsid w:val="270A69E3"/>
    <w:rsid w:val="2714160F"/>
    <w:rsid w:val="272735B8"/>
    <w:rsid w:val="2729330D"/>
    <w:rsid w:val="273121C1"/>
    <w:rsid w:val="27391076"/>
    <w:rsid w:val="274A6DDF"/>
    <w:rsid w:val="27532138"/>
    <w:rsid w:val="27662D4D"/>
    <w:rsid w:val="276E2ACE"/>
    <w:rsid w:val="27722E27"/>
    <w:rsid w:val="27785933"/>
    <w:rsid w:val="277924A6"/>
    <w:rsid w:val="277A3B68"/>
    <w:rsid w:val="27814EF7"/>
    <w:rsid w:val="278D305D"/>
    <w:rsid w:val="27A029BC"/>
    <w:rsid w:val="27B64475"/>
    <w:rsid w:val="27B70919"/>
    <w:rsid w:val="27B94FAB"/>
    <w:rsid w:val="27BA5D13"/>
    <w:rsid w:val="27BD3F01"/>
    <w:rsid w:val="27C272BD"/>
    <w:rsid w:val="27CA694D"/>
    <w:rsid w:val="27D65E40"/>
    <w:rsid w:val="27EC31AA"/>
    <w:rsid w:val="27EFE123"/>
    <w:rsid w:val="27F136FF"/>
    <w:rsid w:val="27FA6A57"/>
    <w:rsid w:val="28011B94"/>
    <w:rsid w:val="280671AA"/>
    <w:rsid w:val="281C4C20"/>
    <w:rsid w:val="28212FEC"/>
    <w:rsid w:val="28235FAE"/>
    <w:rsid w:val="28281B98"/>
    <w:rsid w:val="28321D4D"/>
    <w:rsid w:val="283E5914"/>
    <w:rsid w:val="284952E9"/>
    <w:rsid w:val="28537F15"/>
    <w:rsid w:val="285739C1"/>
    <w:rsid w:val="285B7B62"/>
    <w:rsid w:val="28672083"/>
    <w:rsid w:val="286B3A4E"/>
    <w:rsid w:val="28773C04"/>
    <w:rsid w:val="287B7B98"/>
    <w:rsid w:val="287E44DE"/>
    <w:rsid w:val="288822B5"/>
    <w:rsid w:val="2895052E"/>
    <w:rsid w:val="289F315B"/>
    <w:rsid w:val="28AF7842"/>
    <w:rsid w:val="28B20B36"/>
    <w:rsid w:val="28B906C0"/>
    <w:rsid w:val="28C9682E"/>
    <w:rsid w:val="28D167FB"/>
    <w:rsid w:val="28D42E04"/>
    <w:rsid w:val="28D870B1"/>
    <w:rsid w:val="28DC43AF"/>
    <w:rsid w:val="28E36B60"/>
    <w:rsid w:val="28E60D8A"/>
    <w:rsid w:val="28EB0C2F"/>
    <w:rsid w:val="28ED3EC6"/>
    <w:rsid w:val="28F60FCD"/>
    <w:rsid w:val="28FE2577"/>
    <w:rsid w:val="290F6532"/>
    <w:rsid w:val="29127DD1"/>
    <w:rsid w:val="291E6775"/>
    <w:rsid w:val="292213BA"/>
    <w:rsid w:val="29363ABF"/>
    <w:rsid w:val="293E4722"/>
    <w:rsid w:val="29424212"/>
    <w:rsid w:val="294F2DD3"/>
    <w:rsid w:val="295403E9"/>
    <w:rsid w:val="29564161"/>
    <w:rsid w:val="296879F1"/>
    <w:rsid w:val="297168A5"/>
    <w:rsid w:val="298A3E0B"/>
    <w:rsid w:val="29930F11"/>
    <w:rsid w:val="299B7DC6"/>
    <w:rsid w:val="29A45E3F"/>
    <w:rsid w:val="29AF561F"/>
    <w:rsid w:val="29AF73CD"/>
    <w:rsid w:val="29CA4E9C"/>
    <w:rsid w:val="29D46E34"/>
    <w:rsid w:val="29DF5F05"/>
    <w:rsid w:val="29E77A40"/>
    <w:rsid w:val="29E90B31"/>
    <w:rsid w:val="29ED41C7"/>
    <w:rsid w:val="29EF3C6E"/>
    <w:rsid w:val="29F54CD2"/>
    <w:rsid w:val="29FB1519"/>
    <w:rsid w:val="2A0140CD"/>
    <w:rsid w:val="2A04596B"/>
    <w:rsid w:val="2A07545B"/>
    <w:rsid w:val="2A077209"/>
    <w:rsid w:val="2A092F82"/>
    <w:rsid w:val="2A0D15E4"/>
    <w:rsid w:val="2A0E05C1"/>
    <w:rsid w:val="2A0E6DD8"/>
    <w:rsid w:val="2A1060BE"/>
    <w:rsid w:val="2A164CA1"/>
    <w:rsid w:val="2A1831C5"/>
    <w:rsid w:val="2A2D4EC2"/>
    <w:rsid w:val="2A2E29E8"/>
    <w:rsid w:val="2A391AB9"/>
    <w:rsid w:val="2A3C5105"/>
    <w:rsid w:val="2A44045E"/>
    <w:rsid w:val="2A461AE0"/>
    <w:rsid w:val="2A5F2BA2"/>
    <w:rsid w:val="2A677CA8"/>
    <w:rsid w:val="2A67ACEB"/>
    <w:rsid w:val="2A7228D5"/>
    <w:rsid w:val="2A781EB5"/>
    <w:rsid w:val="2A81520E"/>
    <w:rsid w:val="2A8E16D9"/>
    <w:rsid w:val="2A922F77"/>
    <w:rsid w:val="2A9A007E"/>
    <w:rsid w:val="2A9C2048"/>
    <w:rsid w:val="2AA1140C"/>
    <w:rsid w:val="2AA91C15"/>
    <w:rsid w:val="2ABB0720"/>
    <w:rsid w:val="2AC33130"/>
    <w:rsid w:val="2ACA2711"/>
    <w:rsid w:val="2AEA1089"/>
    <w:rsid w:val="2AEB2687"/>
    <w:rsid w:val="2AEF03C9"/>
    <w:rsid w:val="2AF7727E"/>
    <w:rsid w:val="2AFB4FC0"/>
    <w:rsid w:val="2AFE685E"/>
    <w:rsid w:val="2B0100FD"/>
    <w:rsid w:val="2B01079C"/>
    <w:rsid w:val="2B114234"/>
    <w:rsid w:val="2B165956"/>
    <w:rsid w:val="2B1A1D02"/>
    <w:rsid w:val="2B1C4262"/>
    <w:rsid w:val="2B231E21"/>
    <w:rsid w:val="2B2A31B0"/>
    <w:rsid w:val="2B391645"/>
    <w:rsid w:val="2B434271"/>
    <w:rsid w:val="2B54022C"/>
    <w:rsid w:val="2B717030"/>
    <w:rsid w:val="2B724B56"/>
    <w:rsid w:val="2B746468"/>
    <w:rsid w:val="2B762899"/>
    <w:rsid w:val="2B8212EE"/>
    <w:rsid w:val="2B88478B"/>
    <w:rsid w:val="2B9D7E25"/>
    <w:rsid w:val="2BA32F62"/>
    <w:rsid w:val="2BA72A52"/>
    <w:rsid w:val="2BA94A1C"/>
    <w:rsid w:val="2BB138D1"/>
    <w:rsid w:val="2BB84C5F"/>
    <w:rsid w:val="2BBD04C8"/>
    <w:rsid w:val="2BD355F5"/>
    <w:rsid w:val="2BD4136D"/>
    <w:rsid w:val="2BD63337"/>
    <w:rsid w:val="2BE041B6"/>
    <w:rsid w:val="2BE908CE"/>
    <w:rsid w:val="2BEC66B7"/>
    <w:rsid w:val="2C027C88"/>
    <w:rsid w:val="2C091017"/>
    <w:rsid w:val="2C1A76C8"/>
    <w:rsid w:val="2C3B319A"/>
    <w:rsid w:val="2C424529"/>
    <w:rsid w:val="2C55425C"/>
    <w:rsid w:val="2C5A5D16"/>
    <w:rsid w:val="2C610E53"/>
    <w:rsid w:val="2C673F8F"/>
    <w:rsid w:val="2C6D0CF3"/>
    <w:rsid w:val="2C7F3EE9"/>
    <w:rsid w:val="2C892158"/>
    <w:rsid w:val="2C923702"/>
    <w:rsid w:val="2C956D4E"/>
    <w:rsid w:val="2CA927FA"/>
    <w:rsid w:val="2CB25B52"/>
    <w:rsid w:val="2CB27900"/>
    <w:rsid w:val="2CB35427"/>
    <w:rsid w:val="2CC87124"/>
    <w:rsid w:val="2CD21D51"/>
    <w:rsid w:val="2CDB28F0"/>
    <w:rsid w:val="2CE3426C"/>
    <w:rsid w:val="2CF63CCC"/>
    <w:rsid w:val="2CFF066C"/>
    <w:rsid w:val="2D012636"/>
    <w:rsid w:val="2D0422A3"/>
    <w:rsid w:val="2D0D4B37"/>
    <w:rsid w:val="2D102879"/>
    <w:rsid w:val="2D1B54A6"/>
    <w:rsid w:val="2D2C76B3"/>
    <w:rsid w:val="2D3A013A"/>
    <w:rsid w:val="2D4367AA"/>
    <w:rsid w:val="2D4744ED"/>
    <w:rsid w:val="2D4B565F"/>
    <w:rsid w:val="2D4F321A"/>
    <w:rsid w:val="2D4F514F"/>
    <w:rsid w:val="2D5E1836"/>
    <w:rsid w:val="2D6A3D37"/>
    <w:rsid w:val="2D6D3827"/>
    <w:rsid w:val="2D742E08"/>
    <w:rsid w:val="2D7D51E9"/>
    <w:rsid w:val="2D880661"/>
    <w:rsid w:val="2D8D7A26"/>
    <w:rsid w:val="2D917516"/>
    <w:rsid w:val="2D9765C8"/>
    <w:rsid w:val="2DA21F75"/>
    <w:rsid w:val="2DB120AF"/>
    <w:rsid w:val="2DB31B82"/>
    <w:rsid w:val="2DB63420"/>
    <w:rsid w:val="2DB651CE"/>
    <w:rsid w:val="2DC84F02"/>
    <w:rsid w:val="2DCA6ECC"/>
    <w:rsid w:val="2DDF4725"/>
    <w:rsid w:val="2DF83A39"/>
    <w:rsid w:val="2DFB0E33"/>
    <w:rsid w:val="2DFF6B75"/>
    <w:rsid w:val="2E0B376C"/>
    <w:rsid w:val="2E0D56A8"/>
    <w:rsid w:val="2E0E500A"/>
    <w:rsid w:val="2E2A1718"/>
    <w:rsid w:val="2E2D0A6B"/>
    <w:rsid w:val="2E3C1B78"/>
    <w:rsid w:val="2E514EF7"/>
    <w:rsid w:val="2E5B7B24"/>
    <w:rsid w:val="2E5D564A"/>
    <w:rsid w:val="2E7438A7"/>
    <w:rsid w:val="2E78505A"/>
    <w:rsid w:val="2E785465"/>
    <w:rsid w:val="2E861045"/>
    <w:rsid w:val="2E89643F"/>
    <w:rsid w:val="2E8C5F2F"/>
    <w:rsid w:val="2E941EB9"/>
    <w:rsid w:val="2E9A4AF0"/>
    <w:rsid w:val="2EA63495"/>
    <w:rsid w:val="2EA72D69"/>
    <w:rsid w:val="2EB07E70"/>
    <w:rsid w:val="2EB23BE8"/>
    <w:rsid w:val="2ECB2EFB"/>
    <w:rsid w:val="2ECD68F7"/>
    <w:rsid w:val="2ECD6C74"/>
    <w:rsid w:val="2ECE6548"/>
    <w:rsid w:val="2ED32D39"/>
    <w:rsid w:val="2ED81174"/>
    <w:rsid w:val="2EF35FAE"/>
    <w:rsid w:val="2EFC3AB9"/>
    <w:rsid w:val="2F041F69"/>
    <w:rsid w:val="2F0B32F8"/>
    <w:rsid w:val="2F2820FC"/>
    <w:rsid w:val="2F2E6FE6"/>
    <w:rsid w:val="2F34284F"/>
    <w:rsid w:val="2F407445"/>
    <w:rsid w:val="2F432A92"/>
    <w:rsid w:val="2F5268C1"/>
    <w:rsid w:val="2F540C1B"/>
    <w:rsid w:val="2F6D3FB3"/>
    <w:rsid w:val="2F7225BD"/>
    <w:rsid w:val="2F77098D"/>
    <w:rsid w:val="2F8135BA"/>
    <w:rsid w:val="2F8B61E7"/>
    <w:rsid w:val="2F8C3155"/>
    <w:rsid w:val="2FB30378"/>
    <w:rsid w:val="2FBF533C"/>
    <w:rsid w:val="2FCC2A87"/>
    <w:rsid w:val="2FD23E16"/>
    <w:rsid w:val="2FD951A4"/>
    <w:rsid w:val="2FE029D7"/>
    <w:rsid w:val="2FEC4ED7"/>
    <w:rsid w:val="2FF95846"/>
    <w:rsid w:val="30041E46"/>
    <w:rsid w:val="300D4E4E"/>
    <w:rsid w:val="300E12F2"/>
    <w:rsid w:val="30201025"/>
    <w:rsid w:val="30313232"/>
    <w:rsid w:val="303365FB"/>
    <w:rsid w:val="30411227"/>
    <w:rsid w:val="30564A47"/>
    <w:rsid w:val="305B205D"/>
    <w:rsid w:val="306727B0"/>
    <w:rsid w:val="306B6744"/>
    <w:rsid w:val="30774435"/>
    <w:rsid w:val="307849BD"/>
    <w:rsid w:val="30823A8E"/>
    <w:rsid w:val="309B37B0"/>
    <w:rsid w:val="30A45A9E"/>
    <w:rsid w:val="30A47560"/>
    <w:rsid w:val="30D00355"/>
    <w:rsid w:val="30DC319E"/>
    <w:rsid w:val="30EB518F"/>
    <w:rsid w:val="30F009F7"/>
    <w:rsid w:val="30F06C49"/>
    <w:rsid w:val="30F73331"/>
    <w:rsid w:val="310426F5"/>
    <w:rsid w:val="310F3573"/>
    <w:rsid w:val="31271F3F"/>
    <w:rsid w:val="312E1520"/>
    <w:rsid w:val="31307046"/>
    <w:rsid w:val="3140197F"/>
    <w:rsid w:val="31442AF1"/>
    <w:rsid w:val="314B0324"/>
    <w:rsid w:val="31556AAC"/>
    <w:rsid w:val="31653193"/>
    <w:rsid w:val="31655E3B"/>
    <w:rsid w:val="31725F19"/>
    <w:rsid w:val="317433D6"/>
    <w:rsid w:val="317452BC"/>
    <w:rsid w:val="31774C75"/>
    <w:rsid w:val="317C228B"/>
    <w:rsid w:val="31815AF3"/>
    <w:rsid w:val="31833619"/>
    <w:rsid w:val="31853836"/>
    <w:rsid w:val="318A49A8"/>
    <w:rsid w:val="318B6972"/>
    <w:rsid w:val="3192385D"/>
    <w:rsid w:val="31A16195"/>
    <w:rsid w:val="31AD0696"/>
    <w:rsid w:val="31BD5C76"/>
    <w:rsid w:val="31BE0AF5"/>
    <w:rsid w:val="31C0661C"/>
    <w:rsid w:val="31C51E84"/>
    <w:rsid w:val="31C61758"/>
    <w:rsid w:val="31C75BFC"/>
    <w:rsid w:val="31C97E3A"/>
    <w:rsid w:val="31CD0D39"/>
    <w:rsid w:val="31CD6F8B"/>
    <w:rsid w:val="31CF685F"/>
    <w:rsid w:val="31D64091"/>
    <w:rsid w:val="31DB16A7"/>
    <w:rsid w:val="31E57E30"/>
    <w:rsid w:val="31FB3AF8"/>
    <w:rsid w:val="3200110E"/>
    <w:rsid w:val="32096215"/>
    <w:rsid w:val="32292413"/>
    <w:rsid w:val="322E5C7B"/>
    <w:rsid w:val="32454D73"/>
    <w:rsid w:val="324A05DB"/>
    <w:rsid w:val="324C7EAF"/>
    <w:rsid w:val="32544FB6"/>
    <w:rsid w:val="325E7BE3"/>
    <w:rsid w:val="326C0551"/>
    <w:rsid w:val="32764F2C"/>
    <w:rsid w:val="327D62BB"/>
    <w:rsid w:val="32881945"/>
    <w:rsid w:val="328C0BF4"/>
    <w:rsid w:val="328C626F"/>
    <w:rsid w:val="328D6603"/>
    <w:rsid w:val="329B0E37"/>
    <w:rsid w:val="329D070B"/>
    <w:rsid w:val="32A61CB5"/>
    <w:rsid w:val="32B256A2"/>
    <w:rsid w:val="32BB5AB3"/>
    <w:rsid w:val="32BE3907"/>
    <w:rsid w:val="32C1089D"/>
    <w:rsid w:val="32C71C2C"/>
    <w:rsid w:val="32D57EA5"/>
    <w:rsid w:val="32DC56D7"/>
    <w:rsid w:val="32DD31FD"/>
    <w:rsid w:val="32EC0397"/>
    <w:rsid w:val="32F50547"/>
    <w:rsid w:val="32F81DE5"/>
    <w:rsid w:val="33030382"/>
    <w:rsid w:val="3304078A"/>
    <w:rsid w:val="330E33B7"/>
    <w:rsid w:val="331D7A9E"/>
    <w:rsid w:val="331F702A"/>
    <w:rsid w:val="332D7CE1"/>
    <w:rsid w:val="3330332D"/>
    <w:rsid w:val="33353039"/>
    <w:rsid w:val="3337290D"/>
    <w:rsid w:val="334B0167"/>
    <w:rsid w:val="334E7C57"/>
    <w:rsid w:val="335164FE"/>
    <w:rsid w:val="335542B1"/>
    <w:rsid w:val="33582884"/>
    <w:rsid w:val="335D7E9A"/>
    <w:rsid w:val="335F00B6"/>
    <w:rsid w:val="33615BDC"/>
    <w:rsid w:val="33661445"/>
    <w:rsid w:val="336851BD"/>
    <w:rsid w:val="336B25B7"/>
    <w:rsid w:val="336E291C"/>
    <w:rsid w:val="337B4EF0"/>
    <w:rsid w:val="337C2A16"/>
    <w:rsid w:val="33813B89"/>
    <w:rsid w:val="33890C8F"/>
    <w:rsid w:val="339935C8"/>
    <w:rsid w:val="33A06705"/>
    <w:rsid w:val="33A51F6D"/>
    <w:rsid w:val="33AB6E58"/>
    <w:rsid w:val="33B71CA0"/>
    <w:rsid w:val="33C1667B"/>
    <w:rsid w:val="33C30645"/>
    <w:rsid w:val="33C817B8"/>
    <w:rsid w:val="33C87A09"/>
    <w:rsid w:val="33CA19D4"/>
    <w:rsid w:val="33E12879"/>
    <w:rsid w:val="33EF4F96"/>
    <w:rsid w:val="33FB1B8D"/>
    <w:rsid w:val="34160775"/>
    <w:rsid w:val="34270BD4"/>
    <w:rsid w:val="342A06C4"/>
    <w:rsid w:val="34394463"/>
    <w:rsid w:val="34473024"/>
    <w:rsid w:val="34474EA2"/>
    <w:rsid w:val="344D6161"/>
    <w:rsid w:val="345117AD"/>
    <w:rsid w:val="34545741"/>
    <w:rsid w:val="345762FD"/>
    <w:rsid w:val="3457790B"/>
    <w:rsid w:val="34692F9B"/>
    <w:rsid w:val="34763909"/>
    <w:rsid w:val="347831DE"/>
    <w:rsid w:val="349A75F8"/>
    <w:rsid w:val="349D1206"/>
    <w:rsid w:val="34AB35B3"/>
    <w:rsid w:val="34C401D1"/>
    <w:rsid w:val="34C603ED"/>
    <w:rsid w:val="34D0182D"/>
    <w:rsid w:val="34F265FD"/>
    <w:rsid w:val="34F30AB6"/>
    <w:rsid w:val="34F736BB"/>
    <w:rsid w:val="35004F81"/>
    <w:rsid w:val="35026F4B"/>
    <w:rsid w:val="352073D1"/>
    <w:rsid w:val="352769B2"/>
    <w:rsid w:val="35366BF5"/>
    <w:rsid w:val="353F1F4D"/>
    <w:rsid w:val="354D5E43"/>
    <w:rsid w:val="354D6418"/>
    <w:rsid w:val="35523A2F"/>
    <w:rsid w:val="35586B6B"/>
    <w:rsid w:val="35625367"/>
    <w:rsid w:val="356B2D42"/>
    <w:rsid w:val="3575771D"/>
    <w:rsid w:val="35777939"/>
    <w:rsid w:val="357E2A76"/>
    <w:rsid w:val="358A766C"/>
    <w:rsid w:val="3599165E"/>
    <w:rsid w:val="359A53D6"/>
    <w:rsid w:val="35B05222"/>
    <w:rsid w:val="35B75BBE"/>
    <w:rsid w:val="35BA6669"/>
    <w:rsid w:val="35BE10C4"/>
    <w:rsid w:val="35D00DF7"/>
    <w:rsid w:val="35D5640E"/>
    <w:rsid w:val="35E30B2B"/>
    <w:rsid w:val="36054F45"/>
    <w:rsid w:val="36062A6B"/>
    <w:rsid w:val="36070CBD"/>
    <w:rsid w:val="36140EF6"/>
    <w:rsid w:val="362829E1"/>
    <w:rsid w:val="36321AB2"/>
    <w:rsid w:val="363B2715"/>
    <w:rsid w:val="363D46DF"/>
    <w:rsid w:val="363E0457"/>
    <w:rsid w:val="3647730B"/>
    <w:rsid w:val="365657A0"/>
    <w:rsid w:val="365B4B65"/>
    <w:rsid w:val="366A4DA8"/>
    <w:rsid w:val="36730100"/>
    <w:rsid w:val="3679148F"/>
    <w:rsid w:val="367E6AA5"/>
    <w:rsid w:val="369260AD"/>
    <w:rsid w:val="36B97ADD"/>
    <w:rsid w:val="36BF3346"/>
    <w:rsid w:val="36C344B8"/>
    <w:rsid w:val="36C7044C"/>
    <w:rsid w:val="36C721FA"/>
    <w:rsid w:val="36D263C4"/>
    <w:rsid w:val="36D30B9F"/>
    <w:rsid w:val="36D609F1"/>
    <w:rsid w:val="36D8563F"/>
    <w:rsid w:val="36E0150E"/>
    <w:rsid w:val="36FD5560"/>
    <w:rsid w:val="3701395E"/>
    <w:rsid w:val="3702284F"/>
    <w:rsid w:val="371A057C"/>
    <w:rsid w:val="37321D6A"/>
    <w:rsid w:val="373553B6"/>
    <w:rsid w:val="374E46CA"/>
    <w:rsid w:val="374F1469"/>
    <w:rsid w:val="37517D16"/>
    <w:rsid w:val="37555A58"/>
    <w:rsid w:val="376C68FE"/>
    <w:rsid w:val="377759CE"/>
    <w:rsid w:val="37824373"/>
    <w:rsid w:val="37826121"/>
    <w:rsid w:val="37933A27"/>
    <w:rsid w:val="37A95DA4"/>
    <w:rsid w:val="37AD49B3"/>
    <w:rsid w:val="37B79502"/>
    <w:rsid w:val="37BE35FD"/>
    <w:rsid w:val="37BF2ED1"/>
    <w:rsid w:val="37CF1BCD"/>
    <w:rsid w:val="37D526F5"/>
    <w:rsid w:val="37D72DA0"/>
    <w:rsid w:val="37E40B8A"/>
    <w:rsid w:val="37EE37B7"/>
    <w:rsid w:val="37F60FE9"/>
    <w:rsid w:val="37FC2378"/>
    <w:rsid w:val="37FE1C4C"/>
    <w:rsid w:val="3819749D"/>
    <w:rsid w:val="381E409C"/>
    <w:rsid w:val="382D0232"/>
    <w:rsid w:val="38355AD3"/>
    <w:rsid w:val="38392C84"/>
    <w:rsid w:val="384358B1"/>
    <w:rsid w:val="384743E1"/>
    <w:rsid w:val="384F24A7"/>
    <w:rsid w:val="385E093C"/>
    <w:rsid w:val="38656D70"/>
    <w:rsid w:val="38765C86"/>
    <w:rsid w:val="38784230"/>
    <w:rsid w:val="387B14EE"/>
    <w:rsid w:val="387B504A"/>
    <w:rsid w:val="38875313"/>
    <w:rsid w:val="388859B9"/>
    <w:rsid w:val="388D4D7E"/>
    <w:rsid w:val="38926838"/>
    <w:rsid w:val="3894610C"/>
    <w:rsid w:val="38983E4E"/>
    <w:rsid w:val="38A24CCD"/>
    <w:rsid w:val="38BC1624"/>
    <w:rsid w:val="38BC7547"/>
    <w:rsid w:val="38BD1B07"/>
    <w:rsid w:val="38E47094"/>
    <w:rsid w:val="38EC7CF6"/>
    <w:rsid w:val="38FF5292"/>
    <w:rsid w:val="390F1C37"/>
    <w:rsid w:val="39184F8F"/>
    <w:rsid w:val="39194863"/>
    <w:rsid w:val="391F631E"/>
    <w:rsid w:val="392A6A70"/>
    <w:rsid w:val="393873DF"/>
    <w:rsid w:val="393F42CA"/>
    <w:rsid w:val="394A2C6F"/>
    <w:rsid w:val="394C4C39"/>
    <w:rsid w:val="394E275F"/>
    <w:rsid w:val="39551D3F"/>
    <w:rsid w:val="395C67B9"/>
    <w:rsid w:val="39643D30"/>
    <w:rsid w:val="39664FE9"/>
    <w:rsid w:val="396F26D5"/>
    <w:rsid w:val="39785A2E"/>
    <w:rsid w:val="39A64349"/>
    <w:rsid w:val="39AB195F"/>
    <w:rsid w:val="39AE31FE"/>
    <w:rsid w:val="39B77EFC"/>
    <w:rsid w:val="39C66799"/>
    <w:rsid w:val="39C742BF"/>
    <w:rsid w:val="39D013C6"/>
    <w:rsid w:val="39D569DC"/>
    <w:rsid w:val="39DF5AAD"/>
    <w:rsid w:val="39E72CC9"/>
    <w:rsid w:val="39F41558"/>
    <w:rsid w:val="39FF3A59"/>
    <w:rsid w:val="3A053765"/>
    <w:rsid w:val="3A141A1A"/>
    <w:rsid w:val="3A176FF5"/>
    <w:rsid w:val="3A1C0AAF"/>
    <w:rsid w:val="3A274C17"/>
    <w:rsid w:val="3A2B6F44"/>
    <w:rsid w:val="3A2D4A6A"/>
    <w:rsid w:val="3A345DF9"/>
    <w:rsid w:val="3A401DF6"/>
    <w:rsid w:val="3A53562E"/>
    <w:rsid w:val="3A5356E1"/>
    <w:rsid w:val="3A543DA5"/>
    <w:rsid w:val="3A617662"/>
    <w:rsid w:val="3A683CF4"/>
    <w:rsid w:val="3A751F6D"/>
    <w:rsid w:val="3A8A77C7"/>
    <w:rsid w:val="3A8D72B7"/>
    <w:rsid w:val="3A8F302F"/>
    <w:rsid w:val="3A8F74D3"/>
    <w:rsid w:val="3AA40859"/>
    <w:rsid w:val="3AA54601"/>
    <w:rsid w:val="3AB331C1"/>
    <w:rsid w:val="3AB43149"/>
    <w:rsid w:val="3AB64A60"/>
    <w:rsid w:val="3AC56F65"/>
    <w:rsid w:val="3AD924FC"/>
    <w:rsid w:val="3ADD1FEC"/>
    <w:rsid w:val="3AF64E5C"/>
    <w:rsid w:val="3AFB2473"/>
    <w:rsid w:val="3B057795"/>
    <w:rsid w:val="3B084B8F"/>
    <w:rsid w:val="3B1B2B15"/>
    <w:rsid w:val="3B231C82"/>
    <w:rsid w:val="3B3D2A8B"/>
    <w:rsid w:val="3B5878C5"/>
    <w:rsid w:val="3B5B5607"/>
    <w:rsid w:val="3B5E2A01"/>
    <w:rsid w:val="3B5F50F7"/>
    <w:rsid w:val="3B7A783B"/>
    <w:rsid w:val="3B9603ED"/>
    <w:rsid w:val="3BA246F5"/>
    <w:rsid w:val="3BA5384D"/>
    <w:rsid w:val="3BA66882"/>
    <w:rsid w:val="3BAA1905"/>
    <w:rsid w:val="3BC1546A"/>
    <w:rsid w:val="3BC52C95"/>
    <w:rsid w:val="3BC767F9"/>
    <w:rsid w:val="3BCF4FEC"/>
    <w:rsid w:val="3BDC6748"/>
    <w:rsid w:val="3BDF7FE6"/>
    <w:rsid w:val="3BFC2946"/>
    <w:rsid w:val="3C0B4937"/>
    <w:rsid w:val="3C0D6901"/>
    <w:rsid w:val="3C241E9D"/>
    <w:rsid w:val="3C2679C3"/>
    <w:rsid w:val="3C2A477B"/>
    <w:rsid w:val="3C2B322B"/>
    <w:rsid w:val="3C2D0D52"/>
    <w:rsid w:val="3C2D2B00"/>
    <w:rsid w:val="3C3A521C"/>
    <w:rsid w:val="3C487939"/>
    <w:rsid w:val="3C5C33E5"/>
    <w:rsid w:val="3C6110D5"/>
    <w:rsid w:val="3C720E5A"/>
    <w:rsid w:val="3C7C5835"/>
    <w:rsid w:val="3C834E15"/>
    <w:rsid w:val="3C8841DA"/>
    <w:rsid w:val="3C90308E"/>
    <w:rsid w:val="3CA37266"/>
    <w:rsid w:val="3CBA010B"/>
    <w:rsid w:val="3CBE7BFC"/>
    <w:rsid w:val="3CC86CCC"/>
    <w:rsid w:val="3CE07B72"/>
    <w:rsid w:val="3CF3617C"/>
    <w:rsid w:val="3CF61143"/>
    <w:rsid w:val="3CFB0E50"/>
    <w:rsid w:val="3D037D04"/>
    <w:rsid w:val="3D073351"/>
    <w:rsid w:val="3D17730C"/>
    <w:rsid w:val="3D1D0DC6"/>
    <w:rsid w:val="3D202664"/>
    <w:rsid w:val="3D204412"/>
    <w:rsid w:val="3D2263DC"/>
    <w:rsid w:val="3D2A703F"/>
    <w:rsid w:val="3D3A1978"/>
    <w:rsid w:val="3D402D06"/>
    <w:rsid w:val="3D424389"/>
    <w:rsid w:val="3D5F13DF"/>
    <w:rsid w:val="3D5F318D"/>
    <w:rsid w:val="3D632551"/>
    <w:rsid w:val="3D6C7658"/>
    <w:rsid w:val="3D793B23"/>
    <w:rsid w:val="3D85696B"/>
    <w:rsid w:val="3D8A5D30"/>
    <w:rsid w:val="3D9904B2"/>
    <w:rsid w:val="3D9F17DB"/>
    <w:rsid w:val="3DB42DAD"/>
    <w:rsid w:val="3DB72FC9"/>
    <w:rsid w:val="3DB83658"/>
    <w:rsid w:val="3DCB25D0"/>
    <w:rsid w:val="3DD82F3F"/>
    <w:rsid w:val="3DE25D39"/>
    <w:rsid w:val="3DE47B36"/>
    <w:rsid w:val="3DE54A23"/>
    <w:rsid w:val="3DE641E3"/>
    <w:rsid w:val="3DEE4511"/>
    <w:rsid w:val="3DF36E8B"/>
    <w:rsid w:val="3DFE0BF8"/>
    <w:rsid w:val="3E09759C"/>
    <w:rsid w:val="3E0C4997"/>
    <w:rsid w:val="3E155F41"/>
    <w:rsid w:val="3E1675C3"/>
    <w:rsid w:val="3E1877DF"/>
    <w:rsid w:val="3E2E7003"/>
    <w:rsid w:val="3E674220"/>
    <w:rsid w:val="3E6A5CCC"/>
    <w:rsid w:val="3E742C68"/>
    <w:rsid w:val="3E7A3FF6"/>
    <w:rsid w:val="3E7D2D88"/>
    <w:rsid w:val="3E832EAB"/>
    <w:rsid w:val="3E8502AB"/>
    <w:rsid w:val="3E8A248B"/>
    <w:rsid w:val="3E94330A"/>
    <w:rsid w:val="3E9C5D1B"/>
    <w:rsid w:val="3E9E5F37"/>
    <w:rsid w:val="3EA370A9"/>
    <w:rsid w:val="3EB23790"/>
    <w:rsid w:val="3EB47508"/>
    <w:rsid w:val="3EB56DDC"/>
    <w:rsid w:val="3EB76FF8"/>
    <w:rsid w:val="3EB92D70"/>
    <w:rsid w:val="3EB968CD"/>
    <w:rsid w:val="3EBA2645"/>
    <w:rsid w:val="3EBB0897"/>
    <w:rsid w:val="3EC314F9"/>
    <w:rsid w:val="3EC60FE9"/>
    <w:rsid w:val="3ECD4126"/>
    <w:rsid w:val="3ECF7E9E"/>
    <w:rsid w:val="3ED069D1"/>
    <w:rsid w:val="3EE66096"/>
    <w:rsid w:val="3EF20030"/>
    <w:rsid w:val="3EF75D33"/>
    <w:rsid w:val="3F0833B0"/>
    <w:rsid w:val="3F2006FA"/>
    <w:rsid w:val="3F214472"/>
    <w:rsid w:val="3F2D2E17"/>
    <w:rsid w:val="3F3453F5"/>
    <w:rsid w:val="3F43088C"/>
    <w:rsid w:val="3F446ADE"/>
    <w:rsid w:val="3F52287D"/>
    <w:rsid w:val="3F555260"/>
    <w:rsid w:val="3F5C5A01"/>
    <w:rsid w:val="3F626F64"/>
    <w:rsid w:val="3F634A8A"/>
    <w:rsid w:val="3F6F34C7"/>
    <w:rsid w:val="3F7647BE"/>
    <w:rsid w:val="3F9B5FD2"/>
    <w:rsid w:val="3FA23805"/>
    <w:rsid w:val="3FA330D9"/>
    <w:rsid w:val="3FA56E51"/>
    <w:rsid w:val="3FB62E0C"/>
    <w:rsid w:val="3FB928FC"/>
    <w:rsid w:val="3FBB0422"/>
    <w:rsid w:val="3FBD063E"/>
    <w:rsid w:val="3FBF5061"/>
    <w:rsid w:val="3FC7643C"/>
    <w:rsid w:val="3FCE63A8"/>
    <w:rsid w:val="3FD17C46"/>
    <w:rsid w:val="3FDD65EB"/>
    <w:rsid w:val="3FE07E89"/>
    <w:rsid w:val="3FE518BE"/>
    <w:rsid w:val="3FE71217"/>
    <w:rsid w:val="3FEFD773"/>
    <w:rsid w:val="3FF34060"/>
    <w:rsid w:val="400032D3"/>
    <w:rsid w:val="40095632"/>
    <w:rsid w:val="40280D6B"/>
    <w:rsid w:val="402D7572"/>
    <w:rsid w:val="403D00ED"/>
    <w:rsid w:val="4047615A"/>
    <w:rsid w:val="40721429"/>
    <w:rsid w:val="40864ED4"/>
    <w:rsid w:val="408847A8"/>
    <w:rsid w:val="40925627"/>
    <w:rsid w:val="40996CA8"/>
    <w:rsid w:val="40B94CC0"/>
    <w:rsid w:val="40BF3F42"/>
    <w:rsid w:val="40C1415E"/>
    <w:rsid w:val="40C63523"/>
    <w:rsid w:val="40C91191"/>
    <w:rsid w:val="40C95C12"/>
    <w:rsid w:val="40CB0B39"/>
    <w:rsid w:val="40D7128C"/>
    <w:rsid w:val="40E439A9"/>
    <w:rsid w:val="40EA0D9F"/>
    <w:rsid w:val="40F24318"/>
    <w:rsid w:val="40F57964"/>
    <w:rsid w:val="40F77B80"/>
    <w:rsid w:val="41025635"/>
    <w:rsid w:val="41036525"/>
    <w:rsid w:val="41110C42"/>
    <w:rsid w:val="41126768"/>
    <w:rsid w:val="4114603C"/>
    <w:rsid w:val="411E6EBB"/>
    <w:rsid w:val="41200631"/>
    <w:rsid w:val="41202C33"/>
    <w:rsid w:val="412C782A"/>
    <w:rsid w:val="413D1A37"/>
    <w:rsid w:val="414C43D2"/>
    <w:rsid w:val="41636FC4"/>
    <w:rsid w:val="416A0352"/>
    <w:rsid w:val="41720FB5"/>
    <w:rsid w:val="417967E7"/>
    <w:rsid w:val="41A2189A"/>
    <w:rsid w:val="41A90E7A"/>
    <w:rsid w:val="41AA4BF2"/>
    <w:rsid w:val="41B065D4"/>
    <w:rsid w:val="41CE268F"/>
    <w:rsid w:val="41D63C39"/>
    <w:rsid w:val="41EC6FB9"/>
    <w:rsid w:val="41F25A6B"/>
    <w:rsid w:val="41F93484"/>
    <w:rsid w:val="41FB71FC"/>
    <w:rsid w:val="421C4B1A"/>
    <w:rsid w:val="42293D69"/>
    <w:rsid w:val="422C3859"/>
    <w:rsid w:val="423F358D"/>
    <w:rsid w:val="4249440B"/>
    <w:rsid w:val="4255690C"/>
    <w:rsid w:val="42862F6A"/>
    <w:rsid w:val="42980EEF"/>
    <w:rsid w:val="42982C9D"/>
    <w:rsid w:val="42AC04F6"/>
    <w:rsid w:val="42C341BE"/>
    <w:rsid w:val="42C41CE4"/>
    <w:rsid w:val="42C817D4"/>
    <w:rsid w:val="42E303BC"/>
    <w:rsid w:val="42E934F8"/>
    <w:rsid w:val="42ED123B"/>
    <w:rsid w:val="42F00C51"/>
    <w:rsid w:val="42F75C15"/>
    <w:rsid w:val="42F779C3"/>
    <w:rsid w:val="43014CE6"/>
    <w:rsid w:val="430B346F"/>
    <w:rsid w:val="430D71E7"/>
    <w:rsid w:val="432B1D63"/>
    <w:rsid w:val="434F30B7"/>
    <w:rsid w:val="434F77FF"/>
    <w:rsid w:val="43601A0D"/>
    <w:rsid w:val="43607C5E"/>
    <w:rsid w:val="43635059"/>
    <w:rsid w:val="436A63E7"/>
    <w:rsid w:val="43727992"/>
    <w:rsid w:val="437B6846"/>
    <w:rsid w:val="438356FB"/>
    <w:rsid w:val="43947908"/>
    <w:rsid w:val="43994F1E"/>
    <w:rsid w:val="43CD4BC8"/>
    <w:rsid w:val="43D41FF2"/>
    <w:rsid w:val="43DE0B83"/>
    <w:rsid w:val="44000AFA"/>
    <w:rsid w:val="44030670"/>
    <w:rsid w:val="440700DA"/>
    <w:rsid w:val="4407632C"/>
    <w:rsid w:val="44103433"/>
    <w:rsid w:val="44114AB5"/>
    <w:rsid w:val="442742D8"/>
    <w:rsid w:val="442C18EF"/>
    <w:rsid w:val="442C5D93"/>
    <w:rsid w:val="443F17DC"/>
    <w:rsid w:val="445157F9"/>
    <w:rsid w:val="445350CD"/>
    <w:rsid w:val="44586B88"/>
    <w:rsid w:val="44590A02"/>
    <w:rsid w:val="44654E01"/>
    <w:rsid w:val="448B2AB9"/>
    <w:rsid w:val="44A45929"/>
    <w:rsid w:val="44A8366B"/>
    <w:rsid w:val="44AD0C81"/>
    <w:rsid w:val="44AE49FA"/>
    <w:rsid w:val="44B244EA"/>
    <w:rsid w:val="44BA339E"/>
    <w:rsid w:val="44BD68E4"/>
    <w:rsid w:val="44CC6C2E"/>
    <w:rsid w:val="44DB12E8"/>
    <w:rsid w:val="44E4666D"/>
    <w:rsid w:val="44EB79FC"/>
    <w:rsid w:val="44F248E6"/>
    <w:rsid w:val="45014B29"/>
    <w:rsid w:val="450A60D4"/>
    <w:rsid w:val="450D34CE"/>
    <w:rsid w:val="45124F88"/>
    <w:rsid w:val="45154A79"/>
    <w:rsid w:val="452D591E"/>
    <w:rsid w:val="452F5B3A"/>
    <w:rsid w:val="453E3FCF"/>
    <w:rsid w:val="45443838"/>
    <w:rsid w:val="454D7D6F"/>
    <w:rsid w:val="45525385"/>
    <w:rsid w:val="455E1F7C"/>
    <w:rsid w:val="45723C79"/>
    <w:rsid w:val="45796DB6"/>
    <w:rsid w:val="457E261E"/>
    <w:rsid w:val="45800144"/>
    <w:rsid w:val="458319E2"/>
    <w:rsid w:val="4588349D"/>
    <w:rsid w:val="458A4B1F"/>
    <w:rsid w:val="45A007E6"/>
    <w:rsid w:val="45AC0F39"/>
    <w:rsid w:val="45BA0E9D"/>
    <w:rsid w:val="45BB73CE"/>
    <w:rsid w:val="45C81AEB"/>
    <w:rsid w:val="45C85647"/>
    <w:rsid w:val="45CA5863"/>
    <w:rsid w:val="45DD5596"/>
    <w:rsid w:val="45DE4E6B"/>
    <w:rsid w:val="45E41C5F"/>
    <w:rsid w:val="45EF49AA"/>
    <w:rsid w:val="45FB3C6E"/>
    <w:rsid w:val="45FB5A1D"/>
    <w:rsid w:val="46001285"/>
    <w:rsid w:val="46020B59"/>
    <w:rsid w:val="4605689B"/>
    <w:rsid w:val="460C5E7C"/>
    <w:rsid w:val="46171A2F"/>
    <w:rsid w:val="461F5BAF"/>
    <w:rsid w:val="46252D4D"/>
    <w:rsid w:val="4637392D"/>
    <w:rsid w:val="463D7DE3"/>
    <w:rsid w:val="464C0026"/>
    <w:rsid w:val="464C6278"/>
    <w:rsid w:val="464E0242"/>
    <w:rsid w:val="464F1744"/>
    <w:rsid w:val="46623CEE"/>
    <w:rsid w:val="468C3F03"/>
    <w:rsid w:val="46A00372"/>
    <w:rsid w:val="46AB7443"/>
    <w:rsid w:val="46AE2A8F"/>
    <w:rsid w:val="46B87F3F"/>
    <w:rsid w:val="46C91677"/>
    <w:rsid w:val="46CB53EF"/>
    <w:rsid w:val="46CF43B1"/>
    <w:rsid w:val="46DC584E"/>
    <w:rsid w:val="46DD3374"/>
    <w:rsid w:val="46FA2178"/>
    <w:rsid w:val="46FD57C4"/>
    <w:rsid w:val="47024B89"/>
    <w:rsid w:val="4703102D"/>
    <w:rsid w:val="47044DA5"/>
    <w:rsid w:val="470D5A07"/>
    <w:rsid w:val="4714323A"/>
    <w:rsid w:val="472650D5"/>
    <w:rsid w:val="472E2CA2"/>
    <w:rsid w:val="473A07C7"/>
    <w:rsid w:val="47503B46"/>
    <w:rsid w:val="475353E4"/>
    <w:rsid w:val="475709EC"/>
    <w:rsid w:val="475A49C5"/>
    <w:rsid w:val="47631ACB"/>
    <w:rsid w:val="476D64A6"/>
    <w:rsid w:val="47741FF2"/>
    <w:rsid w:val="477B46DA"/>
    <w:rsid w:val="478131A3"/>
    <w:rsid w:val="478A34FC"/>
    <w:rsid w:val="47A3011A"/>
    <w:rsid w:val="47A62C2A"/>
    <w:rsid w:val="47AA14A8"/>
    <w:rsid w:val="47CA1B4A"/>
    <w:rsid w:val="47CA7D9C"/>
    <w:rsid w:val="47CC58C3"/>
    <w:rsid w:val="47CD5197"/>
    <w:rsid w:val="47D227AD"/>
    <w:rsid w:val="47D46525"/>
    <w:rsid w:val="47DC187E"/>
    <w:rsid w:val="47E524E0"/>
    <w:rsid w:val="4800556C"/>
    <w:rsid w:val="48074B4D"/>
    <w:rsid w:val="480768FB"/>
    <w:rsid w:val="48180B08"/>
    <w:rsid w:val="481903DC"/>
    <w:rsid w:val="48194880"/>
    <w:rsid w:val="481E41DD"/>
    <w:rsid w:val="482079BC"/>
    <w:rsid w:val="482374AD"/>
    <w:rsid w:val="482F1367"/>
    <w:rsid w:val="482F78B9"/>
    <w:rsid w:val="483E7E42"/>
    <w:rsid w:val="484A67E7"/>
    <w:rsid w:val="48502504"/>
    <w:rsid w:val="4851401A"/>
    <w:rsid w:val="485D29BF"/>
    <w:rsid w:val="4862144E"/>
    <w:rsid w:val="486A50DB"/>
    <w:rsid w:val="48802C4C"/>
    <w:rsid w:val="48825F81"/>
    <w:rsid w:val="489108BA"/>
    <w:rsid w:val="48A6552A"/>
    <w:rsid w:val="48A85B47"/>
    <w:rsid w:val="48AE1CFE"/>
    <w:rsid w:val="48B00D40"/>
    <w:rsid w:val="48B16866"/>
    <w:rsid w:val="48B9571B"/>
    <w:rsid w:val="48D10546"/>
    <w:rsid w:val="48E1714C"/>
    <w:rsid w:val="48E649B1"/>
    <w:rsid w:val="48E924A4"/>
    <w:rsid w:val="48FA020D"/>
    <w:rsid w:val="48FC21D7"/>
    <w:rsid w:val="490177EE"/>
    <w:rsid w:val="490D6193"/>
    <w:rsid w:val="491F06FD"/>
    <w:rsid w:val="4929464F"/>
    <w:rsid w:val="4933371F"/>
    <w:rsid w:val="493A2D00"/>
    <w:rsid w:val="493C4382"/>
    <w:rsid w:val="4941408E"/>
    <w:rsid w:val="49431BB4"/>
    <w:rsid w:val="495F7E6E"/>
    <w:rsid w:val="49663AF5"/>
    <w:rsid w:val="496935E7"/>
    <w:rsid w:val="49725FF6"/>
    <w:rsid w:val="498D72D3"/>
    <w:rsid w:val="49C425C9"/>
    <w:rsid w:val="49C66341"/>
    <w:rsid w:val="49CD147E"/>
    <w:rsid w:val="49CF169A"/>
    <w:rsid w:val="49D4280C"/>
    <w:rsid w:val="49D722FD"/>
    <w:rsid w:val="49E1317B"/>
    <w:rsid w:val="49E36EF3"/>
    <w:rsid w:val="49E62540"/>
    <w:rsid w:val="49E862B8"/>
    <w:rsid w:val="49EA64D4"/>
    <w:rsid w:val="49F7474D"/>
    <w:rsid w:val="4A0823B3"/>
    <w:rsid w:val="4A08695A"/>
    <w:rsid w:val="4A126880"/>
    <w:rsid w:val="4A143551"/>
    <w:rsid w:val="4A1732CA"/>
    <w:rsid w:val="4A174DEF"/>
    <w:rsid w:val="4A3E5581"/>
    <w:rsid w:val="4A4110E0"/>
    <w:rsid w:val="4A437992"/>
    <w:rsid w:val="4A471230"/>
    <w:rsid w:val="4A534079"/>
    <w:rsid w:val="4A5D6CA6"/>
    <w:rsid w:val="4A5E47CC"/>
    <w:rsid w:val="4A5E657A"/>
    <w:rsid w:val="4A68063C"/>
    <w:rsid w:val="4A69389D"/>
    <w:rsid w:val="4A6E0EB3"/>
    <w:rsid w:val="4A6F2535"/>
    <w:rsid w:val="4A6F4C2B"/>
    <w:rsid w:val="4A743FEF"/>
    <w:rsid w:val="4A74435E"/>
    <w:rsid w:val="4A77763C"/>
    <w:rsid w:val="4A7B715E"/>
    <w:rsid w:val="4A810122"/>
    <w:rsid w:val="4AA61C7A"/>
    <w:rsid w:val="4AA77F21"/>
    <w:rsid w:val="4AB368C6"/>
    <w:rsid w:val="4ABD7744"/>
    <w:rsid w:val="4AC26B09"/>
    <w:rsid w:val="4ADB7BCB"/>
    <w:rsid w:val="4AE143EB"/>
    <w:rsid w:val="4AEB2504"/>
    <w:rsid w:val="4AF43755"/>
    <w:rsid w:val="4AF55130"/>
    <w:rsid w:val="4AFD2237"/>
    <w:rsid w:val="4B045373"/>
    <w:rsid w:val="4B0B1F4A"/>
    <w:rsid w:val="4B125CE2"/>
    <w:rsid w:val="4B133808"/>
    <w:rsid w:val="4B1530DD"/>
    <w:rsid w:val="4B2B2900"/>
    <w:rsid w:val="4B3612A5"/>
    <w:rsid w:val="4B38326F"/>
    <w:rsid w:val="4B3D0885"/>
    <w:rsid w:val="4B3F0159"/>
    <w:rsid w:val="4B46598C"/>
    <w:rsid w:val="4B5A31E5"/>
    <w:rsid w:val="4B5C51AF"/>
    <w:rsid w:val="4B5F07FC"/>
    <w:rsid w:val="4B663938"/>
    <w:rsid w:val="4B6A3DF6"/>
    <w:rsid w:val="4B7F0E9E"/>
    <w:rsid w:val="4B8464B4"/>
    <w:rsid w:val="4B8E10E1"/>
    <w:rsid w:val="4B95421D"/>
    <w:rsid w:val="4B991A63"/>
    <w:rsid w:val="4BA319B6"/>
    <w:rsid w:val="4BA426B2"/>
    <w:rsid w:val="4BBE3774"/>
    <w:rsid w:val="4BC114B6"/>
    <w:rsid w:val="4BC62629"/>
    <w:rsid w:val="4BED5E07"/>
    <w:rsid w:val="4BFE1DC3"/>
    <w:rsid w:val="4C2638A5"/>
    <w:rsid w:val="4C3B3017"/>
    <w:rsid w:val="4C3D6D8F"/>
    <w:rsid w:val="4C5440D8"/>
    <w:rsid w:val="4C574A64"/>
    <w:rsid w:val="4C6267F5"/>
    <w:rsid w:val="4C651E42"/>
    <w:rsid w:val="4C6F4A6E"/>
    <w:rsid w:val="4C6F4AF2"/>
    <w:rsid w:val="4C7B3413"/>
    <w:rsid w:val="4CA54934"/>
    <w:rsid w:val="4CB91BB2"/>
    <w:rsid w:val="4CC76658"/>
    <w:rsid w:val="4CCE79E7"/>
    <w:rsid w:val="4CE0596C"/>
    <w:rsid w:val="4CEB0640"/>
    <w:rsid w:val="4CEF795D"/>
    <w:rsid w:val="4CFA7D7E"/>
    <w:rsid w:val="4D063625"/>
    <w:rsid w:val="4D072EF9"/>
    <w:rsid w:val="4D106251"/>
    <w:rsid w:val="4D113D78"/>
    <w:rsid w:val="4D114108"/>
    <w:rsid w:val="4D151ABA"/>
    <w:rsid w:val="4D161448"/>
    <w:rsid w:val="4D186EB4"/>
    <w:rsid w:val="4D203020"/>
    <w:rsid w:val="4D245859"/>
    <w:rsid w:val="4D260EFB"/>
    <w:rsid w:val="4D27359B"/>
    <w:rsid w:val="4D2B4E39"/>
    <w:rsid w:val="4D2C6E03"/>
    <w:rsid w:val="4D3F08E5"/>
    <w:rsid w:val="4D423F31"/>
    <w:rsid w:val="4D445EFB"/>
    <w:rsid w:val="4D4C4186"/>
    <w:rsid w:val="4D5325E2"/>
    <w:rsid w:val="4D5A127B"/>
    <w:rsid w:val="4D5B25F7"/>
    <w:rsid w:val="4D775534"/>
    <w:rsid w:val="4D785BA5"/>
    <w:rsid w:val="4D866514"/>
    <w:rsid w:val="4D875DE8"/>
    <w:rsid w:val="4D9264EE"/>
    <w:rsid w:val="4D9549A9"/>
    <w:rsid w:val="4DA1334D"/>
    <w:rsid w:val="4DA62712"/>
    <w:rsid w:val="4DA900E3"/>
    <w:rsid w:val="4DB0533F"/>
    <w:rsid w:val="4DC82688"/>
    <w:rsid w:val="4DD059E1"/>
    <w:rsid w:val="4DED20EF"/>
    <w:rsid w:val="4DF81A75"/>
    <w:rsid w:val="4E04568A"/>
    <w:rsid w:val="4E094A4F"/>
    <w:rsid w:val="4E11734B"/>
    <w:rsid w:val="4E183C1F"/>
    <w:rsid w:val="4E2A50F1"/>
    <w:rsid w:val="4E2B2C17"/>
    <w:rsid w:val="4E345F70"/>
    <w:rsid w:val="4E367AF4"/>
    <w:rsid w:val="4E4B32B9"/>
    <w:rsid w:val="4E5E4D9B"/>
    <w:rsid w:val="4E720846"/>
    <w:rsid w:val="4E7B3B9E"/>
    <w:rsid w:val="4E824F2D"/>
    <w:rsid w:val="4E984750"/>
    <w:rsid w:val="4E99094C"/>
    <w:rsid w:val="4EA76741"/>
    <w:rsid w:val="4EBA13D7"/>
    <w:rsid w:val="4EBD41B7"/>
    <w:rsid w:val="4EC15329"/>
    <w:rsid w:val="4EC92B5C"/>
    <w:rsid w:val="4ECF5F29"/>
    <w:rsid w:val="4EDE5EDB"/>
    <w:rsid w:val="4EE2777A"/>
    <w:rsid w:val="4EE9065B"/>
    <w:rsid w:val="4EF474AD"/>
    <w:rsid w:val="4EF61477"/>
    <w:rsid w:val="4EF62370"/>
    <w:rsid w:val="4EFC1636"/>
    <w:rsid w:val="4F02606E"/>
    <w:rsid w:val="4F0C47F7"/>
    <w:rsid w:val="4F126690"/>
    <w:rsid w:val="4F231986"/>
    <w:rsid w:val="4F2B6334"/>
    <w:rsid w:val="4F3501F1"/>
    <w:rsid w:val="4F361873"/>
    <w:rsid w:val="4F3D2C02"/>
    <w:rsid w:val="4F610FE6"/>
    <w:rsid w:val="4F6A776F"/>
    <w:rsid w:val="4F6C0DB8"/>
    <w:rsid w:val="4F6C798B"/>
    <w:rsid w:val="4F74239C"/>
    <w:rsid w:val="4F7C5E20"/>
    <w:rsid w:val="4F860A4D"/>
    <w:rsid w:val="4F9273F2"/>
    <w:rsid w:val="4F9A44F8"/>
    <w:rsid w:val="4F9D18F3"/>
    <w:rsid w:val="4FA2515B"/>
    <w:rsid w:val="4FA669F9"/>
    <w:rsid w:val="4FA709C3"/>
    <w:rsid w:val="4FB87CE8"/>
    <w:rsid w:val="4FBA06F6"/>
    <w:rsid w:val="4FBB7FCB"/>
    <w:rsid w:val="4FBF5D0D"/>
    <w:rsid w:val="4FDF7658"/>
    <w:rsid w:val="4FE37716"/>
    <w:rsid w:val="4FF9121F"/>
    <w:rsid w:val="4FFF435B"/>
    <w:rsid w:val="4FFFB71E"/>
    <w:rsid w:val="50031E55"/>
    <w:rsid w:val="500D0826"/>
    <w:rsid w:val="50120532"/>
    <w:rsid w:val="501C315F"/>
    <w:rsid w:val="502C3AFD"/>
    <w:rsid w:val="503009B9"/>
    <w:rsid w:val="503F29AA"/>
    <w:rsid w:val="505521CD"/>
    <w:rsid w:val="50615016"/>
    <w:rsid w:val="506B379F"/>
    <w:rsid w:val="506B7C43"/>
    <w:rsid w:val="506D6B4D"/>
    <w:rsid w:val="50827466"/>
    <w:rsid w:val="508F1B83"/>
    <w:rsid w:val="509205B0"/>
    <w:rsid w:val="50974594"/>
    <w:rsid w:val="509C604E"/>
    <w:rsid w:val="50AD523A"/>
    <w:rsid w:val="50B9275C"/>
    <w:rsid w:val="50C03AEB"/>
    <w:rsid w:val="50C25AB5"/>
    <w:rsid w:val="50C35389"/>
    <w:rsid w:val="50C730CB"/>
    <w:rsid w:val="50C820AA"/>
    <w:rsid w:val="50CE26AB"/>
    <w:rsid w:val="50CF01D2"/>
    <w:rsid w:val="50EF43D0"/>
    <w:rsid w:val="51053BF3"/>
    <w:rsid w:val="51121E6C"/>
    <w:rsid w:val="51145BE4"/>
    <w:rsid w:val="5119769F"/>
    <w:rsid w:val="511A58F1"/>
    <w:rsid w:val="511B51C5"/>
    <w:rsid w:val="512027DB"/>
    <w:rsid w:val="512247A5"/>
    <w:rsid w:val="514364CA"/>
    <w:rsid w:val="51461A81"/>
    <w:rsid w:val="515626A1"/>
    <w:rsid w:val="51600E2A"/>
    <w:rsid w:val="51621046"/>
    <w:rsid w:val="517D7C2E"/>
    <w:rsid w:val="518666E1"/>
    <w:rsid w:val="518C7E71"/>
    <w:rsid w:val="51A96C75"/>
    <w:rsid w:val="51B82A14"/>
    <w:rsid w:val="51BF1FF4"/>
    <w:rsid w:val="51CC64BF"/>
    <w:rsid w:val="51D75590"/>
    <w:rsid w:val="51DB6702"/>
    <w:rsid w:val="51DC4954"/>
    <w:rsid w:val="51E43809"/>
    <w:rsid w:val="51F021AD"/>
    <w:rsid w:val="51FE0D6E"/>
    <w:rsid w:val="520F3E01"/>
    <w:rsid w:val="522B58DB"/>
    <w:rsid w:val="52383B54"/>
    <w:rsid w:val="52391DA6"/>
    <w:rsid w:val="523E560F"/>
    <w:rsid w:val="52650DED"/>
    <w:rsid w:val="526D1A50"/>
    <w:rsid w:val="52733F35"/>
    <w:rsid w:val="52742DDF"/>
    <w:rsid w:val="52884ADC"/>
    <w:rsid w:val="528F7C18"/>
    <w:rsid w:val="529214B7"/>
    <w:rsid w:val="52952D55"/>
    <w:rsid w:val="529A036B"/>
    <w:rsid w:val="529E60AD"/>
    <w:rsid w:val="52B70F1D"/>
    <w:rsid w:val="52B7716F"/>
    <w:rsid w:val="52BC4786"/>
    <w:rsid w:val="52D01FDF"/>
    <w:rsid w:val="52D90E94"/>
    <w:rsid w:val="52E837CD"/>
    <w:rsid w:val="52F21F55"/>
    <w:rsid w:val="53161886"/>
    <w:rsid w:val="53206AC2"/>
    <w:rsid w:val="532760A3"/>
    <w:rsid w:val="53306393"/>
    <w:rsid w:val="533662E6"/>
    <w:rsid w:val="53381D95"/>
    <w:rsid w:val="53476745"/>
    <w:rsid w:val="534C5B09"/>
    <w:rsid w:val="536966BB"/>
    <w:rsid w:val="536D782E"/>
    <w:rsid w:val="537D2167"/>
    <w:rsid w:val="53811C80"/>
    <w:rsid w:val="5382777D"/>
    <w:rsid w:val="538C05FC"/>
    <w:rsid w:val="5394300C"/>
    <w:rsid w:val="53957916"/>
    <w:rsid w:val="53957C99"/>
    <w:rsid w:val="53985292"/>
    <w:rsid w:val="53A05E55"/>
    <w:rsid w:val="53A2397B"/>
    <w:rsid w:val="53A25729"/>
    <w:rsid w:val="53A414A2"/>
    <w:rsid w:val="53A45945"/>
    <w:rsid w:val="53A616BE"/>
    <w:rsid w:val="53C90F08"/>
    <w:rsid w:val="53D55AFF"/>
    <w:rsid w:val="53DA4EC3"/>
    <w:rsid w:val="53E126F6"/>
    <w:rsid w:val="53E915AA"/>
    <w:rsid w:val="53FD5056"/>
    <w:rsid w:val="53FF2B7C"/>
    <w:rsid w:val="5407449D"/>
    <w:rsid w:val="5411465D"/>
    <w:rsid w:val="54352A41"/>
    <w:rsid w:val="544B7B6F"/>
    <w:rsid w:val="545253A1"/>
    <w:rsid w:val="54554E92"/>
    <w:rsid w:val="54745318"/>
    <w:rsid w:val="547D1CF3"/>
    <w:rsid w:val="54857525"/>
    <w:rsid w:val="549459BA"/>
    <w:rsid w:val="549758D6"/>
    <w:rsid w:val="54980851"/>
    <w:rsid w:val="5498646D"/>
    <w:rsid w:val="549C486F"/>
    <w:rsid w:val="54A35BFD"/>
    <w:rsid w:val="54AB4AB2"/>
    <w:rsid w:val="54AD4386"/>
    <w:rsid w:val="54B5148C"/>
    <w:rsid w:val="54BB2F47"/>
    <w:rsid w:val="54BE47E5"/>
    <w:rsid w:val="54C0002D"/>
    <w:rsid w:val="54D062C6"/>
    <w:rsid w:val="54EC24E5"/>
    <w:rsid w:val="54EF2BF0"/>
    <w:rsid w:val="54F75F49"/>
    <w:rsid w:val="54FF095A"/>
    <w:rsid w:val="550C37A2"/>
    <w:rsid w:val="550D751A"/>
    <w:rsid w:val="55103BD6"/>
    <w:rsid w:val="55322ADD"/>
    <w:rsid w:val="553455F5"/>
    <w:rsid w:val="553B4087"/>
    <w:rsid w:val="55432F3C"/>
    <w:rsid w:val="55434CEA"/>
    <w:rsid w:val="554950DA"/>
    <w:rsid w:val="554F7B33"/>
    <w:rsid w:val="55540CA5"/>
    <w:rsid w:val="555E38D2"/>
    <w:rsid w:val="555F460E"/>
    <w:rsid w:val="55610682"/>
    <w:rsid w:val="556246D0"/>
    <w:rsid w:val="5563713A"/>
    <w:rsid w:val="556829A3"/>
    <w:rsid w:val="557430F6"/>
    <w:rsid w:val="557D01FC"/>
    <w:rsid w:val="557D644E"/>
    <w:rsid w:val="557F21C6"/>
    <w:rsid w:val="558725E0"/>
    <w:rsid w:val="559A7000"/>
    <w:rsid w:val="559F4616"/>
    <w:rsid w:val="55A51501"/>
    <w:rsid w:val="55BA1450"/>
    <w:rsid w:val="55BD4A9D"/>
    <w:rsid w:val="55C93441"/>
    <w:rsid w:val="55CE2806"/>
    <w:rsid w:val="55DD0C9B"/>
    <w:rsid w:val="55DF5B42"/>
    <w:rsid w:val="55EC5382"/>
    <w:rsid w:val="55EC7130"/>
    <w:rsid w:val="55F83D27"/>
    <w:rsid w:val="561623FF"/>
    <w:rsid w:val="561A5A4B"/>
    <w:rsid w:val="561E2576"/>
    <w:rsid w:val="561F7505"/>
    <w:rsid w:val="56226FF5"/>
    <w:rsid w:val="562C39D0"/>
    <w:rsid w:val="56372AA1"/>
    <w:rsid w:val="56554CD5"/>
    <w:rsid w:val="565C6063"/>
    <w:rsid w:val="566B62A7"/>
    <w:rsid w:val="56707D61"/>
    <w:rsid w:val="567535C9"/>
    <w:rsid w:val="567710EF"/>
    <w:rsid w:val="567E247E"/>
    <w:rsid w:val="568A06E3"/>
    <w:rsid w:val="56905D0D"/>
    <w:rsid w:val="56941CA1"/>
    <w:rsid w:val="569A3030"/>
    <w:rsid w:val="56AB528F"/>
    <w:rsid w:val="56BF65F2"/>
    <w:rsid w:val="56C8194B"/>
    <w:rsid w:val="56CD51B3"/>
    <w:rsid w:val="56CE37BE"/>
    <w:rsid w:val="56D57BC4"/>
    <w:rsid w:val="56D7393C"/>
    <w:rsid w:val="56D976B4"/>
    <w:rsid w:val="56E9340F"/>
    <w:rsid w:val="56F75D8C"/>
    <w:rsid w:val="57010267"/>
    <w:rsid w:val="570861EB"/>
    <w:rsid w:val="57087F99"/>
    <w:rsid w:val="57122BC6"/>
    <w:rsid w:val="5717642E"/>
    <w:rsid w:val="57193F55"/>
    <w:rsid w:val="572A7F10"/>
    <w:rsid w:val="573174F0"/>
    <w:rsid w:val="574B7E86"/>
    <w:rsid w:val="574C432A"/>
    <w:rsid w:val="574D00A2"/>
    <w:rsid w:val="574D281E"/>
    <w:rsid w:val="575B631B"/>
    <w:rsid w:val="575E3BD8"/>
    <w:rsid w:val="5765719A"/>
    <w:rsid w:val="57750CCB"/>
    <w:rsid w:val="577613A7"/>
    <w:rsid w:val="577B076B"/>
    <w:rsid w:val="57882E88"/>
    <w:rsid w:val="578C4726"/>
    <w:rsid w:val="578D049F"/>
    <w:rsid w:val="57914433"/>
    <w:rsid w:val="5792138F"/>
    <w:rsid w:val="5797131D"/>
    <w:rsid w:val="5798756F"/>
    <w:rsid w:val="579E445A"/>
    <w:rsid w:val="57A777B2"/>
    <w:rsid w:val="57AF2B0B"/>
    <w:rsid w:val="57BC2B32"/>
    <w:rsid w:val="57EF4CB5"/>
    <w:rsid w:val="57F57678"/>
    <w:rsid w:val="57FB4086"/>
    <w:rsid w:val="57FF56B0"/>
    <w:rsid w:val="58150BC0"/>
    <w:rsid w:val="581942AD"/>
    <w:rsid w:val="58247055"/>
    <w:rsid w:val="58262DCD"/>
    <w:rsid w:val="58382B00"/>
    <w:rsid w:val="583F6D12"/>
    <w:rsid w:val="5846521D"/>
    <w:rsid w:val="58582ACD"/>
    <w:rsid w:val="58584F50"/>
    <w:rsid w:val="58773629"/>
    <w:rsid w:val="587D0513"/>
    <w:rsid w:val="58893182"/>
    <w:rsid w:val="58894E62"/>
    <w:rsid w:val="588B70D4"/>
    <w:rsid w:val="58922210"/>
    <w:rsid w:val="58975B15"/>
    <w:rsid w:val="589A7317"/>
    <w:rsid w:val="58B2640F"/>
    <w:rsid w:val="58B54151"/>
    <w:rsid w:val="58B55EFF"/>
    <w:rsid w:val="58B70EBC"/>
    <w:rsid w:val="58BA3146"/>
    <w:rsid w:val="58C148A4"/>
    <w:rsid w:val="58C16652"/>
    <w:rsid w:val="58CE0D6F"/>
    <w:rsid w:val="58CF4005"/>
    <w:rsid w:val="58D12233"/>
    <w:rsid w:val="58D2085F"/>
    <w:rsid w:val="58D26AB1"/>
    <w:rsid w:val="58D520FD"/>
    <w:rsid w:val="58DC4843"/>
    <w:rsid w:val="58E97BDF"/>
    <w:rsid w:val="58F85DEC"/>
    <w:rsid w:val="58FC3B2E"/>
    <w:rsid w:val="591013C5"/>
    <w:rsid w:val="59413C36"/>
    <w:rsid w:val="594415A8"/>
    <w:rsid w:val="59480B21"/>
    <w:rsid w:val="59486D73"/>
    <w:rsid w:val="594A4899"/>
    <w:rsid w:val="59514814"/>
    <w:rsid w:val="595C45CC"/>
    <w:rsid w:val="598853C1"/>
    <w:rsid w:val="59961EAF"/>
    <w:rsid w:val="59A10231"/>
    <w:rsid w:val="59A3044D"/>
    <w:rsid w:val="59A87812"/>
    <w:rsid w:val="59BE5287"/>
    <w:rsid w:val="59C12681"/>
    <w:rsid w:val="59C52172"/>
    <w:rsid w:val="59C81C62"/>
    <w:rsid w:val="59CC1752"/>
    <w:rsid w:val="59D35246"/>
    <w:rsid w:val="59D40607"/>
    <w:rsid w:val="59DB1995"/>
    <w:rsid w:val="59DD395F"/>
    <w:rsid w:val="59E36A9C"/>
    <w:rsid w:val="59EA32C6"/>
    <w:rsid w:val="59F1740B"/>
    <w:rsid w:val="5A24333C"/>
    <w:rsid w:val="5A250E62"/>
    <w:rsid w:val="5A26728B"/>
    <w:rsid w:val="5A272E2C"/>
    <w:rsid w:val="5A312944"/>
    <w:rsid w:val="5A3A3C09"/>
    <w:rsid w:val="5A3D7F5A"/>
    <w:rsid w:val="5A47527D"/>
    <w:rsid w:val="5A4C2893"/>
    <w:rsid w:val="5A5A4FB0"/>
    <w:rsid w:val="5A690D4F"/>
    <w:rsid w:val="5A7B6CD4"/>
    <w:rsid w:val="5A843DDB"/>
    <w:rsid w:val="5AA14D4B"/>
    <w:rsid w:val="5AA24261"/>
    <w:rsid w:val="5AA71877"/>
    <w:rsid w:val="5AAE2C06"/>
    <w:rsid w:val="5ABE2890"/>
    <w:rsid w:val="5AC3040C"/>
    <w:rsid w:val="5ACB7C5C"/>
    <w:rsid w:val="5ACD39D4"/>
    <w:rsid w:val="5ADA1C4D"/>
    <w:rsid w:val="5ADA39FB"/>
    <w:rsid w:val="5B06072A"/>
    <w:rsid w:val="5B1909C7"/>
    <w:rsid w:val="5B1C4013"/>
    <w:rsid w:val="5B2004EC"/>
    <w:rsid w:val="5B2B24A8"/>
    <w:rsid w:val="5B347DF2"/>
    <w:rsid w:val="5B3550D5"/>
    <w:rsid w:val="5B4041A6"/>
    <w:rsid w:val="5B4812AC"/>
    <w:rsid w:val="5B4A5024"/>
    <w:rsid w:val="5B555777"/>
    <w:rsid w:val="5B5F2152"/>
    <w:rsid w:val="5B687259"/>
    <w:rsid w:val="5B721E85"/>
    <w:rsid w:val="5B745BFD"/>
    <w:rsid w:val="5B765E19"/>
    <w:rsid w:val="5B81031A"/>
    <w:rsid w:val="5BA02E96"/>
    <w:rsid w:val="5BA74225"/>
    <w:rsid w:val="5BAA5AC3"/>
    <w:rsid w:val="5BB57E26"/>
    <w:rsid w:val="5BBA55DA"/>
    <w:rsid w:val="5BC14BBB"/>
    <w:rsid w:val="5BD14DFE"/>
    <w:rsid w:val="5BD60666"/>
    <w:rsid w:val="5BDD4CB8"/>
    <w:rsid w:val="5BE9DEFC"/>
    <w:rsid w:val="5BEFDC09"/>
    <w:rsid w:val="5BF40AEC"/>
    <w:rsid w:val="5C07081F"/>
    <w:rsid w:val="5C0827EA"/>
    <w:rsid w:val="5C0F3B78"/>
    <w:rsid w:val="5C0F7357"/>
    <w:rsid w:val="5C115B42"/>
    <w:rsid w:val="5C163158"/>
    <w:rsid w:val="5C1D0043"/>
    <w:rsid w:val="5C2209C9"/>
    <w:rsid w:val="5C246A34"/>
    <w:rsid w:val="5C2A2760"/>
    <w:rsid w:val="5C2E0916"/>
    <w:rsid w:val="5C3F445D"/>
    <w:rsid w:val="5C447CC6"/>
    <w:rsid w:val="5C4557EC"/>
    <w:rsid w:val="5C5D2B35"/>
    <w:rsid w:val="5C606182"/>
    <w:rsid w:val="5C643EC4"/>
    <w:rsid w:val="5C6C4B26"/>
    <w:rsid w:val="5C715907"/>
    <w:rsid w:val="5C8C6E54"/>
    <w:rsid w:val="5C9D2F32"/>
    <w:rsid w:val="5CA22C3E"/>
    <w:rsid w:val="5CA37F26"/>
    <w:rsid w:val="5CBD35D4"/>
    <w:rsid w:val="5CBF10FA"/>
    <w:rsid w:val="5CC130C4"/>
    <w:rsid w:val="5CD03307"/>
    <w:rsid w:val="5CD54DC2"/>
    <w:rsid w:val="5CDF3C0D"/>
    <w:rsid w:val="5CE11E1A"/>
    <w:rsid w:val="5CFF9DD8"/>
    <w:rsid w:val="5D0631CD"/>
    <w:rsid w:val="5D153410"/>
    <w:rsid w:val="5D1A0A26"/>
    <w:rsid w:val="5D1D22C5"/>
    <w:rsid w:val="5D2608A5"/>
    <w:rsid w:val="5D315E4C"/>
    <w:rsid w:val="5D3C099D"/>
    <w:rsid w:val="5D3E2967"/>
    <w:rsid w:val="5D3F66DF"/>
    <w:rsid w:val="5D4810F0"/>
    <w:rsid w:val="5D4D2BAA"/>
    <w:rsid w:val="5D535CE6"/>
    <w:rsid w:val="5D5F468B"/>
    <w:rsid w:val="5D600B2F"/>
    <w:rsid w:val="5D7F0889"/>
    <w:rsid w:val="5D83481E"/>
    <w:rsid w:val="5DA16A52"/>
    <w:rsid w:val="5DB9023F"/>
    <w:rsid w:val="5DBC388C"/>
    <w:rsid w:val="5DBE13B2"/>
    <w:rsid w:val="5DBFA070"/>
    <w:rsid w:val="5DC00580"/>
    <w:rsid w:val="5DC82230"/>
    <w:rsid w:val="5DCF1811"/>
    <w:rsid w:val="5DE52DE2"/>
    <w:rsid w:val="5DEA21A7"/>
    <w:rsid w:val="5DF03535"/>
    <w:rsid w:val="5DF2592E"/>
    <w:rsid w:val="5DF43025"/>
    <w:rsid w:val="5DF52041"/>
    <w:rsid w:val="5E033269"/>
    <w:rsid w:val="5E070FAB"/>
    <w:rsid w:val="5E0D40E7"/>
    <w:rsid w:val="5E173D9B"/>
    <w:rsid w:val="5E20206C"/>
    <w:rsid w:val="5E24654F"/>
    <w:rsid w:val="5E286E51"/>
    <w:rsid w:val="5E2A4C99"/>
    <w:rsid w:val="5E473A9D"/>
    <w:rsid w:val="5E532442"/>
    <w:rsid w:val="5E5B12F6"/>
    <w:rsid w:val="5E60690D"/>
    <w:rsid w:val="5E671A49"/>
    <w:rsid w:val="5E6F08FE"/>
    <w:rsid w:val="5E954808"/>
    <w:rsid w:val="5EA467FA"/>
    <w:rsid w:val="5EBB5416"/>
    <w:rsid w:val="5EBF1885"/>
    <w:rsid w:val="5EC7073A"/>
    <w:rsid w:val="5EC944B2"/>
    <w:rsid w:val="5ECF75EF"/>
    <w:rsid w:val="5ED6097D"/>
    <w:rsid w:val="5EDA6373"/>
    <w:rsid w:val="5EDF528B"/>
    <w:rsid w:val="5EDF7832"/>
    <w:rsid w:val="5EE96902"/>
    <w:rsid w:val="5F076D88"/>
    <w:rsid w:val="5F0E6369"/>
    <w:rsid w:val="5F16521D"/>
    <w:rsid w:val="5F1A2F60"/>
    <w:rsid w:val="5F230066"/>
    <w:rsid w:val="5F2B2A77"/>
    <w:rsid w:val="5F3538F6"/>
    <w:rsid w:val="5F3C2ED6"/>
    <w:rsid w:val="5F463D55"/>
    <w:rsid w:val="5F506981"/>
    <w:rsid w:val="5F772160"/>
    <w:rsid w:val="5F814DDD"/>
    <w:rsid w:val="5F8959EF"/>
    <w:rsid w:val="5F8D54E0"/>
    <w:rsid w:val="5F990328"/>
    <w:rsid w:val="5FA171DD"/>
    <w:rsid w:val="5FB76A00"/>
    <w:rsid w:val="5FB962D5"/>
    <w:rsid w:val="5FBA3DFB"/>
    <w:rsid w:val="5FBB029F"/>
    <w:rsid w:val="5FBE6562"/>
    <w:rsid w:val="5FC1162D"/>
    <w:rsid w:val="5FC627A0"/>
    <w:rsid w:val="5FE33352"/>
    <w:rsid w:val="5FE84E0C"/>
    <w:rsid w:val="5FED06E7"/>
    <w:rsid w:val="5FF217E7"/>
    <w:rsid w:val="5FFE018B"/>
    <w:rsid w:val="60011A2A"/>
    <w:rsid w:val="60063D1C"/>
    <w:rsid w:val="60107EBF"/>
    <w:rsid w:val="601E25DC"/>
    <w:rsid w:val="602B6AA7"/>
    <w:rsid w:val="602F2A3B"/>
    <w:rsid w:val="60307A7E"/>
    <w:rsid w:val="603B13E0"/>
    <w:rsid w:val="604F4E8B"/>
    <w:rsid w:val="605129B1"/>
    <w:rsid w:val="60563B24"/>
    <w:rsid w:val="6057789C"/>
    <w:rsid w:val="606A5821"/>
    <w:rsid w:val="6071095D"/>
    <w:rsid w:val="60854409"/>
    <w:rsid w:val="60874625"/>
    <w:rsid w:val="60932FCA"/>
    <w:rsid w:val="6099330B"/>
    <w:rsid w:val="609E54CA"/>
    <w:rsid w:val="60A32465"/>
    <w:rsid w:val="60A725D1"/>
    <w:rsid w:val="60B82A30"/>
    <w:rsid w:val="60BA0556"/>
    <w:rsid w:val="60C767CF"/>
    <w:rsid w:val="60CE5DB0"/>
    <w:rsid w:val="60E07891"/>
    <w:rsid w:val="60E23609"/>
    <w:rsid w:val="60E94998"/>
    <w:rsid w:val="6109503A"/>
    <w:rsid w:val="610A47B8"/>
    <w:rsid w:val="61151C31"/>
    <w:rsid w:val="61314591"/>
    <w:rsid w:val="61333E65"/>
    <w:rsid w:val="613D2F35"/>
    <w:rsid w:val="613D4CE3"/>
    <w:rsid w:val="614147D4"/>
    <w:rsid w:val="61453B98"/>
    <w:rsid w:val="614F54D2"/>
    <w:rsid w:val="6152499D"/>
    <w:rsid w:val="616D55B0"/>
    <w:rsid w:val="6171498D"/>
    <w:rsid w:val="61750921"/>
    <w:rsid w:val="617F70AA"/>
    <w:rsid w:val="618B5A4F"/>
    <w:rsid w:val="61952D71"/>
    <w:rsid w:val="61960094"/>
    <w:rsid w:val="61992DEB"/>
    <w:rsid w:val="61B551C2"/>
    <w:rsid w:val="61C62F2B"/>
    <w:rsid w:val="61E11B13"/>
    <w:rsid w:val="61E909C7"/>
    <w:rsid w:val="61F91B31"/>
    <w:rsid w:val="620360F1"/>
    <w:rsid w:val="620852F1"/>
    <w:rsid w:val="62206ADF"/>
    <w:rsid w:val="62210161"/>
    <w:rsid w:val="622F5DD8"/>
    <w:rsid w:val="6239194F"/>
    <w:rsid w:val="623C3C66"/>
    <w:rsid w:val="623E6F65"/>
    <w:rsid w:val="624C1682"/>
    <w:rsid w:val="625C73EB"/>
    <w:rsid w:val="62614A02"/>
    <w:rsid w:val="626E28A7"/>
    <w:rsid w:val="627110E9"/>
    <w:rsid w:val="628232F6"/>
    <w:rsid w:val="628543B1"/>
    <w:rsid w:val="628801E0"/>
    <w:rsid w:val="629118D9"/>
    <w:rsid w:val="629628FD"/>
    <w:rsid w:val="629848C7"/>
    <w:rsid w:val="62AC2121"/>
    <w:rsid w:val="62AF7E63"/>
    <w:rsid w:val="62C236F2"/>
    <w:rsid w:val="62C751AC"/>
    <w:rsid w:val="62EA2C49"/>
    <w:rsid w:val="62F87114"/>
    <w:rsid w:val="62FF1D7E"/>
    <w:rsid w:val="630750A6"/>
    <w:rsid w:val="630E2DDB"/>
    <w:rsid w:val="63186930"/>
    <w:rsid w:val="63514A76"/>
    <w:rsid w:val="635822A8"/>
    <w:rsid w:val="635F3637"/>
    <w:rsid w:val="636D5D54"/>
    <w:rsid w:val="636E73D6"/>
    <w:rsid w:val="637A221F"/>
    <w:rsid w:val="638C3D00"/>
    <w:rsid w:val="63A92B04"/>
    <w:rsid w:val="63B03E93"/>
    <w:rsid w:val="63B379DE"/>
    <w:rsid w:val="63C4349A"/>
    <w:rsid w:val="63C90776"/>
    <w:rsid w:val="63CF5B8B"/>
    <w:rsid w:val="63E92F01"/>
    <w:rsid w:val="63ED479F"/>
    <w:rsid w:val="63FB4653"/>
    <w:rsid w:val="63FE4BFE"/>
    <w:rsid w:val="64041AE8"/>
    <w:rsid w:val="640970FF"/>
    <w:rsid w:val="640F6E0B"/>
    <w:rsid w:val="64136A11"/>
    <w:rsid w:val="641E2BAA"/>
    <w:rsid w:val="641E704E"/>
    <w:rsid w:val="643C74D4"/>
    <w:rsid w:val="64405216"/>
    <w:rsid w:val="6449399F"/>
    <w:rsid w:val="645C36D2"/>
    <w:rsid w:val="64656A2B"/>
    <w:rsid w:val="646A5DEF"/>
    <w:rsid w:val="646D768E"/>
    <w:rsid w:val="647D49FA"/>
    <w:rsid w:val="64836EB1"/>
    <w:rsid w:val="648A6492"/>
    <w:rsid w:val="648B0FAA"/>
    <w:rsid w:val="64925346"/>
    <w:rsid w:val="64AF414A"/>
    <w:rsid w:val="64B11C70"/>
    <w:rsid w:val="64B96D77"/>
    <w:rsid w:val="64CF659A"/>
    <w:rsid w:val="64D63485"/>
    <w:rsid w:val="64DB0A9B"/>
    <w:rsid w:val="64F97173"/>
    <w:rsid w:val="64FD3107"/>
    <w:rsid w:val="65046244"/>
    <w:rsid w:val="650A1380"/>
    <w:rsid w:val="650F4BE9"/>
    <w:rsid w:val="65120EC6"/>
    <w:rsid w:val="651B17E0"/>
    <w:rsid w:val="651F5233"/>
    <w:rsid w:val="652A37D1"/>
    <w:rsid w:val="653603C7"/>
    <w:rsid w:val="65475AD8"/>
    <w:rsid w:val="65476131"/>
    <w:rsid w:val="65646CE3"/>
    <w:rsid w:val="656F7435"/>
    <w:rsid w:val="657449B3"/>
    <w:rsid w:val="65801643"/>
    <w:rsid w:val="658C1FA6"/>
    <w:rsid w:val="659770B8"/>
    <w:rsid w:val="65A07B58"/>
    <w:rsid w:val="65A90B99"/>
    <w:rsid w:val="65AB66C0"/>
    <w:rsid w:val="65B01F28"/>
    <w:rsid w:val="65BA6903"/>
    <w:rsid w:val="65C07C91"/>
    <w:rsid w:val="65C6799D"/>
    <w:rsid w:val="65C854C3"/>
    <w:rsid w:val="65CB4FB4"/>
    <w:rsid w:val="65CC4888"/>
    <w:rsid w:val="65D06126"/>
    <w:rsid w:val="65D44CCA"/>
    <w:rsid w:val="65F362B8"/>
    <w:rsid w:val="65F938CF"/>
    <w:rsid w:val="66061B48"/>
    <w:rsid w:val="660A5ADC"/>
    <w:rsid w:val="660F30F2"/>
    <w:rsid w:val="66252916"/>
    <w:rsid w:val="66263F98"/>
    <w:rsid w:val="665D0A3F"/>
    <w:rsid w:val="66613222"/>
    <w:rsid w:val="6663343E"/>
    <w:rsid w:val="666F593F"/>
    <w:rsid w:val="667747F4"/>
    <w:rsid w:val="667B2D0F"/>
    <w:rsid w:val="66833198"/>
    <w:rsid w:val="668A09CB"/>
    <w:rsid w:val="668A2779"/>
    <w:rsid w:val="66AD290B"/>
    <w:rsid w:val="66D24F47"/>
    <w:rsid w:val="66D439F4"/>
    <w:rsid w:val="66DB4D83"/>
    <w:rsid w:val="670818F0"/>
    <w:rsid w:val="671D5367"/>
    <w:rsid w:val="67206C39"/>
    <w:rsid w:val="6727621A"/>
    <w:rsid w:val="672D1356"/>
    <w:rsid w:val="672F3320"/>
    <w:rsid w:val="67380427"/>
    <w:rsid w:val="673E3563"/>
    <w:rsid w:val="67542D87"/>
    <w:rsid w:val="67672ABA"/>
    <w:rsid w:val="677925CA"/>
    <w:rsid w:val="678E44EB"/>
    <w:rsid w:val="67917B37"/>
    <w:rsid w:val="679D028A"/>
    <w:rsid w:val="679D64DC"/>
    <w:rsid w:val="67A07D7A"/>
    <w:rsid w:val="67A7300C"/>
    <w:rsid w:val="67A7735B"/>
    <w:rsid w:val="67AB6E4B"/>
    <w:rsid w:val="67BD6B7E"/>
    <w:rsid w:val="67C1041C"/>
    <w:rsid w:val="67CA7195"/>
    <w:rsid w:val="67EE4F89"/>
    <w:rsid w:val="67F02AB0"/>
    <w:rsid w:val="68182006"/>
    <w:rsid w:val="681A3FD0"/>
    <w:rsid w:val="681F5143"/>
    <w:rsid w:val="682409AB"/>
    <w:rsid w:val="6837248C"/>
    <w:rsid w:val="683926A8"/>
    <w:rsid w:val="683F3A37"/>
    <w:rsid w:val="684B23DC"/>
    <w:rsid w:val="687234C5"/>
    <w:rsid w:val="68757499"/>
    <w:rsid w:val="687A681D"/>
    <w:rsid w:val="68833924"/>
    <w:rsid w:val="68945B31"/>
    <w:rsid w:val="689D1A3B"/>
    <w:rsid w:val="689F6284"/>
    <w:rsid w:val="68A62804"/>
    <w:rsid w:val="68B25FB7"/>
    <w:rsid w:val="68BB130F"/>
    <w:rsid w:val="68BC0BE4"/>
    <w:rsid w:val="68C06926"/>
    <w:rsid w:val="68C47A98"/>
    <w:rsid w:val="68C9702B"/>
    <w:rsid w:val="68CB7079"/>
    <w:rsid w:val="68D0643D"/>
    <w:rsid w:val="68E32614"/>
    <w:rsid w:val="68EF0FB9"/>
    <w:rsid w:val="68EF720B"/>
    <w:rsid w:val="68F14D31"/>
    <w:rsid w:val="68F77E6E"/>
    <w:rsid w:val="68FE3099"/>
    <w:rsid w:val="69074555"/>
    <w:rsid w:val="690B56C7"/>
    <w:rsid w:val="69126A56"/>
    <w:rsid w:val="691C1682"/>
    <w:rsid w:val="6922313D"/>
    <w:rsid w:val="692A0243"/>
    <w:rsid w:val="693009CF"/>
    <w:rsid w:val="69360996"/>
    <w:rsid w:val="69441D36"/>
    <w:rsid w:val="694675AC"/>
    <w:rsid w:val="694D1762"/>
    <w:rsid w:val="695157D0"/>
    <w:rsid w:val="696077C1"/>
    <w:rsid w:val="697B45FB"/>
    <w:rsid w:val="69807E63"/>
    <w:rsid w:val="6983666A"/>
    <w:rsid w:val="698C2CAC"/>
    <w:rsid w:val="698E1A1B"/>
    <w:rsid w:val="698E2580"/>
    <w:rsid w:val="69901D8C"/>
    <w:rsid w:val="69982374"/>
    <w:rsid w:val="69A974F1"/>
    <w:rsid w:val="69B95123"/>
    <w:rsid w:val="69C47F26"/>
    <w:rsid w:val="69CA10DE"/>
    <w:rsid w:val="69D41F5D"/>
    <w:rsid w:val="69DB153D"/>
    <w:rsid w:val="69DC778F"/>
    <w:rsid w:val="69DD7064"/>
    <w:rsid w:val="69E2467A"/>
    <w:rsid w:val="69E55F18"/>
    <w:rsid w:val="69E7596B"/>
    <w:rsid w:val="69EC374B"/>
    <w:rsid w:val="69FF27F4"/>
    <w:rsid w:val="6A034602"/>
    <w:rsid w:val="6A1707C7"/>
    <w:rsid w:val="6A1A3E14"/>
    <w:rsid w:val="6A375BE2"/>
    <w:rsid w:val="6A3D3FA6"/>
    <w:rsid w:val="6A4B0471"/>
    <w:rsid w:val="6A5F5CCB"/>
    <w:rsid w:val="6A6652AB"/>
    <w:rsid w:val="6A6E23B2"/>
    <w:rsid w:val="6A6E4160"/>
    <w:rsid w:val="6A96200E"/>
    <w:rsid w:val="6A99742E"/>
    <w:rsid w:val="6A9A4F55"/>
    <w:rsid w:val="6A9C0CCD"/>
    <w:rsid w:val="6AA10091"/>
    <w:rsid w:val="6AB97AD1"/>
    <w:rsid w:val="6AD14E1A"/>
    <w:rsid w:val="6AD541DF"/>
    <w:rsid w:val="6AED32D6"/>
    <w:rsid w:val="6AEF34F2"/>
    <w:rsid w:val="6AFC79BD"/>
    <w:rsid w:val="6AFE7291"/>
    <w:rsid w:val="6B004ED0"/>
    <w:rsid w:val="6B030D4C"/>
    <w:rsid w:val="6B0D1BCA"/>
    <w:rsid w:val="6B11688B"/>
    <w:rsid w:val="6B1F4881"/>
    <w:rsid w:val="6B217424"/>
    <w:rsid w:val="6B3709F5"/>
    <w:rsid w:val="6B3929BF"/>
    <w:rsid w:val="6B431148"/>
    <w:rsid w:val="6B454EC0"/>
    <w:rsid w:val="6B4718D4"/>
    <w:rsid w:val="6B4C44A1"/>
    <w:rsid w:val="6B513865"/>
    <w:rsid w:val="6B572E46"/>
    <w:rsid w:val="6B6932A5"/>
    <w:rsid w:val="6B735ED1"/>
    <w:rsid w:val="6B841E8D"/>
    <w:rsid w:val="6B851761"/>
    <w:rsid w:val="6B881251"/>
    <w:rsid w:val="6B8A4FC9"/>
    <w:rsid w:val="6B9145AA"/>
    <w:rsid w:val="6B95409A"/>
    <w:rsid w:val="6B9B0F84"/>
    <w:rsid w:val="6B9E2823"/>
    <w:rsid w:val="6BAE515B"/>
    <w:rsid w:val="6BB42046"/>
    <w:rsid w:val="6BC04E8F"/>
    <w:rsid w:val="6BC71D79"/>
    <w:rsid w:val="6BCB7ABB"/>
    <w:rsid w:val="6BD44496"/>
    <w:rsid w:val="6BDA7CFF"/>
    <w:rsid w:val="6BE0108D"/>
    <w:rsid w:val="6BEF307E"/>
    <w:rsid w:val="6BF1329A"/>
    <w:rsid w:val="6BF608B1"/>
    <w:rsid w:val="6BF6440D"/>
    <w:rsid w:val="6BFA7F30"/>
    <w:rsid w:val="6BFD1C3F"/>
    <w:rsid w:val="6C044D7B"/>
    <w:rsid w:val="6C09788E"/>
    <w:rsid w:val="6C0B50CD"/>
    <w:rsid w:val="6C0E5BFA"/>
    <w:rsid w:val="6C1A459F"/>
    <w:rsid w:val="6C1D7BEB"/>
    <w:rsid w:val="6C20148A"/>
    <w:rsid w:val="6C360CAD"/>
    <w:rsid w:val="6C3A69EF"/>
    <w:rsid w:val="6C4E5FF7"/>
    <w:rsid w:val="6C564753"/>
    <w:rsid w:val="6C733CAF"/>
    <w:rsid w:val="6C8B0FF9"/>
    <w:rsid w:val="6C8B2DA7"/>
    <w:rsid w:val="6C8B724B"/>
    <w:rsid w:val="6C8F490A"/>
    <w:rsid w:val="6C9B541E"/>
    <w:rsid w:val="6CBD37F6"/>
    <w:rsid w:val="6CBF5146"/>
    <w:rsid w:val="6CD543D4"/>
    <w:rsid w:val="6CDB1F80"/>
    <w:rsid w:val="6D0A5334"/>
    <w:rsid w:val="6D176D30"/>
    <w:rsid w:val="6D203E37"/>
    <w:rsid w:val="6D2C27DC"/>
    <w:rsid w:val="6D3C6797"/>
    <w:rsid w:val="6D3E250F"/>
    <w:rsid w:val="6D3F3B91"/>
    <w:rsid w:val="6D403BCC"/>
    <w:rsid w:val="6D413DAD"/>
    <w:rsid w:val="6D4F2026"/>
    <w:rsid w:val="6D561607"/>
    <w:rsid w:val="6D5E04BB"/>
    <w:rsid w:val="6D5E670D"/>
    <w:rsid w:val="6D723F67"/>
    <w:rsid w:val="6D747CDF"/>
    <w:rsid w:val="6D88378A"/>
    <w:rsid w:val="6D8A7502"/>
    <w:rsid w:val="6DA265FA"/>
    <w:rsid w:val="6DA305C4"/>
    <w:rsid w:val="6DA5433C"/>
    <w:rsid w:val="6DAD4F9F"/>
    <w:rsid w:val="6DB14A8F"/>
    <w:rsid w:val="6DB4632D"/>
    <w:rsid w:val="6DCE3893"/>
    <w:rsid w:val="6DD4077E"/>
    <w:rsid w:val="6DD62748"/>
    <w:rsid w:val="6DD7112A"/>
    <w:rsid w:val="6DDD7632"/>
    <w:rsid w:val="6DEA1D4F"/>
    <w:rsid w:val="6DEC1F6B"/>
    <w:rsid w:val="6DF606F4"/>
    <w:rsid w:val="6DF66946"/>
    <w:rsid w:val="6E013002"/>
    <w:rsid w:val="6E0948CB"/>
    <w:rsid w:val="6E0E5A3E"/>
    <w:rsid w:val="6E166FE8"/>
    <w:rsid w:val="6E216668"/>
    <w:rsid w:val="6E250FD9"/>
    <w:rsid w:val="6E2F6C77"/>
    <w:rsid w:val="6E36354F"/>
    <w:rsid w:val="6E405E13"/>
    <w:rsid w:val="6E4C0C5C"/>
    <w:rsid w:val="6E5518BE"/>
    <w:rsid w:val="6E5A6ED5"/>
    <w:rsid w:val="6E625D89"/>
    <w:rsid w:val="6E6B2E90"/>
    <w:rsid w:val="6E6B7334"/>
    <w:rsid w:val="6E6E472E"/>
    <w:rsid w:val="6E781A51"/>
    <w:rsid w:val="6E8E4DD0"/>
    <w:rsid w:val="6E935726"/>
    <w:rsid w:val="6EA91421"/>
    <w:rsid w:val="6EAA3BD8"/>
    <w:rsid w:val="6EBA6930"/>
    <w:rsid w:val="6EBC36EB"/>
    <w:rsid w:val="6ED0363B"/>
    <w:rsid w:val="6ED5773E"/>
    <w:rsid w:val="6ED722D3"/>
    <w:rsid w:val="6ED8604B"/>
    <w:rsid w:val="6EDE2CAE"/>
    <w:rsid w:val="6EE80984"/>
    <w:rsid w:val="6F103A37"/>
    <w:rsid w:val="6F175A9C"/>
    <w:rsid w:val="6F1C23DC"/>
    <w:rsid w:val="6F3516F0"/>
    <w:rsid w:val="6F404E66"/>
    <w:rsid w:val="6F4417EA"/>
    <w:rsid w:val="6F460345"/>
    <w:rsid w:val="6F5222A2"/>
    <w:rsid w:val="6F573414"/>
    <w:rsid w:val="6F685621"/>
    <w:rsid w:val="6F6D22A6"/>
    <w:rsid w:val="6F6F69B0"/>
    <w:rsid w:val="6F743FC6"/>
    <w:rsid w:val="6F7B35A7"/>
    <w:rsid w:val="6F7C10CD"/>
    <w:rsid w:val="6F8306AD"/>
    <w:rsid w:val="6F9B1553"/>
    <w:rsid w:val="6FA26D85"/>
    <w:rsid w:val="6FAF14A2"/>
    <w:rsid w:val="6FB26B0B"/>
    <w:rsid w:val="6FB6638D"/>
    <w:rsid w:val="6FB865A9"/>
    <w:rsid w:val="6FBC771B"/>
    <w:rsid w:val="6FC0545D"/>
    <w:rsid w:val="6FCA62DC"/>
    <w:rsid w:val="6FD9207B"/>
    <w:rsid w:val="6FFD220E"/>
    <w:rsid w:val="70025BF3"/>
    <w:rsid w:val="70141305"/>
    <w:rsid w:val="701557A9"/>
    <w:rsid w:val="701D640C"/>
    <w:rsid w:val="70231548"/>
    <w:rsid w:val="702C664F"/>
    <w:rsid w:val="702E0619"/>
    <w:rsid w:val="70343755"/>
    <w:rsid w:val="70390D6C"/>
    <w:rsid w:val="703D260A"/>
    <w:rsid w:val="70417539"/>
    <w:rsid w:val="704735F8"/>
    <w:rsid w:val="70490BA1"/>
    <w:rsid w:val="704A4D27"/>
    <w:rsid w:val="704C669B"/>
    <w:rsid w:val="70514307"/>
    <w:rsid w:val="705362D1"/>
    <w:rsid w:val="705D4A5A"/>
    <w:rsid w:val="706109EE"/>
    <w:rsid w:val="7063448F"/>
    <w:rsid w:val="70691651"/>
    <w:rsid w:val="707B12B9"/>
    <w:rsid w:val="707F2C23"/>
    <w:rsid w:val="70822713"/>
    <w:rsid w:val="70871AD7"/>
    <w:rsid w:val="70910F61"/>
    <w:rsid w:val="70944D11"/>
    <w:rsid w:val="70A73F27"/>
    <w:rsid w:val="70B2124A"/>
    <w:rsid w:val="70BC5C25"/>
    <w:rsid w:val="70BF3967"/>
    <w:rsid w:val="70C1148D"/>
    <w:rsid w:val="70C40F7D"/>
    <w:rsid w:val="70C94746"/>
    <w:rsid w:val="70D50A94"/>
    <w:rsid w:val="70F25AEA"/>
    <w:rsid w:val="70F52EE5"/>
    <w:rsid w:val="70FD1A16"/>
    <w:rsid w:val="710F307D"/>
    <w:rsid w:val="71136B66"/>
    <w:rsid w:val="71153587"/>
    <w:rsid w:val="71163299"/>
    <w:rsid w:val="71215755"/>
    <w:rsid w:val="71290DE0"/>
    <w:rsid w:val="71297032"/>
    <w:rsid w:val="713C6D66"/>
    <w:rsid w:val="713D663A"/>
    <w:rsid w:val="715E0A8A"/>
    <w:rsid w:val="717C53B4"/>
    <w:rsid w:val="7189187F"/>
    <w:rsid w:val="719426FE"/>
    <w:rsid w:val="71995F66"/>
    <w:rsid w:val="71997ED8"/>
    <w:rsid w:val="719E357C"/>
    <w:rsid w:val="71A05546"/>
    <w:rsid w:val="71A768D5"/>
    <w:rsid w:val="71AB4182"/>
    <w:rsid w:val="71B76065"/>
    <w:rsid w:val="71C06754"/>
    <w:rsid w:val="71C54FAD"/>
    <w:rsid w:val="71CC119F"/>
    <w:rsid w:val="71CD79BE"/>
    <w:rsid w:val="71D23226"/>
    <w:rsid w:val="71E35433"/>
    <w:rsid w:val="71E371E1"/>
    <w:rsid w:val="71E76CD1"/>
    <w:rsid w:val="71F47640"/>
    <w:rsid w:val="71FB1E0C"/>
    <w:rsid w:val="72161365"/>
    <w:rsid w:val="72281098"/>
    <w:rsid w:val="722A4E10"/>
    <w:rsid w:val="722E4900"/>
    <w:rsid w:val="723914F7"/>
    <w:rsid w:val="724C2FD8"/>
    <w:rsid w:val="72565C05"/>
    <w:rsid w:val="7259784A"/>
    <w:rsid w:val="725C51B7"/>
    <w:rsid w:val="72640322"/>
    <w:rsid w:val="72646574"/>
    <w:rsid w:val="72701EDF"/>
    <w:rsid w:val="7271076B"/>
    <w:rsid w:val="7278201F"/>
    <w:rsid w:val="72A04DED"/>
    <w:rsid w:val="72A252EE"/>
    <w:rsid w:val="72A44BC2"/>
    <w:rsid w:val="72A526E9"/>
    <w:rsid w:val="72B461BC"/>
    <w:rsid w:val="72B666A4"/>
    <w:rsid w:val="72C40DC1"/>
    <w:rsid w:val="72CC236B"/>
    <w:rsid w:val="72DA6836"/>
    <w:rsid w:val="72E2292C"/>
    <w:rsid w:val="72FB055A"/>
    <w:rsid w:val="72FC67AC"/>
    <w:rsid w:val="72FD0776"/>
    <w:rsid w:val="73076EFF"/>
    <w:rsid w:val="7309711B"/>
    <w:rsid w:val="73155AC0"/>
    <w:rsid w:val="73165394"/>
    <w:rsid w:val="7318735E"/>
    <w:rsid w:val="731955B0"/>
    <w:rsid w:val="731A30D6"/>
    <w:rsid w:val="731A6C33"/>
    <w:rsid w:val="731D6723"/>
    <w:rsid w:val="732B52E4"/>
    <w:rsid w:val="73352F08"/>
    <w:rsid w:val="733C304D"/>
    <w:rsid w:val="733D0B73"/>
    <w:rsid w:val="734B7734"/>
    <w:rsid w:val="73533EAF"/>
    <w:rsid w:val="7358775B"/>
    <w:rsid w:val="735A34D3"/>
    <w:rsid w:val="735C1CB3"/>
    <w:rsid w:val="736E51D0"/>
    <w:rsid w:val="73734595"/>
    <w:rsid w:val="737427E7"/>
    <w:rsid w:val="7376394C"/>
    <w:rsid w:val="737F2F3A"/>
    <w:rsid w:val="737F73DD"/>
    <w:rsid w:val="738B18DE"/>
    <w:rsid w:val="73920EBF"/>
    <w:rsid w:val="73927111"/>
    <w:rsid w:val="73952CB2"/>
    <w:rsid w:val="73953C0C"/>
    <w:rsid w:val="73993FFB"/>
    <w:rsid w:val="739A5FC5"/>
    <w:rsid w:val="73A155A6"/>
    <w:rsid w:val="73A17354"/>
    <w:rsid w:val="73A40BF2"/>
    <w:rsid w:val="73AB01D2"/>
    <w:rsid w:val="73B61051"/>
    <w:rsid w:val="73C92407"/>
    <w:rsid w:val="73D03795"/>
    <w:rsid w:val="73D8631E"/>
    <w:rsid w:val="73E14FC8"/>
    <w:rsid w:val="73F13E37"/>
    <w:rsid w:val="73FF3D5A"/>
    <w:rsid w:val="74024296"/>
    <w:rsid w:val="74051691"/>
    <w:rsid w:val="740B2A1F"/>
    <w:rsid w:val="740F42BD"/>
    <w:rsid w:val="74116287"/>
    <w:rsid w:val="74147B26"/>
    <w:rsid w:val="74161AF0"/>
    <w:rsid w:val="7423420D"/>
    <w:rsid w:val="743C0E2B"/>
    <w:rsid w:val="743F7644"/>
    <w:rsid w:val="745148D6"/>
    <w:rsid w:val="74604B19"/>
    <w:rsid w:val="74675EA7"/>
    <w:rsid w:val="746856CC"/>
    <w:rsid w:val="74687E72"/>
    <w:rsid w:val="746A5998"/>
    <w:rsid w:val="7476433D"/>
    <w:rsid w:val="747D391D"/>
    <w:rsid w:val="748C590E"/>
    <w:rsid w:val="74956EB9"/>
    <w:rsid w:val="749F7D37"/>
    <w:rsid w:val="74A76BEC"/>
    <w:rsid w:val="74C50E20"/>
    <w:rsid w:val="74E90FB2"/>
    <w:rsid w:val="74F811F5"/>
    <w:rsid w:val="74F82FA3"/>
    <w:rsid w:val="750202C6"/>
    <w:rsid w:val="75023E22"/>
    <w:rsid w:val="75096F5F"/>
    <w:rsid w:val="750B717B"/>
    <w:rsid w:val="75243D99"/>
    <w:rsid w:val="75335B68"/>
    <w:rsid w:val="75474E11"/>
    <w:rsid w:val="754B57C9"/>
    <w:rsid w:val="75556648"/>
    <w:rsid w:val="755C3532"/>
    <w:rsid w:val="756B19C7"/>
    <w:rsid w:val="75703482"/>
    <w:rsid w:val="7577EE3A"/>
    <w:rsid w:val="75865DEE"/>
    <w:rsid w:val="759251A6"/>
    <w:rsid w:val="75945AE9"/>
    <w:rsid w:val="75A0327F"/>
    <w:rsid w:val="75A8474E"/>
    <w:rsid w:val="75B3511C"/>
    <w:rsid w:val="75C80BC8"/>
    <w:rsid w:val="75D27C98"/>
    <w:rsid w:val="75F61BD9"/>
    <w:rsid w:val="76053BCA"/>
    <w:rsid w:val="760C31AA"/>
    <w:rsid w:val="76124539"/>
    <w:rsid w:val="76206C56"/>
    <w:rsid w:val="76272697"/>
    <w:rsid w:val="762A3062"/>
    <w:rsid w:val="7630676D"/>
    <w:rsid w:val="76342701"/>
    <w:rsid w:val="764364A0"/>
    <w:rsid w:val="7645046A"/>
    <w:rsid w:val="764B35A7"/>
    <w:rsid w:val="76546606"/>
    <w:rsid w:val="7662101C"/>
    <w:rsid w:val="76636B42"/>
    <w:rsid w:val="76684159"/>
    <w:rsid w:val="76870A83"/>
    <w:rsid w:val="768E5753"/>
    <w:rsid w:val="769D02A6"/>
    <w:rsid w:val="76AE0369"/>
    <w:rsid w:val="76D417EE"/>
    <w:rsid w:val="76D96E05"/>
    <w:rsid w:val="76DB492B"/>
    <w:rsid w:val="76E45ED5"/>
    <w:rsid w:val="76E556A0"/>
    <w:rsid w:val="76E732D0"/>
    <w:rsid w:val="76EA2DC0"/>
    <w:rsid w:val="76EE2C2B"/>
    <w:rsid w:val="76F459ED"/>
    <w:rsid w:val="770009D1"/>
    <w:rsid w:val="7706409E"/>
    <w:rsid w:val="77065E4C"/>
    <w:rsid w:val="77470212"/>
    <w:rsid w:val="775766A7"/>
    <w:rsid w:val="776B2153"/>
    <w:rsid w:val="77843214"/>
    <w:rsid w:val="778E7BEF"/>
    <w:rsid w:val="779F5AAB"/>
    <w:rsid w:val="77B05DB7"/>
    <w:rsid w:val="77D5581E"/>
    <w:rsid w:val="77E43CB3"/>
    <w:rsid w:val="77E93077"/>
    <w:rsid w:val="77F02658"/>
    <w:rsid w:val="77F84F7A"/>
    <w:rsid w:val="77FC64F8"/>
    <w:rsid w:val="780E2ADE"/>
    <w:rsid w:val="78112CFA"/>
    <w:rsid w:val="7811525D"/>
    <w:rsid w:val="781520BE"/>
    <w:rsid w:val="781A76D5"/>
    <w:rsid w:val="781B5927"/>
    <w:rsid w:val="781E5417"/>
    <w:rsid w:val="782346E1"/>
    <w:rsid w:val="782A5B6A"/>
    <w:rsid w:val="783E7867"/>
    <w:rsid w:val="78505776"/>
    <w:rsid w:val="785C7CED"/>
    <w:rsid w:val="785D43B4"/>
    <w:rsid w:val="7872665C"/>
    <w:rsid w:val="78761AAB"/>
    <w:rsid w:val="787C3EEC"/>
    <w:rsid w:val="788334CC"/>
    <w:rsid w:val="7883527A"/>
    <w:rsid w:val="78866B18"/>
    <w:rsid w:val="78872FBC"/>
    <w:rsid w:val="78880AE2"/>
    <w:rsid w:val="789607FB"/>
    <w:rsid w:val="789E4501"/>
    <w:rsid w:val="78A70F68"/>
    <w:rsid w:val="78B11DE7"/>
    <w:rsid w:val="78B74F24"/>
    <w:rsid w:val="78B95140"/>
    <w:rsid w:val="78BC253A"/>
    <w:rsid w:val="78C7785D"/>
    <w:rsid w:val="78DE6954"/>
    <w:rsid w:val="78E201F2"/>
    <w:rsid w:val="78E55F35"/>
    <w:rsid w:val="78E977D3"/>
    <w:rsid w:val="78EA3B70"/>
    <w:rsid w:val="78EF290F"/>
    <w:rsid w:val="78FE482A"/>
    <w:rsid w:val="790243F1"/>
    <w:rsid w:val="79030169"/>
    <w:rsid w:val="790740FD"/>
    <w:rsid w:val="79075EAB"/>
    <w:rsid w:val="79144124"/>
    <w:rsid w:val="792E3438"/>
    <w:rsid w:val="79336CA0"/>
    <w:rsid w:val="793842B6"/>
    <w:rsid w:val="793B3DA7"/>
    <w:rsid w:val="793C2330"/>
    <w:rsid w:val="793F3897"/>
    <w:rsid w:val="79701CA2"/>
    <w:rsid w:val="7981556C"/>
    <w:rsid w:val="798C63B0"/>
    <w:rsid w:val="79921C19"/>
    <w:rsid w:val="79A076CE"/>
    <w:rsid w:val="79A13C0A"/>
    <w:rsid w:val="79AD6A52"/>
    <w:rsid w:val="79B002F1"/>
    <w:rsid w:val="79B7167F"/>
    <w:rsid w:val="79C30024"/>
    <w:rsid w:val="79CE4C1B"/>
    <w:rsid w:val="79D7762B"/>
    <w:rsid w:val="79D97847"/>
    <w:rsid w:val="79DD09BA"/>
    <w:rsid w:val="79EF706B"/>
    <w:rsid w:val="7A1C0378"/>
    <w:rsid w:val="7A230AC3"/>
    <w:rsid w:val="7A236D15"/>
    <w:rsid w:val="7A326409"/>
    <w:rsid w:val="7A3727C0"/>
    <w:rsid w:val="7A396538"/>
    <w:rsid w:val="7A5073DE"/>
    <w:rsid w:val="7A561865"/>
    <w:rsid w:val="7A5E1AFB"/>
    <w:rsid w:val="7A5F2964"/>
    <w:rsid w:val="7A664E53"/>
    <w:rsid w:val="7A684727"/>
    <w:rsid w:val="7A693667"/>
    <w:rsid w:val="7A6D1FE3"/>
    <w:rsid w:val="7A792DD8"/>
    <w:rsid w:val="7A88301C"/>
    <w:rsid w:val="7A8F7F06"/>
    <w:rsid w:val="7A951295"/>
    <w:rsid w:val="7A9C5E45"/>
    <w:rsid w:val="7AA00365"/>
    <w:rsid w:val="7AAA11E4"/>
    <w:rsid w:val="7AAA4AFD"/>
    <w:rsid w:val="7AC04563"/>
    <w:rsid w:val="7AC06311"/>
    <w:rsid w:val="7AC53928"/>
    <w:rsid w:val="7AD853DF"/>
    <w:rsid w:val="7ADE01B6"/>
    <w:rsid w:val="7AE9528A"/>
    <w:rsid w:val="7AED10D1"/>
    <w:rsid w:val="7AFE32DE"/>
    <w:rsid w:val="7B002BB2"/>
    <w:rsid w:val="7B05466C"/>
    <w:rsid w:val="7B203254"/>
    <w:rsid w:val="7B2E771F"/>
    <w:rsid w:val="7B340AAD"/>
    <w:rsid w:val="7B3A354B"/>
    <w:rsid w:val="7B3B008E"/>
    <w:rsid w:val="7B3D5BB4"/>
    <w:rsid w:val="7B476A33"/>
    <w:rsid w:val="7B4927AB"/>
    <w:rsid w:val="7B5423F4"/>
    <w:rsid w:val="7B551150"/>
    <w:rsid w:val="7B5A49B8"/>
    <w:rsid w:val="7B692BF0"/>
    <w:rsid w:val="7B694BFB"/>
    <w:rsid w:val="7B6C638A"/>
    <w:rsid w:val="7B75AFA1"/>
    <w:rsid w:val="7B7F7F7B"/>
    <w:rsid w:val="7B811F45"/>
    <w:rsid w:val="7B821819"/>
    <w:rsid w:val="7B9F686F"/>
    <w:rsid w:val="7BA07EF1"/>
    <w:rsid w:val="7BA43E85"/>
    <w:rsid w:val="7BA7127F"/>
    <w:rsid w:val="7BB01DDF"/>
    <w:rsid w:val="7BC10593"/>
    <w:rsid w:val="7BD36518"/>
    <w:rsid w:val="7BD5403F"/>
    <w:rsid w:val="7BDF6C6B"/>
    <w:rsid w:val="7BE424D4"/>
    <w:rsid w:val="7BEB1AB4"/>
    <w:rsid w:val="7BED75DA"/>
    <w:rsid w:val="7BF344C5"/>
    <w:rsid w:val="7C1032C9"/>
    <w:rsid w:val="7C1A5EF5"/>
    <w:rsid w:val="7C1F350C"/>
    <w:rsid w:val="7C224DAA"/>
    <w:rsid w:val="7C310E84"/>
    <w:rsid w:val="7C4A4A2C"/>
    <w:rsid w:val="7C4D62CB"/>
    <w:rsid w:val="7C55517F"/>
    <w:rsid w:val="7C5E6574"/>
    <w:rsid w:val="7C6158D2"/>
    <w:rsid w:val="7C636ECC"/>
    <w:rsid w:val="7C653614"/>
    <w:rsid w:val="7C705B15"/>
    <w:rsid w:val="7C776EA4"/>
    <w:rsid w:val="7C7C44BA"/>
    <w:rsid w:val="7C7E49E6"/>
    <w:rsid w:val="7C947A56"/>
    <w:rsid w:val="7CAD17DA"/>
    <w:rsid w:val="7CAF4890"/>
    <w:rsid w:val="7CB263ED"/>
    <w:rsid w:val="7CB2717C"/>
    <w:rsid w:val="7CB35F23"/>
    <w:rsid w:val="7CB37BC7"/>
    <w:rsid w:val="7CC540B3"/>
    <w:rsid w:val="7CCC3693"/>
    <w:rsid w:val="7CCD740C"/>
    <w:rsid w:val="7CD75B94"/>
    <w:rsid w:val="7CDE5175"/>
    <w:rsid w:val="7CE34539"/>
    <w:rsid w:val="7D060228"/>
    <w:rsid w:val="7D080444"/>
    <w:rsid w:val="7D0A41BC"/>
    <w:rsid w:val="7D0D7808"/>
    <w:rsid w:val="7D1058BF"/>
    <w:rsid w:val="7D24527D"/>
    <w:rsid w:val="7D31799A"/>
    <w:rsid w:val="7D360B0D"/>
    <w:rsid w:val="7D5316A8"/>
    <w:rsid w:val="7D6C09D3"/>
    <w:rsid w:val="7D782ED3"/>
    <w:rsid w:val="7D8E26F7"/>
    <w:rsid w:val="7D9341B1"/>
    <w:rsid w:val="7D937D0D"/>
    <w:rsid w:val="7D9C12B8"/>
    <w:rsid w:val="7DA147E1"/>
    <w:rsid w:val="7DB61C4E"/>
    <w:rsid w:val="7DC4436B"/>
    <w:rsid w:val="7DCA74A7"/>
    <w:rsid w:val="7DCF629C"/>
    <w:rsid w:val="7DD547CA"/>
    <w:rsid w:val="7DD81BC4"/>
    <w:rsid w:val="7DE247F1"/>
    <w:rsid w:val="7DE467BB"/>
    <w:rsid w:val="7DE859ED"/>
    <w:rsid w:val="7DF52776"/>
    <w:rsid w:val="7DF84014"/>
    <w:rsid w:val="7E062BD5"/>
    <w:rsid w:val="7E074257"/>
    <w:rsid w:val="7E0D3F64"/>
    <w:rsid w:val="7E10135E"/>
    <w:rsid w:val="7E1F3C97"/>
    <w:rsid w:val="7E5576B9"/>
    <w:rsid w:val="7E5751DF"/>
    <w:rsid w:val="7E584AB3"/>
    <w:rsid w:val="7E5E47BF"/>
    <w:rsid w:val="7E6E2528"/>
    <w:rsid w:val="7E7F0292"/>
    <w:rsid w:val="7E7FEBA3"/>
    <w:rsid w:val="7E885398"/>
    <w:rsid w:val="7E906943"/>
    <w:rsid w:val="7E941F8F"/>
    <w:rsid w:val="7EA36676"/>
    <w:rsid w:val="7EABC132"/>
    <w:rsid w:val="7EB50157"/>
    <w:rsid w:val="7EC32874"/>
    <w:rsid w:val="7EC9775F"/>
    <w:rsid w:val="7ED625A7"/>
    <w:rsid w:val="7EF70770"/>
    <w:rsid w:val="7EF742CC"/>
    <w:rsid w:val="7EFD149B"/>
    <w:rsid w:val="7F005876"/>
    <w:rsid w:val="7F032C71"/>
    <w:rsid w:val="7F0C421B"/>
    <w:rsid w:val="7F1C1F84"/>
    <w:rsid w:val="7F1D01D6"/>
    <w:rsid w:val="7F2C666B"/>
    <w:rsid w:val="7F3379FA"/>
    <w:rsid w:val="7F370B6C"/>
    <w:rsid w:val="7F3B018A"/>
    <w:rsid w:val="7F41757B"/>
    <w:rsid w:val="7F4E9C34"/>
    <w:rsid w:val="7F5E066E"/>
    <w:rsid w:val="7F65392B"/>
    <w:rsid w:val="7F792F33"/>
    <w:rsid w:val="7F855D7C"/>
    <w:rsid w:val="7F89586C"/>
    <w:rsid w:val="7F8F2756"/>
    <w:rsid w:val="7F8F6BFA"/>
    <w:rsid w:val="7F986465"/>
    <w:rsid w:val="7FA23E97"/>
    <w:rsid w:val="7FA82B99"/>
    <w:rsid w:val="7FB64187"/>
    <w:rsid w:val="7FBBA8C9"/>
    <w:rsid w:val="7FBE52A6"/>
    <w:rsid w:val="7FD12D6F"/>
    <w:rsid w:val="7FD34D39"/>
    <w:rsid w:val="7FDA7E75"/>
    <w:rsid w:val="7FDC4B90"/>
    <w:rsid w:val="7FDD1714"/>
    <w:rsid w:val="7FE17456"/>
    <w:rsid w:val="7FE42AA2"/>
    <w:rsid w:val="7FEC7BA9"/>
    <w:rsid w:val="9ADDDAB9"/>
    <w:rsid w:val="A7EEDC62"/>
    <w:rsid w:val="AB7F242D"/>
    <w:rsid w:val="ABFB4C47"/>
    <w:rsid w:val="ADB7BB8C"/>
    <w:rsid w:val="AF5D55AA"/>
    <w:rsid w:val="BADFBAB7"/>
    <w:rsid w:val="BDF0F7EC"/>
    <w:rsid w:val="BFCC0358"/>
    <w:rsid w:val="C7BF722B"/>
    <w:rsid w:val="D5EFA6DE"/>
    <w:rsid w:val="DEBEE989"/>
    <w:rsid w:val="DF5FCEEC"/>
    <w:rsid w:val="DFDE1A5F"/>
    <w:rsid w:val="E6FEC9BD"/>
    <w:rsid w:val="E7F784B6"/>
    <w:rsid w:val="ED7D00B7"/>
    <w:rsid w:val="F3FD8D61"/>
    <w:rsid w:val="F77E3679"/>
    <w:rsid w:val="F79B0276"/>
    <w:rsid w:val="F7B70957"/>
    <w:rsid w:val="F7FFB7E7"/>
    <w:rsid w:val="F97770F3"/>
    <w:rsid w:val="FA7E8127"/>
    <w:rsid w:val="FBBDE8CD"/>
    <w:rsid w:val="FDB7694F"/>
    <w:rsid w:val="FE6E4AA5"/>
    <w:rsid w:val="FFF2BAC2"/>
    <w:rsid w:val="FFF4F5D6"/>
    <w:rsid w:val="FFF631B5"/>
    <w:rsid w:val="FFF6FB98"/>
    <w:rsid w:val="FFFE0ED3"/>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ind w:left="0" w:right="0"/>
      <w:jc w:val="both"/>
      <w:outlineLvl w:val="0"/>
    </w:pPr>
    <w:rPr>
      <w:rFonts w:ascii="Times New Roman" w:hAnsi="Times New Roman" w:eastAsia="宋体" w:cs="Times New Roman"/>
      <w:b/>
      <w:bCs/>
      <w:kern w:val="44"/>
      <w:sz w:val="44"/>
      <w:szCs w:val="44"/>
      <w:lang w:val="en-US" w:eastAsia="zh-CN" w:bidi="ar-SA"/>
    </w:rPr>
  </w:style>
  <w:style w:type="paragraph" w:styleId="3">
    <w:name w:val="heading 2"/>
    <w:basedOn w:val="1"/>
    <w:next w:val="1"/>
    <w:qFormat/>
    <w:uiPriority w:val="0"/>
    <w:pPr>
      <w:keepNext/>
      <w:keepLines/>
      <w:widowControl w:val="0"/>
      <w:spacing w:before="260" w:after="260" w:line="415" w:lineRule="auto"/>
      <w:ind w:left="0" w:right="0"/>
      <w:jc w:val="both"/>
      <w:outlineLvl w:val="1"/>
    </w:pPr>
    <w:rPr>
      <w:rFonts w:ascii="Arial" w:hAnsi="Arial" w:eastAsia="黑体" w:cs="Arial"/>
      <w:b/>
      <w:bCs/>
      <w:kern w:val="2"/>
      <w:sz w:val="32"/>
      <w:szCs w:val="32"/>
      <w:lang w:val="en-US" w:eastAsia="zh-CN" w:bidi="ar-SA"/>
    </w:rPr>
  </w:style>
  <w:style w:type="paragraph" w:styleId="4">
    <w:name w:val="heading 3"/>
    <w:basedOn w:val="1"/>
    <w:next w:val="1"/>
    <w:qFormat/>
    <w:uiPriority w:val="0"/>
    <w:pPr>
      <w:keepNext/>
      <w:keepLines/>
      <w:numPr>
        <w:ilvl w:val="2"/>
        <w:numId w:val="1"/>
      </w:numPr>
      <w:spacing w:before="260" w:beforeLines="0" w:after="260" w:afterLines="0" w:line="416" w:lineRule="auto"/>
      <w:outlineLvl w:val="2"/>
    </w:pPr>
    <w:rPr>
      <w:rFonts w:ascii="Times New Roman" w:hAnsi="Times New Roman" w:eastAsia="宋体" w:cs="Times New Roman"/>
      <w:b/>
      <w:bCs/>
      <w:sz w:val="32"/>
      <w:szCs w:val="32"/>
    </w:rPr>
  </w:style>
  <w:style w:type="paragraph" w:styleId="5">
    <w:name w:val="heading 4"/>
    <w:basedOn w:val="1"/>
    <w:next w:val="1"/>
    <w:qFormat/>
    <w:uiPriority w:val="0"/>
    <w:pPr>
      <w:keepNext/>
      <w:keepLines/>
      <w:widowControl w:val="0"/>
      <w:spacing w:after="0" w:line="540" w:lineRule="atLeast"/>
      <w:jc w:val="both"/>
      <w:outlineLvl w:val="3"/>
    </w:pPr>
    <w:rPr>
      <w:rFonts w:ascii="Times New Roman" w:hAnsi="Times New Roman" w:eastAsia="宋体" w:cs="Times New Roman"/>
      <w:kern w:val="2"/>
      <w:sz w:val="28"/>
      <w:szCs w:val="28"/>
      <w:lang w:val="en-US" w:eastAsia="zh-CN" w:bidi="ar-SA"/>
    </w:rPr>
  </w:style>
  <w:style w:type="paragraph" w:styleId="6">
    <w:name w:val="heading 5"/>
    <w:basedOn w:val="1"/>
    <w:next w:val="1"/>
    <w:qFormat/>
    <w:uiPriority w:val="0"/>
    <w:pPr>
      <w:keepNext/>
      <w:keepLines/>
      <w:numPr>
        <w:ilvl w:val="4"/>
        <w:numId w:val="1"/>
      </w:numPr>
      <w:spacing w:before="280" w:beforeLines="0" w:after="290" w:afterLines="0" w:line="376" w:lineRule="auto"/>
      <w:outlineLvl w:val="4"/>
    </w:pPr>
    <w:rPr>
      <w:rFonts w:ascii="Times New Roman" w:hAnsi="Times New Roman" w:eastAsia="宋体" w:cs="Times New Roman"/>
      <w:b/>
      <w:bCs/>
      <w:sz w:val="28"/>
      <w:szCs w:val="28"/>
    </w:rPr>
  </w:style>
  <w:style w:type="paragraph" w:styleId="7">
    <w:name w:val="heading 6"/>
    <w:basedOn w:val="1"/>
    <w:next w:val="1"/>
    <w:qFormat/>
    <w:uiPriority w:val="0"/>
    <w:pPr>
      <w:keepNext/>
      <w:keepLines/>
      <w:numPr>
        <w:ilvl w:val="5"/>
        <w:numId w:val="1"/>
      </w:numPr>
      <w:spacing w:before="240" w:beforeLines="0" w:after="64" w:afterLines="0" w:line="320" w:lineRule="auto"/>
      <w:outlineLvl w:val="5"/>
    </w:pPr>
    <w:rPr>
      <w:rFonts w:ascii="Arial" w:hAnsi="Arial" w:eastAsia="黑体" w:cs="Times New Roman"/>
      <w:b/>
      <w:bCs/>
      <w:sz w:val="24"/>
    </w:rPr>
  </w:style>
  <w:style w:type="paragraph" w:styleId="8">
    <w:name w:val="heading 7"/>
    <w:basedOn w:val="1"/>
    <w:next w:val="1"/>
    <w:qFormat/>
    <w:uiPriority w:val="0"/>
    <w:pPr>
      <w:keepNext/>
      <w:keepLines/>
      <w:numPr>
        <w:ilvl w:val="6"/>
        <w:numId w:val="1"/>
      </w:numPr>
      <w:spacing w:before="240" w:beforeLines="0" w:after="64" w:afterLines="0" w:line="320" w:lineRule="auto"/>
      <w:outlineLvl w:val="6"/>
    </w:pPr>
    <w:rPr>
      <w:rFonts w:ascii="Times New Roman" w:hAnsi="Times New Roman" w:eastAsia="宋体" w:cs="Times New Roman"/>
      <w:b/>
      <w:bCs/>
      <w:sz w:val="24"/>
    </w:rPr>
  </w:style>
  <w:style w:type="paragraph" w:styleId="9">
    <w:name w:val="heading 8"/>
    <w:basedOn w:val="1"/>
    <w:next w:val="1"/>
    <w:qFormat/>
    <w:uiPriority w:val="0"/>
    <w:pPr>
      <w:keepNext/>
      <w:keepLines/>
      <w:numPr>
        <w:ilvl w:val="7"/>
        <w:numId w:val="1"/>
      </w:numPr>
      <w:spacing w:before="240" w:beforeLines="0" w:after="64" w:afterLines="0" w:line="320" w:lineRule="auto"/>
      <w:outlineLvl w:val="7"/>
    </w:pPr>
    <w:rPr>
      <w:rFonts w:ascii="Arial" w:hAnsi="Arial" w:eastAsia="黑体" w:cs="Times New Roman"/>
      <w:sz w:val="24"/>
    </w:rPr>
  </w:style>
  <w:style w:type="paragraph" w:styleId="10">
    <w:name w:val="heading 9"/>
    <w:basedOn w:val="1"/>
    <w:next w:val="1"/>
    <w:qFormat/>
    <w:uiPriority w:val="0"/>
    <w:pPr>
      <w:keepNext/>
      <w:keepLines/>
      <w:numPr>
        <w:ilvl w:val="8"/>
        <w:numId w:val="1"/>
      </w:numPr>
      <w:spacing w:before="240" w:beforeLines="0" w:after="64" w:afterLines="0" w:line="320" w:lineRule="auto"/>
      <w:outlineLvl w:val="8"/>
    </w:pPr>
    <w:rPr>
      <w:rFonts w:ascii="Arial" w:hAnsi="Arial" w:eastAsia="黑体" w:cs="Times New Roman"/>
      <w:szCs w:val="21"/>
    </w:rPr>
  </w:style>
  <w:style w:type="character" w:default="1" w:styleId="40">
    <w:name w:val="Default Paragraph Font"/>
    <w:qFormat/>
    <w:uiPriority w:val="0"/>
    <w:rPr>
      <w:rFonts w:ascii="Times New Roman" w:hAnsi="Times New Roman" w:eastAsia="宋体" w:cs="Times New Roman"/>
    </w:rPr>
  </w:style>
  <w:style w:type="table" w:default="1" w:styleId="38">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11">
    <w:name w:val="List Number"/>
    <w:basedOn w:val="1"/>
    <w:qFormat/>
    <w:uiPriority w:val="0"/>
    <w:pPr>
      <w:numPr>
        <w:ilvl w:val="0"/>
        <w:numId w:val="2"/>
      </w:numPr>
      <w:tabs>
        <w:tab w:val="left" w:pos="360"/>
        <w:tab w:val="clear" w:pos="1455"/>
      </w:tabs>
    </w:pPr>
    <w:rPr>
      <w:rFonts w:ascii="Times New Roman" w:hAnsi="Times New Roman" w:eastAsia="宋体" w:cs="Times New Roman"/>
    </w:rPr>
  </w:style>
  <w:style w:type="paragraph" w:styleId="12">
    <w:name w:val="Normal Indent"/>
    <w:basedOn w:val="1"/>
    <w:next w:val="13"/>
    <w:qFormat/>
    <w:uiPriority w:val="0"/>
    <w:pPr>
      <w:widowControl w:val="0"/>
      <w:spacing w:after="0"/>
      <w:ind w:firstLine="420"/>
      <w:jc w:val="both"/>
    </w:pPr>
    <w:rPr>
      <w:rFonts w:ascii="Times New Roman" w:hAnsi="Times New Roman" w:eastAsia="宋体" w:cs="Times New Roman"/>
      <w:kern w:val="2"/>
      <w:sz w:val="21"/>
      <w:szCs w:val="20"/>
      <w:lang w:val="en-US" w:eastAsia="zh-CN" w:bidi="ar-SA"/>
    </w:rPr>
  </w:style>
  <w:style w:type="paragraph" w:styleId="13">
    <w:name w:val="Body Text Indent"/>
    <w:basedOn w:val="1"/>
    <w:next w:val="1"/>
    <w:qFormat/>
    <w:uiPriority w:val="0"/>
    <w:pPr>
      <w:spacing w:line="460" w:lineRule="exact"/>
      <w:ind w:firstLine="482" w:firstLineChars="200"/>
    </w:pPr>
    <w:rPr>
      <w:rFonts w:ascii="Times New Roman" w:hAnsi="Times New Roman" w:eastAsia="宋体" w:cs="Times New Roman"/>
      <w:b/>
      <w:bCs/>
      <w:sz w:val="24"/>
      <w:shd w:val="clear" w:color="auto" w:fill="CCCCCC"/>
    </w:rPr>
  </w:style>
  <w:style w:type="paragraph" w:styleId="14">
    <w:name w:val="caption"/>
    <w:basedOn w:val="1"/>
    <w:next w:val="1"/>
    <w:qFormat/>
    <w:uiPriority w:val="0"/>
    <w:pPr>
      <w:widowControl/>
      <w:adjustRightInd w:val="0"/>
      <w:spacing w:before="120" w:beforeLines="50" w:line="260" w:lineRule="exact"/>
      <w:ind w:left="200"/>
      <w:jc w:val="center"/>
      <w:textAlignment w:val="baseline"/>
      <w:outlineLvl w:val="3"/>
    </w:pPr>
    <w:rPr>
      <w:rFonts w:ascii="Arial" w:hAnsi="Arial" w:eastAsia="仿宋" w:cs="Arial"/>
      <w:kern w:val="0"/>
      <w:szCs w:val="20"/>
    </w:rPr>
  </w:style>
  <w:style w:type="paragraph" w:styleId="15">
    <w:name w:val="annotation text"/>
    <w:basedOn w:val="1"/>
    <w:qFormat/>
    <w:uiPriority w:val="0"/>
    <w:pPr>
      <w:jc w:val="left"/>
    </w:pPr>
    <w:rPr>
      <w:rFonts w:ascii="Times New Roman" w:hAnsi="Times New Roman" w:eastAsia="宋体" w:cs="Times New Roman"/>
    </w:rPr>
  </w:style>
  <w:style w:type="paragraph" w:styleId="16">
    <w:name w:val="Body Text"/>
    <w:basedOn w:val="1"/>
    <w:next w:val="17"/>
    <w:qFormat/>
    <w:uiPriority w:val="0"/>
    <w:pPr>
      <w:widowControl w:val="0"/>
      <w:spacing w:after="0"/>
      <w:jc w:val="both"/>
    </w:pPr>
    <w:rPr>
      <w:rFonts w:ascii="Times New Roman" w:hAnsi="Times New Roman" w:eastAsia="宋体" w:cs="Times New Roman"/>
      <w:kern w:val="2"/>
      <w:sz w:val="24"/>
      <w:szCs w:val="24"/>
      <w:lang w:val="en-US" w:eastAsia="zh-CN" w:bidi="ar-SA"/>
    </w:rPr>
  </w:style>
  <w:style w:type="paragraph" w:styleId="17">
    <w:name w:val="Body Text First Indent"/>
    <w:basedOn w:val="16"/>
    <w:next w:val="16"/>
    <w:qFormat/>
    <w:uiPriority w:val="0"/>
    <w:pPr>
      <w:widowControl w:val="0"/>
      <w:spacing w:before="0" w:after="120"/>
      <w:ind w:left="0" w:right="0" w:firstLine="420" w:firstLineChars="100"/>
      <w:jc w:val="both"/>
    </w:pPr>
    <w:rPr>
      <w:rFonts w:ascii="Times New Roman" w:hAnsi="Times New Roman" w:eastAsia="宋体" w:cs="Times New Roman"/>
      <w:kern w:val="2"/>
      <w:sz w:val="21"/>
      <w:szCs w:val="24"/>
      <w:lang w:val="en-US" w:eastAsia="zh-CN" w:bidi="ar-SA"/>
    </w:rPr>
  </w:style>
  <w:style w:type="paragraph" w:styleId="18">
    <w:name w:val="Plain Text"/>
    <w:basedOn w:val="1"/>
    <w:link w:val="47"/>
    <w:qFormat/>
    <w:uiPriority w:val="0"/>
    <w:rPr>
      <w:rFonts w:ascii="宋体" w:hAnsi="Courier New" w:eastAsia="宋体" w:cs="Courier New"/>
      <w:szCs w:val="21"/>
    </w:rPr>
  </w:style>
  <w:style w:type="paragraph" w:styleId="19">
    <w:name w:val="Date"/>
    <w:basedOn w:val="1"/>
    <w:next w:val="1"/>
    <w:qFormat/>
    <w:uiPriority w:val="0"/>
    <w:rPr>
      <w:rFonts w:ascii="Times New Roman" w:hAnsi="Times New Roman" w:eastAsia="宋体" w:cs="Times New Roman"/>
      <w:sz w:val="28"/>
      <w:szCs w:val="20"/>
    </w:rPr>
  </w:style>
  <w:style w:type="paragraph" w:styleId="20">
    <w:name w:val="Body Text Indent 2"/>
    <w:basedOn w:val="1"/>
    <w:qFormat/>
    <w:uiPriority w:val="0"/>
    <w:pPr>
      <w:widowControl w:val="0"/>
      <w:spacing w:after="0" w:line="360" w:lineRule="auto"/>
      <w:ind w:firstLine="480"/>
      <w:jc w:val="both"/>
    </w:pPr>
    <w:rPr>
      <w:rFonts w:ascii="宋体" w:hAnsi="Times New Roman" w:eastAsia="新宋体" w:cs="宋体"/>
      <w:kern w:val="2"/>
      <w:sz w:val="24"/>
      <w:szCs w:val="20"/>
      <w:lang w:val="en-US" w:eastAsia="zh-CN" w:bidi="ar-SA"/>
    </w:rPr>
  </w:style>
  <w:style w:type="paragraph" w:styleId="21">
    <w:name w:val="Balloon Text"/>
    <w:basedOn w:val="1"/>
    <w:qFormat/>
    <w:uiPriority w:val="0"/>
    <w:rPr>
      <w:rFonts w:ascii="Times New Roman" w:hAnsi="Times New Roman" w:eastAsia="宋体" w:cs="Times New Roman"/>
      <w:sz w:val="18"/>
      <w:szCs w:val="18"/>
    </w:rPr>
  </w:style>
  <w:style w:type="paragraph" w:styleId="22">
    <w:name w:val="footer"/>
    <w:basedOn w:val="1"/>
    <w:qFormat/>
    <w:uiPriority w:val="0"/>
    <w:pPr>
      <w:widowControl w:val="0"/>
      <w:tabs>
        <w:tab w:val="center" w:pos="4140"/>
        <w:tab w:val="right" w:pos="8300"/>
      </w:tabs>
      <w:snapToGrid w:val="0"/>
      <w:spacing w:after="0"/>
      <w:jc w:val="left"/>
    </w:pPr>
    <w:rPr>
      <w:rFonts w:ascii="Times New Roman" w:hAnsi="Times New Roman" w:eastAsia="宋体" w:cs="Times New Roman"/>
      <w:kern w:val="2"/>
      <w:sz w:val="18"/>
      <w:szCs w:val="18"/>
      <w:lang w:val="en-US" w:eastAsia="zh-CN" w:bidi="ar-SA"/>
    </w:rPr>
  </w:style>
  <w:style w:type="paragraph" w:styleId="23">
    <w:name w:val="header"/>
    <w:basedOn w:val="1"/>
    <w:qFormat/>
    <w:uiPriority w:val="0"/>
    <w:pPr>
      <w:widowControl w:val="0"/>
      <w:pBdr>
        <w:bottom w:val="single" w:color="auto" w:sz="6" w:space="1"/>
      </w:pBdr>
      <w:tabs>
        <w:tab w:val="center" w:pos="4140"/>
        <w:tab w:val="right" w:pos="8300"/>
      </w:tabs>
      <w:snapToGrid w:val="0"/>
      <w:spacing w:after="0"/>
      <w:jc w:val="center"/>
    </w:pPr>
    <w:rPr>
      <w:rFonts w:ascii="Times New Roman" w:hAnsi="Times New Roman" w:eastAsia="宋体" w:cs="Times New Roman"/>
      <w:kern w:val="2"/>
      <w:sz w:val="18"/>
      <w:szCs w:val="18"/>
      <w:lang w:val="en-US" w:eastAsia="zh-CN" w:bidi="ar-SA"/>
    </w:rPr>
  </w:style>
  <w:style w:type="paragraph" w:styleId="24">
    <w:name w:val="toc 1"/>
    <w:basedOn w:val="1"/>
    <w:next w:val="1"/>
    <w:qFormat/>
    <w:uiPriority w:val="0"/>
    <w:pPr>
      <w:widowControl w:val="0"/>
      <w:spacing w:after="0" w:line="460" w:lineRule="exact"/>
      <w:jc w:val="both"/>
    </w:pPr>
    <w:rPr>
      <w:rFonts w:ascii="Times New Roman" w:hAnsi="Times New Roman" w:eastAsia="宋体" w:cs="Times New Roman"/>
      <w:b/>
      <w:bCs/>
      <w:kern w:val="2"/>
      <w:sz w:val="28"/>
      <w:szCs w:val="30"/>
      <w:lang w:val="en-US" w:eastAsia="zh-CN" w:bidi="ar-SA"/>
    </w:rPr>
  </w:style>
  <w:style w:type="paragraph" w:styleId="25">
    <w:name w:val="toc 4"/>
    <w:basedOn w:val="1"/>
    <w:next w:val="1"/>
    <w:qFormat/>
    <w:uiPriority w:val="0"/>
    <w:pPr>
      <w:ind w:left="1260"/>
    </w:pPr>
    <w:rPr>
      <w:rFonts w:ascii="Times New Roman" w:hAnsi="Times New Roman" w:eastAsia="宋体" w:cs="Times New Roman"/>
      <w:kern w:val="1"/>
    </w:rPr>
  </w:style>
  <w:style w:type="paragraph" w:styleId="26">
    <w:name w:val="footnote text"/>
    <w:basedOn w:val="1"/>
    <w:link w:val="48"/>
    <w:qFormat/>
    <w:uiPriority w:val="0"/>
    <w:pPr>
      <w:snapToGrid w:val="0"/>
      <w:jc w:val="left"/>
    </w:pPr>
    <w:rPr>
      <w:rFonts w:ascii="Times New Roman" w:hAnsi="Times New Roman" w:eastAsia="宋体" w:cs="Times New Roman"/>
      <w:sz w:val="18"/>
      <w:szCs w:val="18"/>
    </w:rPr>
  </w:style>
  <w:style w:type="paragraph" w:styleId="27">
    <w:name w:val="toc 6"/>
    <w:basedOn w:val="1"/>
    <w:next w:val="1"/>
    <w:qFormat/>
    <w:uiPriority w:val="0"/>
    <w:pPr>
      <w:widowControl w:val="0"/>
      <w:spacing w:before="0" w:after="0"/>
      <w:ind w:left="1000" w:leftChars="1000" w:right="0"/>
      <w:jc w:val="both"/>
    </w:pPr>
    <w:rPr>
      <w:rFonts w:ascii="Times New Roman" w:hAnsi="Times New Roman" w:eastAsia="宋体" w:cs="Times New Roman"/>
      <w:kern w:val="2"/>
      <w:sz w:val="21"/>
      <w:szCs w:val="24"/>
      <w:lang w:val="en-US" w:eastAsia="zh-CN" w:bidi="ar-SA"/>
    </w:rPr>
  </w:style>
  <w:style w:type="paragraph" w:styleId="28">
    <w:name w:val="Body Text Indent 3"/>
    <w:basedOn w:val="1"/>
    <w:qFormat/>
    <w:uiPriority w:val="0"/>
    <w:pPr>
      <w:spacing w:after="120" w:afterLines="0"/>
      <w:ind w:left="420" w:leftChars="200"/>
    </w:pPr>
    <w:rPr>
      <w:rFonts w:ascii="Times New Roman" w:hAnsi="Times New Roman" w:eastAsia="宋体" w:cs="Times New Roman"/>
      <w:sz w:val="16"/>
      <w:szCs w:val="16"/>
    </w:rPr>
  </w:style>
  <w:style w:type="paragraph" w:styleId="29">
    <w:name w:val="toc 2"/>
    <w:basedOn w:val="1"/>
    <w:next w:val="1"/>
    <w:qFormat/>
    <w:uiPriority w:val="0"/>
    <w:pPr>
      <w:ind w:left="420" w:leftChars="200"/>
    </w:pPr>
    <w:rPr>
      <w:rFonts w:ascii="Times New Roman" w:hAnsi="Times New Roman" w:eastAsia="宋体" w:cs="Times New Roman"/>
    </w:rPr>
  </w:style>
  <w:style w:type="paragraph" w:styleId="30">
    <w:name w:val="toc 9"/>
    <w:basedOn w:val="1"/>
    <w:next w:val="1"/>
    <w:qFormat/>
    <w:uiPriority w:val="0"/>
    <w:pPr>
      <w:ind w:left="3360" w:leftChars="1600"/>
    </w:pPr>
    <w:rPr>
      <w:rFonts w:ascii="Calibri" w:hAnsi="Calibri" w:eastAsia="宋体" w:cs="Times New Roman"/>
    </w:rPr>
  </w:style>
  <w:style w:type="paragraph" w:styleId="31">
    <w:name w:val="Body Text 2"/>
    <w:basedOn w:val="1"/>
    <w:qFormat/>
    <w:uiPriority w:val="0"/>
    <w:pPr>
      <w:widowControl w:val="0"/>
      <w:spacing w:before="0" w:after="120" w:line="480" w:lineRule="auto"/>
      <w:ind w:left="0" w:right="0"/>
      <w:jc w:val="both"/>
    </w:pPr>
    <w:rPr>
      <w:rFonts w:ascii="Times New Roman" w:hAnsi="Times New Roman" w:eastAsia="宋体" w:cs="Times New Roman"/>
      <w:kern w:val="2"/>
      <w:sz w:val="21"/>
      <w:szCs w:val="24"/>
      <w:lang w:val="en-US" w:eastAsia="zh-CN" w:bidi="ar-SA"/>
    </w:rPr>
  </w:style>
  <w:style w:type="paragraph" w:styleId="32">
    <w:name w:val="Normal (Web)"/>
    <w:basedOn w:val="1"/>
    <w:qFormat/>
    <w:uiPriority w:val="99"/>
    <w:pPr>
      <w:widowControl w:val="0"/>
      <w:spacing w:after="0"/>
      <w:jc w:val="both"/>
    </w:pPr>
    <w:rPr>
      <w:rFonts w:ascii="Times New Roman" w:hAnsi="Times New Roman" w:eastAsia="宋体" w:cs="Times New Roman"/>
      <w:kern w:val="2"/>
      <w:sz w:val="24"/>
      <w:szCs w:val="24"/>
      <w:lang w:val="en-US" w:eastAsia="zh-CN" w:bidi="ar-SA"/>
    </w:rPr>
  </w:style>
  <w:style w:type="paragraph" w:styleId="33">
    <w:name w:val="index 1"/>
    <w:basedOn w:val="1"/>
    <w:next w:val="1"/>
    <w:qFormat/>
    <w:uiPriority w:val="0"/>
    <w:rPr>
      <w:rFonts w:ascii="Times New Roman" w:hAnsi="Times New Roman" w:eastAsia="宋体" w:cs="Times New Roman"/>
    </w:rPr>
  </w:style>
  <w:style w:type="paragraph" w:styleId="34">
    <w:name w:val="Title"/>
    <w:basedOn w:val="1"/>
    <w:next w:val="1"/>
    <w:link w:val="49"/>
    <w:qFormat/>
    <w:uiPriority w:val="0"/>
    <w:pPr>
      <w:spacing w:before="240" w:after="60"/>
      <w:jc w:val="center"/>
      <w:outlineLvl w:val="0"/>
    </w:pPr>
    <w:rPr>
      <w:rFonts w:ascii="等线 Light" w:hAnsi="等线 Light" w:cs="Times New Roman"/>
      <w:b/>
      <w:bCs/>
      <w:sz w:val="32"/>
      <w:szCs w:val="32"/>
    </w:rPr>
  </w:style>
  <w:style w:type="paragraph" w:styleId="35">
    <w:name w:val="annotation subject"/>
    <w:basedOn w:val="15"/>
    <w:next w:val="15"/>
    <w:qFormat/>
    <w:uiPriority w:val="0"/>
    <w:rPr>
      <w:rFonts w:ascii="Times New Roman" w:hAnsi="Times New Roman" w:eastAsia="宋体" w:cs="Times New Roman"/>
      <w:b/>
      <w:bCs/>
    </w:rPr>
  </w:style>
  <w:style w:type="paragraph" w:styleId="36">
    <w:name w:val="Body Text First Indent 2"/>
    <w:basedOn w:val="13"/>
    <w:next w:val="37"/>
    <w:qFormat/>
    <w:uiPriority w:val="0"/>
    <w:pPr>
      <w:spacing w:after="120" w:line="240" w:lineRule="auto"/>
      <w:ind w:left="420" w:leftChars="200" w:firstLine="420"/>
    </w:pPr>
    <w:rPr>
      <w:rFonts w:ascii="Times New Roman" w:hAnsi="Times New Roman" w:eastAsia="宋体" w:cs="宋体"/>
      <w:sz w:val="21"/>
      <w:szCs w:val="21"/>
    </w:rPr>
  </w:style>
  <w:style w:type="paragraph" w:customStyle="1" w:styleId="37">
    <w:name w:val="xl53"/>
    <w:basedOn w:val="1"/>
    <w:next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eastAsia="宋体" w:cs="Times New Roman"/>
      <w:b/>
      <w:bCs/>
      <w:kern w:val="0"/>
      <w:sz w:val="20"/>
      <w:szCs w:val="20"/>
    </w:rPr>
  </w:style>
  <w:style w:type="table" w:styleId="39">
    <w:name w:val="Table Grid"/>
    <w:basedOn w:val="3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page number"/>
    <w:qFormat/>
    <w:uiPriority w:val="0"/>
    <w:rPr>
      <w:rFonts w:ascii="Times New Roman" w:hAnsi="Times New Roman" w:eastAsia="宋体" w:cs="Times New Roman"/>
    </w:rPr>
  </w:style>
  <w:style w:type="character" w:styleId="42">
    <w:name w:val="FollowedHyperlink"/>
    <w:qFormat/>
    <w:uiPriority w:val="0"/>
    <w:rPr>
      <w:rFonts w:ascii="Times New Roman" w:hAnsi="Times New Roman" w:eastAsia="宋体" w:cs="Times New Roman"/>
      <w:color w:val="800080"/>
      <w:szCs w:val="20"/>
      <w:u w:val="single"/>
    </w:rPr>
  </w:style>
  <w:style w:type="character" w:styleId="43">
    <w:name w:val="Hyperlink"/>
    <w:qFormat/>
    <w:uiPriority w:val="0"/>
    <w:rPr>
      <w:rFonts w:ascii="Times New Roman" w:hAnsi="Times New Roman" w:eastAsia="宋体" w:cs="Times New Roman"/>
      <w:color w:val="0000FF"/>
      <w:sz w:val="21"/>
      <w:szCs w:val="20"/>
      <w:u w:val="single"/>
    </w:rPr>
  </w:style>
  <w:style w:type="character" w:styleId="44">
    <w:name w:val="annotation reference"/>
    <w:qFormat/>
    <w:uiPriority w:val="0"/>
    <w:rPr>
      <w:rFonts w:ascii="Times New Roman" w:hAnsi="Times New Roman" w:eastAsia="宋体" w:cs="Times New Roman"/>
      <w:sz w:val="21"/>
      <w:szCs w:val="21"/>
    </w:rPr>
  </w:style>
  <w:style w:type="character" w:styleId="45">
    <w:name w:val="footnote reference"/>
    <w:qFormat/>
    <w:uiPriority w:val="0"/>
    <w:rPr>
      <w:rFonts w:ascii="Times New Roman" w:hAnsi="Times New Roman" w:eastAsia="宋体" w:cs="Times New Roman"/>
      <w:vertAlign w:val="superscript"/>
    </w:rPr>
  </w:style>
  <w:style w:type="paragraph" w:customStyle="1" w:styleId="46">
    <w:name w:val="首行缩进"/>
    <w:basedOn w:val="1"/>
    <w:qFormat/>
    <w:uiPriority w:val="0"/>
    <w:pPr>
      <w:spacing w:line="360" w:lineRule="auto"/>
      <w:ind w:firstLine="480" w:firstLineChars="200"/>
    </w:pPr>
    <w:rPr>
      <w:rFonts w:ascii="Times New Roman" w:hAnsi="Times New Roman" w:eastAsia="宋体" w:cs="Times New Roman"/>
      <w:lang w:val="zh-CN"/>
    </w:rPr>
  </w:style>
  <w:style w:type="character" w:customStyle="1" w:styleId="47">
    <w:name w:val="纯文本 字符"/>
    <w:link w:val="18"/>
    <w:qFormat/>
    <w:uiPriority w:val="0"/>
    <w:rPr>
      <w:rFonts w:ascii="宋体" w:hAnsi="Courier New" w:eastAsia="宋体" w:cs="Courier New"/>
      <w:kern w:val="2"/>
      <w:sz w:val="21"/>
      <w:szCs w:val="21"/>
      <w:lang w:val="en-US" w:eastAsia="zh-CN" w:bidi="ar-SA"/>
    </w:rPr>
  </w:style>
  <w:style w:type="character" w:customStyle="1" w:styleId="48">
    <w:name w:val="脚注文本 字符"/>
    <w:link w:val="26"/>
    <w:qFormat/>
    <w:uiPriority w:val="0"/>
    <w:rPr>
      <w:rFonts w:ascii="Times New Roman" w:hAnsi="Times New Roman" w:eastAsia="宋体" w:cs="Times New Roman"/>
      <w:kern w:val="2"/>
      <w:sz w:val="18"/>
      <w:szCs w:val="18"/>
    </w:rPr>
  </w:style>
  <w:style w:type="character" w:customStyle="1" w:styleId="49">
    <w:name w:val="标题 字符"/>
    <w:link w:val="34"/>
    <w:qFormat/>
    <w:uiPriority w:val="0"/>
    <w:rPr>
      <w:rFonts w:ascii="等线 Light" w:hAnsi="等线 Light" w:eastAsia="宋体" w:cs="Times New Roman"/>
      <w:b/>
      <w:bCs/>
      <w:kern w:val="2"/>
      <w:sz w:val="32"/>
      <w:szCs w:val="32"/>
    </w:rPr>
  </w:style>
  <w:style w:type="paragraph" w:customStyle="1" w:styleId="50">
    <w:name w:val="_Style 2"/>
    <w:basedOn w:val="1"/>
    <w:qFormat/>
    <w:uiPriority w:val="0"/>
    <w:pPr>
      <w:ind w:firstLine="200" w:firstLineChars="200"/>
    </w:pPr>
    <w:rPr>
      <w:rFonts w:ascii="Calibri" w:hAnsi="Calibri"/>
      <w:sz w:val="28"/>
      <w:szCs w:val="22"/>
    </w:rPr>
  </w:style>
  <w:style w:type="character" w:customStyle="1" w:styleId="51">
    <w:name w:val="font11"/>
    <w:basedOn w:val="40"/>
    <w:qFormat/>
    <w:uiPriority w:val="0"/>
    <w:rPr>
      <w:rFonts w:hint="eastAsia" w:ascii="宋体" w:hAnsi="宋体" w:eastAsia="宋体" w:cs="Times New Roman"/>
      <w:color w:val="FF0000"/>
      <w:sz w:val="28"/>
      <w:szCs w:val="28"/>
      <w:u w:val="none"/>
    </w:rPr>
  </w:style>
  <w:style w:type="character" w:customStyle="1" w:styleId="52">
    <w:name w:val="font31"/>
    <w:basedOn w:val="40"/>
    <w:qFormat/>
    <w:uiPriority w:val="0"/>
    <w:rPr>
      <w:rFonts w:hint="eastAsia" w:ascii="宋体" w:hAnsi="宋体" w:eastAsia="宋体" w:cs="宋体"/>
      <w:color w:val="000000"/>
      <w:sz w:val="22"/>
      <w:szCs w:val="22"/>
      <w:u w:val="none"/>
    </w:rPr>
  </w:style>
  <w:style w:type="character" w:customStyle="1" w:styleId="53">
    <w:name w:val="font21"/>
    <w:qFormat/>
    <w:uiPriority w:val="0"/>
    <w:rPr>
      <w:rFonts w:hint="eastAsia" w:ascii="宋体" w:hAnsi="宋体" w:eastAsia="宋体" w:cs="宋体"/>
      <w:color w:val="000000"/>
      <w:sz w:val="21"/>
      <w:szCs w:val="21"/>
      <w:u w:val="none"/>
    </w:rPr>
  </w:style>
  <w:style w:type="character" w:customStyle="1" w:styleId="54">
    <w:name w:val="font01"/>
    <w:qFormat/>
    <w:uiPriority w:val="0"/>
    <w:rPr>
      <w:rFonts w:ascii="Verdana" w:hAnsi="Verdana" w:eastAsia="宋体" w:cs="Verdana"/>
      <w:color w:val="000000"/>
      <w:sz w:val="20"/>
      <w:szCs w:val="20"/>
      <w:u w:val="none"/>
    </w:rPr>
  </w:style>
  <w:style w:type="paragraph" w:customStyle="1" w:styleId="55">
    <w:name w:val="**正文"/>
    <w:basedOn w:val="1"/>
    <w:qFormat/>
    <w:uiPriority w:val="0"/>
    <w:pPr>
      <w:spacing w:line="360" w:lineRule="auto"/>
      <w:jc w:val="left"/>
    </w:pPr>
    <w:rPr>
      <w:rFonts w:ascii="Times New Roman" w:hAnsi="Times New Roman" w:eastAsia="宋体" w:cs="Times New Roman"/>
      <w:sz w:val="24"/>
      <w:szCs w:val="20"/>
    </w:rPr>
  </w:style>
  <w:style w:type="paragraph" w:customStyle="1" w:styleId="56">
    <w:name w:val="表"/>
    <w:basedOn w:val="1"/>
    <w:qFormat/>
    <w:uiPriority w:val="0"/>
    <w:pPr>
      <w:adjustRightInd w:val="0"/>
      <w:snapToGrid w:val="0"/>
      <w:spacing w:line="312" w:lineRule="auto"/>
    </w:pPr>
    <w:rPr>
      <w:rFonts w:ascii="Times New Roman" w:hAnsi="Times New Roman" w:eastAsia="宋体" w:cs="Times New Roman"/>
    </w:rPr>
  </w:style>
  <w:style w:type="character" w:customStyle="1" w:styleId="57">
    <w:name w:val="纯文本 Char1"/>
    <w:qFormat/>
    <w:uiPriority w:val="0"/>
    <w:rPr>
      <w:rFonts w:ascii="宋体" w:hAnsi="Courier New" w:eastAsia="宋体" w:cs="Courier New"/>
      <w:kern w:val="2"/>
      <w:sz w:val="21"/>
      <w:szCs w:val="21"/>
    </w:rPr>
  </w:style>
  <w:style w:type="character" w:customStyle="1" w:styleId="58">
    <w:name w:val="普通文字 Char Char2"/>
    <w:qFormat/>
    <w:uiPriority w:val="0"/>
    <w:rPr>
      <w:rFonts w:ascii="宋体" w:hAnsi="Courier New" w:eastAsia="宋体" w:cs="Courier New"/>
      <w:kern w:val="2"/>
      <w:sz w:val="21"/>
      <w:szCs w:val="21"/>
      <w:lang w:val="en-US" w:eastAsia="zh-CN" w:bidi="ar-SA"/>
    </w:rPr>
  </w:style>
  <w:style w:type="character" w:customStyle="1" w:styleId="59">
    <w:name w:val=" Char Char1"/>
    <w:qFormat/>
    <w:uiPriority w:val="0"/>
    <w:rPr>
      <w:rFonts w:ascii="宋体" w:hAnsi="Courier New" w:eastAsia="宋体" w:cs="Courier New"/>
      <w:kern w:val="2"/>
      <w:sz w:val="21"/>
      <w:szCs w:val="21"/>
      <w:lang w:val="en-US" w:eastAsia="zh-CN" w:bidi="ar-SA"/>
    </w:rPr>
  </w:style>
  <w:style w:type="paragraph" w:customStyle="1" w:styleId="60">
    <w:name w:val="Char"/>
    <w:basedOn w:val="1"/>
    <w:qFormat/>
    <w:uiPriority w:val="0"/>
    <w:rPr>
      <w:rFonts w:ascii="仿宋_GB2312" w:hAnsi="Times New Roman" w:eastAsia="仿宋_GB2312" w:cs="仿宋_GB2312"/>
      <w:b/>
      <w:bCs/>
      <w:sz w:val="32"/>
      <w:szCs w:val="32"/>
    </w:rPr>
  </w:style>
  <w:style w:type="paragraph" w:customStyle="1" w:styleId="61">
    <w:name w:val="标题1"/>
    <w:basedOn w:val="24"/>
    <w:qFormat/>
    <w:uiPriority w:val="0"/>
    <w:pPr>
      <w:widowControl/>
      <w:overflowPunct w:val="0"/>
      <w:autoSpaceDE w:val="0"/>
      <w:autoSpaceDN w:val="0"/>
      <w:adjustRightInd w:val="0"/>
      <w:spacing w:before="120" w:beforeLines="0" w:after="120" w:afterLines="0" w:line="420" w:lineRule="exact"/>
      <w:jc w:val="center"/>
      <w:textAlignment w:val="baseline"/>
    </w:pPr>
    <w:rPr>
      <w:rFonts w:ascii="宋体" w:hAnsi="宋体" w:eastAsia="宋体" w:cs="Times New Roman"/>
      <w:b w:val="0"/>
      <w:bCs w:val="0"/>
      <w:kern w:val="0"/>
      <w:sz w:val="44"/>
      <w:szCs w:val="20"/>
    </w:rPr>
  </w:style>
  <w:style w:type="paragraph" w:customStyle="1" w:styleId="62">
    <w:name w:val="Default"/>
    <w:qFormat/>
    <w:uiPriority w:val="0"/>
    <w:pPr>
      <w:widowControl w:val="0"/>
      <w:autoSpaceDE w:val="0"/>
      <w:autoSpaceDN w:val="0"/>
      <w:adjustRightInd w:val="0"/>
    </w:pPr>
    <w:rPr>
      <w:rFonts w:ascii="仿宋_GB2312" w:hAnsi="Times New Roman" w:eastAsia="仿宋_GB2312" w:cs="Times New Roman"/>
      <w:color w:val="000000"/>
      <w:sz w:val="24"/>
      <w:szCs w:val="22"/>
      <w:lang w:val="en-US" w:eastAsia="zh-CN" w:bidi="ar-SA"/>
    </w:rPr>
  </w:style>
  <w:style w:type="paragraph" w:customStyle="1" w:styleId="63">
    <w:name w:val=" Char Char Char2 Char Char Char"/>
    <w:basedOn w:val="1"/>
    <w:qFormat/>
    <w:uiPriority w:val="0"/>
    <w:rPr>
      <w:rFonts w:ascii="Times New Roman" w:hAnsi="Times New Roman" w:eastAsia="宋体" w:cs="Times New Roman"/>
    </w:rPr>
  </w:style>
  <w:style w:type="paragraph" w:customStyle="1" w:styleId="64">
    <w:name w:val="xl24"/>
    <w:basedOn w:val="1"/>
    <w:qFormat/>
    <w:uiPriority w:val="0"/>
    <w:pPr>
      <w:widowControl/>
      <w:spacing w:before="100" w:beforeLines="0" w:beforeAutospacing="1" w:after="100" w:afterLines="0" w:afterAutospacing="1"/>
      <w:jc w:val="right"/>
    </w:pPr>
    <w:rPr>
      <w:rFonts w:ascii="宋体" w:hAnsi="宋体" w:eastAsia="宋体" w:cs="Times New Roman"/>
      <w:kern w:val="0"/>
      <w:sz w:val="24"/>
    </w:rPr>
  </w:style>
  <w:style w:type="paragraph" w:customStyle="1" w:styleId="65">
    <w:name w:val="正"/>
    <w:basedOn w:val="1"/>
    <w:qFormat/>
    <w:uiPriority w:val="0"/>
    <w:pPr>
      <w:ind w:firstLine="525"/>
    </w:pPr>
    <w:rPr>
      <w:rFonts w:ascii="Times New Roman" w:hAnsi="Times New Roman" w:eastAsia="宋体" w:cs="Times New Roman"/>
      <w:spacing w:val="20"/>
    </w:rPr>
  </w:style>
  <w:style w:type="paragraph" w:customStyle="1" w:styleId="66">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67">
    <w:name w:val="ÕÂ¡À¨ºÌâ"/>
    <w:basedOn w:val="66"/>
    <w:next w:val="1"/>
    <w:qFormat/>
    <w:uiPriority w:val="0"/>
    <w:pPr>
      <w:spacing w:before="158" w:after="153" w:line="323" w:lineRule="atLeast"/>
      <w:ind w:firstLine="0"/>
      <w:jc w:val="center"/>
    </w:pPr>
    <w:rPr>
      <w:rFonts w:ascii="Arial" w:hAnsi="Arial" w:eastAsia="宋体" w:cs="Times New Roman"/>
      <w:sz w:val="31"/>
      <w:szCs w:val="22"/>
    </w:rPr>
  </w:style>
  <w:style w:type="paragraph" w:customStyle="1" w:styleId="68">
    <w:name w:val="+正文"/>
    <w:basedOn w:val="1"/>
    <w:qFormat/>
    <w:uiPriority w:val="0"/>
    <w:pPr>
      <w:spacing w:line="360" w:lineRule="auto"/>
      <w:ind w:firstLine="200" w:firstLineChars="200"/>
    </w:pPr>
    <w:rPr>
      <w:rFonts w:ascii="Times New Roman" w:hAnsi="Times New Roman" w:eastAsia="宋体" w:cs="Times New Roman"/>
      <w:sz w:val="24"/>
      <w:szCs w:val="28"/>
    </w:rPr>
  </w:style>
  <w:style w:type="paragraph" w:customStyle="1" w:styleId="69">
    <w:name w:val="表格"/>
    <w:basedOn w:val="1"/>
    <w:next w:val="12"/>
    <w:qFormat/>
    <w:uiPriority w:val="0"/>
    <w:pPr>
      <w:widowControl/>
      <w:spacing w:before="100" w:beforeAutospacing="1" w:after="100" w:afterAutospacing="1"/>
      <w:jc w:val="left"/>
    </w:pPr>
    <w:rPr>
      <w:rFonts w:ascii="Arial" w:hAnsi="Arial" w:eastAsia="宋体" w:cs="Times New Roman"/>
      <w:bCs/>
      <w:szCs w:val="20"/>
    </w:rPr>
  </w:style>
  <w:style w:type="paragraph" w:customStyle="1" w:styleId="70">
    <w:name w:val="Plain Text"/>
    <w:basedOn w:val="1"/>
    <w:qFormat/>
    <w:uiPriority w:val="0"/>
    <w:pPr>
      <w:widowControl/>
      <w:overflowPunct w:val="0"/>
      <w:autoSpaceDE w:val="0"/>
      <w:autoSpaceDN w:val="0"/>
      <w:jc w:val="left"/>
    </w:pPr>
    <w:rPr>
      <w:rFonts w:ascii="宋体" w:hAnsi="Courier New" w:eastAsia="宋体" w:cs="Times New Roman"/>
      <w:kern w:val="0"/>
    </w:rPr>
  </w:style>
  <w:style w:type="paragraph" w:customStyle="1" w:styleId="71">
    <w:name w:val="样式"/>
    <w:basedOn w:val="1"/>
    <w:qFormat/>
    <w:uiPriority w:val="0"/>
    <w:pPr>
      <w:autoSpaceDE w:val="0"/>
      <w:autoSpaceDN w:val="0"/>
      <w:snapToGrid w:val="0"/>
      <w:spacing w:before="120" w:beforeLines="0" w:after="120" w:afterLines="0" w:line="360" w:lineRule="auto"/>
    </w:pPr>
    <w:rPr>
      <w:rFonts w:ascii="宋体" w:hAnsi="Times New Roman" w:eastAsia="宋体" w:cs="Times New Roman"/>
      <w:sz w:val="24"/>
      <w:szCs w:val="20"/>
    </w:rPr>
  </w:style>
  <w:style w:type="paragraph" w:customStyle="1" w:styleId="72">
    <w:name w:val=" Char3"/>
    <w:basedOn w:val="1"/>
    <w:qFormat/>
    <w:uiPriority w:val="0"/>
    <w:pPr>
      <w:tabs>
        <w:tab w:val="left" w:pos="360"/>
      </w:tabs>
    </w:pPr>
    <w:rPr>
      <w:rFonts w:ascii="Times New Roman" w:hAnsi="Times New Roman" w:eastAsia="宋体" w:cs="Times New Roman"/>
      <w:sz w:val="24"/>
    </w:rPr>
  </w:style>
  <w:style w:type="paragraph" w:styleId="73">
    <w:name w:val="List Paragraph"/>
    <w:basedOn w:val="1"/>
    <w:qFormat/>
    <w:uiPriority w:val="0"/>
    <w:pPr>
      <w:ind w:firstLine="420" w:firstLineChars="200"/>
    </w:pPr>
    <w:rPr>
      <w:rFonts w:ascii="Times New Roman" w:hAnsi="Times New Roman" w:eastAsia="宋体" w:cs="Times New Roman"/>
    </w:rPr>
  </w:style>
  <w:style w:type="paragraph" w:customStyle="1" w:styleId="74">
    <w:name w:val=" Char"/>
    <w:basedOn w:val="1"/>
    <w:qFormat/>
    <w:uiPriority w:val="0"/>
    <w:rPr>
      <w:rFonts w:ascii="Times New Roman" w:hAnsi="Times New Roman" w:eastAsia="宋体" w:cs="Times New Roman"/>
      <w:szCs w:val="20"/>
    </w:rPr>
  </w:style>
  <w:style w:type="paragraph" w:customStyle="1" w:styleId="75">
    <w:name w:val="标题 7 New"/>
    <w:basedOn w:val="1"/>
    <w:next w:val="1"/>
    <w:qFormat/>
    <w:uiPriority w:val="0"/>
    <w:pPr>
      <w:keepNext/>
      <w:keepLines/>
      <w:widowControl/>
      <w:tabs>
        <w:tab w:val="left" w:pos="2520"/>
      </w:tabs>
      <w:spacing w:before="240" w:beforeLines="0" w:after="64" w:afterLines="0" w:line="317" w:lineRule="auto"/>
      <w:ind w:left="1296" w:hanging="1296"/>
      <w:jc w:val="left"/>
      <w:outlineLvl w:val="6"/>
    </w:pPr>
    <w:rPr>
      <w:rFonts w:ascii="Times New Roman" w:hAnsi="Times New Roman" w:eastAsia="宋体" w:cs="Times New Roman"/>
      <w:b/>
      <w:kern w:val="0"/>
      <w:sz w:val="24"/>
      <w:szCs w:val="20"/>
    </w:rPr>
  </w:style>
  <w:style w:type="paragraph" w:customStyle="1" w:styleId="76">
    <w:name w:val=" Char Char Char"/>
    <w:basedOn w:val="1"/>
    <w:qFormat/>
    <w:uiPriority w:val="0"/>
    <w:rPr>
      <w:rFonts w:ascii="Tahoma" w:hAnsi="Tahoma" w:eastAsia="宋体" w:cs="Times New Roman"/>
      <w:sz w:val="24"/>
      <w:szCs w:val="20"/>
    </w:rPr>
  </w:style>
  <w:style w:type="paragraph" w:customStyle="1" w:styleId="77">
    <w:name w:val=" Char Char Char1 Char Char Char Char Char Char Char Char Char Char Char Char Char"/>
    <w:basedOn w:val="1"/>
    <w:qFormat/>
    <w:uiPriority w:val="0"/>
    <w:rPr>
      <w:rFonts w:ascii="Times New Roman" w:hAnsi="Times New Roman" w:eastAsia="宋体" w:cs="Times New Roman"/>
    </w:rPr>
  </w:style>
  <w:style w:type="paragraph" w:customStyle="1" w:styleId="78">
    <w:name w:val="列出段落1"/>
    <w:basedOn w:val="1"/>
    <w:qFormat/>
    <w:uiPriority w:val="0"/>
    <w:pPr>
      <w:ind w:firstLine="420" w:firstLineChars="200"/>
    </w:pPr>
    <w:rPr>
      <w:rFonts w:ascii="Times New Roman" w:hAnsi="Times New Roman" w:eastAsia="宋体" w:cs="Times New Roman"/>
      <w:szCs w:val="22"/>
    </w:rPr>
  </w:style>
  <w:style w:type="paragraph" w:customStyle="1" w:styleId="79">
    <w:name w:val="null3"/>
    <w:qFormat/>
    <w:uiPriority w:val="0"/>
    <w:rPr>
      <w:rFonts w:hint="eastAsia" w:ascii="Calibri" w:hAnsi="Calibri" w:eastAsia="宋体" w:cs="Times New Roman"/>
      <w:lang w:val="en-US" w:eastAsia="zh-Hans" w:bidi="ar-SA"/>
    </w:rPr>
  </w:style>
  <w:style w:type="paragraph" w:customStyle="1" w:styleId="80">
    <w:name w:val="正文 A"/>
    <w:qFormat/>
    <w:uiPriority w:val="0"/>
    <w:pPr>
      <w:widowControl w:val="0"/>
      <w:jc w:val="both"/>
    </w:pPr>
    <w:rPr>
      <w:rFonts w:hint="eastAsia" w:ascii="Arial Unicode MS" w:hAnsi="Arial Unicode MS" w:eastAsia="Arial Unicode MS" w:cs="Arial Unicode MS"/>
      <w:color w:val="000000"/>
      <w:kern w:val="2"/>
      <w:sz w:val="21"/>
      <w:szCs w:val="21"/>
      <w:u w:val="none" w:color="000000"/>
      <w:lang w:val="en-US" w:eastAsia="zh-CN" w:bidi="ar-SA"/>
    </w:rPr>
  </w:style>
  <w:style w:type="paragraph" w:customStyle="1" w:styleId="81">
    <w:name w:val="Table Text"/>
    <w:basedOn w:val="1"/>
    <w:semiHidden/>
    <w:qFormat/>
    <w:uiPriority w:val="0"/>
    <w:rPr>
      <w:rFonts w:ascii="宋体" w:hAnsi="宋体" w:eastAsia="宋体" w:cs="宋体"/>
      <w:sz w:val="19"/>
      <w:szCs w:val="19"/>
      <w:lang w:val="en-US" w:eastAsia="en-US" w:bidi="ar-SA"/>
    </w:rPr>
  </w:style>
  <w:style w:type="table" w:customStyle="1" w:styleId="82">
    <w:name w:val="Table Normal"/>
    <w:unhideWhenUsed/>
    <w:qFormat/>
    <w:uiPriority w:val="0"/>
    <w:tblPr>
      <w:tblCellMar>
        <w:top w:w="0" w:type="dxa"/>
        <w:left w:w="0" w:type="dxa"/>
        <w:bottom w:w="0" w:type="dxa"/>
        <w:right w:w="0" w:type="dxa"/>
      </w:tblCellMar>
    </w:tblPr>
  </w:style>
  <w:style w:type="character" w:customStyle="1" w:styleId="83">
    <w:name w:val="font91"/>
    <w:basedOn w:val="40"/>
    <w:qFormat/>
    <w:uiPriority w:val="0"/>
    <w:rPr>
      <w:rFonts w:hint="default" w:ascii="Times New Roman" w:hAnsi="Times New Roman" w:cs="Times New Roman"/>
      <w:color w:val="000000"/>
      <w:sz w:val="24"/>
      <w:szCs w:val="24"/>
      <w:u w:val="none"/>
    </w:rPr>
  </w:style>
  <w:style w:type="character" w:customStyle="1" w:styleId="84">
    <w:name w:val="font101"/>
    <w:basedOn w:val="40"/>
    <w:qFormat/>
    <w:uiPriority w:val="0"/>
    <w:rPr>
      <w:rFonts w:hint="eastAsia" w:ascii="宋体" w:hAnsi="宋体" w:eastAsia="宋体" w:cs="宋体"/>
      <w:b/>
      <w:bCs/>
      <w:color w:val="FF0000"/>
      <w:sz w:val="24"/>
      <w:szCs w:val="24"/>
      <w:u w:val="none"/>
    </w:rPr>
  </w:style>
  <w:style w:type="character" w:customStyle="1" w:styleId="85">
    <w:name w:val="font41"/>
    <w:basedOn w:val="40"/>
    <w:qFormat/>
    <w:uiPriority w:val="0"/>
    <w:rPr>
      <w:rFonts w:hint="eastAsia" w:ascii="宋体" w:hAnsi="宋体" w:eastAsia="宋体" w:cs="宋体"/>
      <w:color w:val="000000"/>
      <w:sz w:val="24"/>
      <w:szCs w:val="24"/>
      <w:u w:val="none"/>
    </w:rPr>
  </w:style>
  <w:style w:type="character" w:customStyle="1" w:styleId="86">
    <w:name w:val="font71"/>
    <w:basedOn w:val="40"/>
    <w:qFormat/>
    <w:uiPriority w:val="0"/>
    <w:rPr>
      <w:rFonts w:ascii="Segoe UI" w:hAnsi="Segoe UI" w:eastAsia="Segoe UI" w:cs="Segoe UI"/>
      <w:color w:val="000000"/>
      <w:sz w:val="24"/>
      <w:szCs w:val="24"/>
      <w:u w:val="none"/>
    </w:rPr>
  </w:style>
  <w:style w:type="character" w:customStyle="1" w:styleId="87">
    <w:name w:val="font61"/>
    <w:basedOn w:val="40"/>
    <w:qFormat/>
    <w:uiPriority w:val="0"/>
    <w:rPr>
      <w:rFonts w:hint="eastAsia" w:ascii="宋体" w:hAnsi="宋体" w:eastAsia="宋体" w:cs="宋体"/>
      <w:color w:val="000000"/>
      <w:sz w:val="24"/>
      <w:szCs w:val="24"/>
      <w:u w:val="none"/>
    </w:rPr>
  </w:style>
  <w:style w:type="character" w:customStyle="1" w:styleId="88">
    <w:name w:val="font81"/>
    <w:basedOn w:val="40"/>
    <w:qFormat/>
    <w:uiPriority w:val="0"/>
    <w:rPr>
      <w:rFonts w:hint="default" w:ascii="Times New Roman" w:hAnsi="Times New Roman" w:cs="Times New Roman"/>
      <w:color w:val="000000"/>
      <w:sz w:val="24"/>
      <w:szCs w:val="24"/>
      <w:u w:val="none"/>
    </w:rPr>
  </w:style>
  <w:style w:type="character" w:customStyle="1" w:styleId="89">
    <w:name w:val="font51"/>
    <w:basedOn w:val="40"/>
    <w:qFormat/>
    <w:uiPriority w:val="0"/>
    <w:rPr>
      <w:rFonts w:hint="eastAsia" w:ascii="宋体" w:hAnsi="宋体" w:eastAsia="宋体" w:cs="宋体"/>
      <w:color w:val="000000"/>
      <w:sz w:val="24"/>
      <w:szCs w:val="24"/>
      <w:u w:val="none"/>
    </w:rPr>
  </w:style>
  <w:style w:type="character" w:customStyle="1" w:styleId="90">
    <w:name w:val="font112"/>
    <w:basedOn w:val="40"/>
    <w:qFormat/>
    <w:uiPriority w:val="0"/>
    <w:rPr>
      <w:rFonts w:hint="default" w:ascii="Times New Roman" w:hAnsi="Times New Roman" w:cs="Times New Roman"/>
      <w:color w:val="000000"/>
      <w:sz w:val="24"/>
      <w:szCs w:val="24"/>
      <w:u w:val="none"/>
    </w:rPr>
  </w:style>
  <w:style w:type="character" w:customStyle="1" w:styleId="91">
    <w:name w:val="font121"/>
    <w:basedOn w:val="40"/>
    <w:qFormat/>
    <w:uiPriority w:val="0"/>
    <w:rPr>
      <w:rFonts w:hint="eastAsia" w:ascii="宋体" w:hAnsi="宋体" w:eastAsia="宋体" w:cs="宋体"/>
      <w:b/>
      <w:bCs/>
      <w:color w:val="FF0000"/>
      <w:sz w:val="24"/>
      <w:szCs w:val="24"/>
      <w:u w:val="none"/>
    </w:rPr>
  </w:style>
  <w:style w:type="character" w:customStyle="1" w:styleId="92">
    <w:name w:val="font111"/>
    <w:basedOn w:val="40"/>
    <w:qFormat/>
    <w:uiPriority w:val="0"/>
    <w:rPr>
      <w:rFonts w:hint="eastAsia" w:ascii="宋体" w:hAnsi="宋体" w:eastAsia="宋体" w:cs="宋体"/>
      <w:b/>
      <w:bCs/>
      <w:color w:val="FF0000"/>
      <w:sz w:val="24"/>
      <w:szCs w:val="24"/>
      <w:u w:val="none"/>
    </w:rPr>
  </w:style>
  <w:style w:type="character" w:customStyle="1" w:styleId="93">
    <w:name w:val="font122"/>
    <w:basedOn w:val="40"/>
    <w:qFormat/>
    <w:uiPriority w:val="0"/>
    <w:rPr>
      <w:rFonts w:hint="eastAsia" w:ascii="宋体" w:hAnsi="宋体" w:eastAsia="宋体" w:cs="宋体"/>
      <w:color w:val="FF0000"/>
      <w:sz w:val="24"/>
      <w:szCs w:val="24"/>
      <w:u w:val="none"/>
    </w:rPr>
  </w:style>
  <w:style w:type="paragraph" w:customStyle="1" w:styleId="94">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95">
    <w:name w:val="16"/>
    <w:basedOn w:val="40"/>
    <w:qFormat/>
    <w:uiPriority w:val="0"/>
    <w:rPr>
      <w:rFonts w:hint="eastAsia" w:ascii="宋体" w:hAnsi="宋体" w:eastAsia="宋体" w:cs="宋体"/>
      <w:b/>
      <w:color w:val="000000"/>
      <w:sz w:val="21"/>
      <w:szCs w:val="21"/>
    </w:rPr>
  </w:style>
  <w:style w:type="character" w:customStyle="1" w:styleId="96">
    <w:name w:val="17"/>
    <w:basedOn w:val="40"/>
    <w:qFormat/>
    <w:uiPriority w:val="0"/>
    <w:rPr>
      <w:rFonts w:hint="default" w:ascii="新宋体" w:hAnsi="新宋体" w:eastAsia="新宋体" w:cs="新宋体"/>
      <w:color w:val="000000"/>
      <w:sz w:val="21"/>
      <w:szCs w:val="21"/>
    </w:rPr>
  </w:style>
  <w:style w:type="character" w:customStyle="1" w:styleId="97">
    <w:name w:val="15"/>
    <w:basedOn w:val="40"/>
    <w:qFormat/>
    <w:uiPriority w:val="0"/>
    <w:rPr>
      <w:rFonts w:hint="eastAsia" w:ascii="宋体" w:hAnsi="宋体" w:eastAsia="宋体" w:cs="宋体"/>
      <w:color w:val="000000"/>
      <w:sz w:val="21"/>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40</Pages>
  <Words>10333</Words>
  <Characters>11392</Characters>
  <Lines>224</Lines>
  <Paragraphs>63</Paragraphs>
  <TotalTime>11</TotalTime>
  <ScaleCrop>false</ScaleCrop>
  <LinksUpToDate>false</LinksUpToDate>
  <CharactersWithSpaces>11546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2024-03-16T00:41:00Z</dcterms:created>
  <dc:creator>Administrator</dc:creator>
  <cp:lastModifiedBy>王晓欢</cp:lastModifiedBy>
  <cp:lastPrinted>2025-11-10T16:54:00Z</cp:lastPrinted>
  <dcterms:modified xsi:type="dcterms:W3CDTF">2026-01-28T01:16:51Z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5A288AA4EFD346A99FC29A2EE3115AC8_13</vt:lpwstr>
  </property>
  <property fmtid="{D5CDD505-2E9C-101B-9397-08002B2CF9AE}" pid="4" name="KSOTemplateDocerSaveRecord">
    <vt:lpwstr>eyJoZGlkIjoiMzdlYTIwYjlkMGM3MzMzZDBlZGNiYmFkOGNiOTMwZTciLCJ1c2VySWQiOiIxNTYwMzY5NDM3In0=</vt:lpwstr>
  </property>
</Properties>
</file>